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49" w:rsidRDefault="00751249" w:rsidP="00751249">
      <w:pPr>
        <w:spacing w:line="59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51249" w:rsidRDefault="00751249" w:rsidP="00751249">
      <w:pPr>
        <w:widowControl/>
        <w:spacing w:line="590" w:lineRule="exact"/>
        <w:outlineLvl w:val="1"/>
        <w:rPr>
          <w:rFonts w:ascii="Times New Roman" w:eastAsia="黑体" w:hAnsi="Times New Roman"/>
          <w:snapToGrid w:val="0"/>
          <w:sz w:val="32"/>
          <w:szCs w:val="32"/>
          <w:lang w:bidi="th-TH"/>
        </w:rPr>
      </w:pPr>
    </w:p>
    <w:p w:rsidR="00751249" w:rsidRDefault="00751249" w:rsidP="00751249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成都市关于创新供给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算力券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的政策措施</w:t>
      </w:r>
    </w:p>
    <w:p w:rsidR="00751249" w:rsidRDefault="00751249" w:rsidP="00751249">
      <w:pPr>
        <w:spacing w:line="590" w:lineRule="exact"/>
        <w:jc w:val="center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sz w:val="32"/>
          <w:szCs w:val="32"/>
        </w:rPr>
        <w:t>征求意见</w:t>
      </w:r>
      <w:r>
        <w:rPr>
          <w:rFonts w:ascii="Times New Roman" w:eastAsia="方正楷体简体" w:hAnsi="Times New Roman"/>
          <w:sz w:val="32"/>
          <w:szCs w:val="32"/>
        </w:rPr>
        <w:t>稿）</w:t>
      </w:r>
    </w:p>
    <w:p w:rsidR="00751249" w:rsidRDefault="00751249" w:rsidP="00751249">
      <w:pPr>
        <w:widowControl/>
        <w:spacing w:line="590" w:lineRule="exact"/>
        <w:outlineLvl w:val="1"/>
        <w:rPr>
          <w:rFonts w:ascii="Times New Roman" w:eastAsia="黑体" w:hAnsi="Times New Roman"/>
          <w:snapToGrid w:val="0"/>
          <w:sz w:val="32"/>
          <w:szCs w:val="32"/>
          <w:lang w:bidi="th-TH"/>
        </w:rPr>
      </w:pP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为进一步推动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算力设施</w:t>
      </w:r>
      <w:proofErr w:type="gramEnd"/>
      <w:r>
        <w:rPr>
          <w:rFonts w:ascii="Times New Roman" w:eastAsia="方正仿宋_GBK" w:hAnsi="Times New Roman"/>
          <w:sz w:val="32"/>
          <w:szCs w:val="22"/>
        </w:rPr>
        <w:t>绿色发展、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算力资源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普惠供给，持续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激发算力对</w:t>
      </w:r>
      <w:proofErr w:type="gramEnd"/>
      <w:r>
        <w:rPr>
          <w:rFonts w:ascii="Times New Roman" w:eastAsia="方正仿宋_GBK" w:hAnsi="Times New Roman"/>
          <w:sz w:val="32"/>
          <w:szCs w:val="22"/>
        </w:rPr>
        <w:t>人工智能等新质生产力发展的驱动作用，结合我市发展实际，制定本政策措施。</w:t>
      </w: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一、总则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本政策措施所指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是经市政府批准，由市经信局市新经济委牵头组织实施的，用于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降低算力供给</w:t>
      </w:r>
      <w:proofErr w:type="gramEnd"/>
      <w:r>
        <w:rPr>
          <w:rFonts w:ascii="Times New Roman" w:eastAsia="方正仿宋_GBK" w:hAnsi="Times New Roman"/>
          <w:sz w:val="32"/>
          <w:szCs w:val="22"/>
        </w:rPr>
        <w:t>主体运营成本和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算力需求主体</w:t>
      </w:r>
      <w:r>
        <w:rPr>
          <w:rFonts w:ascii="Times New Roman" w:eastAsia="方正仿宋_GBK" w:hAnsi="Times New Roman" w:hint="eastAsia"/>
          <w:sz w:val="32"/>
          <w:szCs w:val="22"/>
        </w:rPr>
        <w:t>用算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成本的政策工具。市经信局市新经济委按照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公平公正、公开透明、按需使用、科学管理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的原则，做好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统筹协调和组织实施工作。</w:t>
      </w: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二、支持对象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（一）</w:t>
      </w:r>
      <w:proofErr w:type="gramStart"/>
      <w:r>
        <w:rPr>
          <w:rFonts w:ascii="Times New Roman" w:eastAsia="方正楷体_GBK" w:hAnsi="Times New Roman"/>
          <w:sz w:val="32"/>
          <w:szCs w:val="22"/>
        </w:rPr>
        <w:t>算力需求</w:t>
      </w:r>
      <w:proofErr w:type="gramEnd"/>
      <w:r>
        <w:rPr>
          <w:rFonts w:ascii="Times New Roman" w:eastAsia="方正楷体_GBK" w:hAnsi="Times New Roman"/>
          <w:sz w:val="32"/>
          <w:szCs w:val="22"/>
        </w:rPr>
        <w:t>方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包括在蓉企业、科研机构、高校等租用非关联方提供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的算力服务</w:t>
      </w:r>
      <w:proofErr w:type="gramEnd"/>
      <w:r>
        <w:rPr>
          <w:rFonts w:ascii="Times New Roman" w:eastAsia="方正仿宋_GBK" w:hAnsi="Times New Roman"/>
          <w:sz w:val="32"/>
          <w:szCs w:val="22"/>
        </w:rPr>
        <w:t>（仅租用存储、网络、安全等服务的不包括在内），开展人工智能等研发及行业应用。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（二）</w:t>
      </w:r>
      <w:proofErr w:type="gramStart"/>
      <w:r>
        <w:rPr>
          <w:rFonts w:ascii="Times New Roman" w:eastAsia="方正楷体_GBK" w:hAnsi="Times New Roman"/>
          <w:sz w:val="32"/>
          <w:szCs w:val="22"/>
        </w:rPr>
        <w:t>算力供给</w:t>
      </w:r>
      <w:proofErr w:type="gramEnd"/>
      <w:r>
        <w:rPr>
          <w:rFonts w:ascii="Times New Roman" w:eastAsia="方正楷体_GBK" w:hAnsi="Times New Roman"/>
          <w:sz w:val="32"/>
          <w:szCs w:val="22"/>
        </w:rPr>
        <w:t>方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包括在蓉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具备算力供给</w:t>
      </w:r>
      <w:proofErr w:type="gramEnd"/>
      <w:r>
        <w:rPr>
          <w:rFonts w:ascii="Times New Roman" w:eastAsia="方正仿宋_GBK" w:hAnsi="Times New Roman"/>
          <w:sz w:val="32"/>
          <w:szCs w:val="22"/>
        </w:rPr>
        <w:t>能力</w:t>
      </w:r>
      <w:r>
        <w:rPr>
          <w:rFonts w:ascii="Times New Roman" w:eastAsia="方正仿宋_GBK" w:hAnsi="Times New Roman" w:hint="eastAsia"/>
          <w:sz w:val="32"/>
          <w:szCs w:val="22"/>
        </w:rPr>
        <w:t>的数据中心和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公共算力调度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服</w:t>
      </w:r>
      <w:r>
        <w:rPr>
          <w:rFonts w:ascii="Times New Roman" w:eastAsia="方正仿宋_GBK" w:hAnsi="Times New Roman"/>
          <w:sz w:val="32"/>
          <w:szCs w:val="22"/>
        </w:rPr>
        <w:lastRenderedPageBreak/>
        <w:t>务平台</w:t>
      </w:r>
      <w:r>
        <w:rPr>
          <w:rFonts w:ascii="Times New Roman" w:eastAsia="方正仿宋_GBK" w:hAnsi="Times New Roman" w:hint="eastAsia"/>
          <w:sz w:val="32"/>
          <w:szCs w:val="22"/>
        </w:rPr>
        <w:t>运营机构，以每年市经信局市新经济委统计公布的名单为准。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申领主体应同时满足以下条件：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申领主体具备独立法人资格；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申领主体近三年信用良好，无重大安全事故、未在严重违法失信名单有效期内；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</w:rPr>
        <w:t>3.</w:t>
      </w:r>
      <w:proofErr w:type="gramStart"/>
      <w:r>
        <w:rPr>
          <w:rFonts w:ascii="Times New Roman" w:eastAsia="方正仿宋_GBK" w:hAnsi="Times New Roman"/>
          <w:kern w:val="0"/>
          <w:sz w:val="32"/>
        </w:rPr>
        <w:t>算力供给</w:t>
      </w:r>
      <w:proofErr w:type="gramEnd"/>
      <w:r>
        <w:rPr>
          <w:rFonts w:ascii="Times New Roman" w:eastAsia="方正仿宋_GBK" w:hAnsi="Times New Roman"/>
          <w:kern w:val="0"/>
          <w:sz w:val="32"/>
        </w:rPr>
        <w:t>方和需求方</w:t>
      </w:r>
      <w:r>
        <w:rPr>
          <w:rFonts w:ascii="Times New Roman" w:eastAsia="方正仿宋_GBK" w:hAnsi="Times New Roman" w:hint="eastAsia"/>
          <w:kern w:val="0"/>
          <w:sz w:val="32"/>
        </w:rPr>
        <w:t>无</w:t>
      </w:r>
      <w:r>
        <w:rPr>
          <w:rFonts w:ascii="Times New Roman" w:eastAsia="方正仿宋_GBK" w:hAnsi="Times New Roman"/>
          <w:kern w:val="0"/>
          <w:sz w:val="32"/>
        </w:rPr>
        <w:t>关联关系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三、支持标准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（一）</w:t>
      </w:r>
      <w:proofErr w:type="gramStart"/>
      <w:r>
        <w:rPr>
          <w:rFonts w:ascii="Times New Roman" w:eastAsia="方正楷体_GBK" w:hAnsi="Times New Roman"/>
          <w:sz w:val="32"/>
          <w:szCs w:val="22"/>
        </w:rPr>
        <w:t>算力需求</w:t>
      </w:r>
      <w:proofErr w:type="gramEnd"/>
      <w:r>
        <w:rPr>
          <w:rFonts w:ascii="Times New Roman" w:eastAsia="方正楷体_GBK" w:hAnsi="Times New Roman"/>
          <w:sz w:val="32"/>
          <w:szCs w:val="22"/>
        </w:rPr>
        <w:t>方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 xml:space="preserve">1. </w:t>
      </w:r>
      <w:r>
        <w:rPr>
          <w:rFonts w:ascii="Times New Roman" w:eastAsia="方正仿宋_GBK" w:hAnsi="Times New Roman"/>
          <w:sz w:val="32"/>
          <w:szCs w:val="22"/>
        </w:rPr>
        <w:t>每年发放</w:t>
      </w:r>
      <w:r>
        <w:rPr>
          <w:rFonts w:ascii="Times New Roman" w:eastAsia="方正仿宋_GBK" w:hAnsi="Times New Roman"/>
          <w:sz w:val="32"/>
          <w:szCs w:val="22"/>
        </w:rPr>
        <w:t>300</w:t>
      </w:r>
      <w:r>
        <w:rPr>
          <w:rFonts w:ascii="Times New Roman" w:eastAsia="方正仿宋_GBK" w:hAnsi="Times New Roman"/>
          <w:sz w:val="32"/>
          <w:szCs w:val="22"/>
        </w:rPr>
        <w:t>份抵扣额度为</w:t>
      </w:r>
      <w:r>
        <w:rPr>
          <w:rFonts w:ascii="Times New Roman" w:eastAsia="方正仿宋_GBK" w:hAnsi="Times New Roman"/>
          <w:sz w:val="32"/>
          <w:szCs w:val="22"/>
        </w:rPr>
        <w:t>1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普惠算力券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，按不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超过算力</w:t>
      </w:r>
      <w:r>
        <w:rPr>
          <w:rFonts w:ascii="Times New Roman" w:eastAsia="方正仿宋_GBK" w:hAnsi="Times New Roman" w:hint="eastAsia"/>
          <w:sz w:val="32"/>
          <w:szCs w:val="22"/>
        </w:rPr>
        <w:t>支出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金额</w:t>
      </w:r>
      <w:r>
        <w:rPr>
          <w:rFonts w:ascii="Times New Roman" w:eastAsia="方正仿宋_GBK" w:hAnsi="Times New Roman"/>
          <w:sz w:val="32"/>
          <w:szCs w:val="22"/>
        </w:rPr>
        <w:t>的</w:t>
      </w:r>
      <w:r>
        <w:rPr>
          <w:rFonts w:ascii="Times New Roman" w:eastAsia="方正仿宋_GBK" w:hAnsi="Times New Roman"/>
          <w:sz w:val="32"/>
          <w:szCs w:val="22"/>
        </w:rPr>
        <w:t>50%</w:t>
      </w:r>
      <w:r>
        <w:rPr>
          <w:rFonts w:ascii="Times New Roman" w:eastAsia="方正仿宋_GBK" w:hAnsi="Times New Roman"/>
          <w:sz w:val="32"/>
          <w:szCs w:val="22"/>
        </w:rPr>
        <w:t>直接抵扣。每家单位每年限领一次。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 xml:space="preserve">2. </w:t>
      </w:r>
      <w:r>
        <w:rPr>
          <w:rFonts w:ascii="Times New Roman" w:eastAsia="方正仿宋_GBK" w:hAnsi="Times New Roman"/>
          <w:sz w:val="32"/>
          <w:szCs w:val="22"/>
        </w:rPr>
        <w:t>每年</w:t>
      </w:r>
      <w:r>
        <w:rPr>
          <w:rFonts w:ascii="Times New Roman" w:eastAsia="方正仿宋_GBK" w:hAnsi="Times New Roman" w:hint="eastAsia"/>
          <w:sz w:val="32"/>
          <w:szCs w:val="22"/>
        </w:rPr>
        <w:t>发放</w:t>
      </w:r>
      <w:r>
        <w:rPr>
          <w:rFonts w:ascii="Times New Roman" w:eastAsia="方正仿宋_GBK" w:hAnsi="Times New Roman"/>
          <w:sz w:val="32"/>
          <w:szCs w:val="22"/>
        </w:rPr>
        <w:t>135</w:t>
      </w:r>
      <w:r>
        <w:rPr>
          <w:rFonts w:ascii="Times New Roman" w:eastAsia="方正仿宋_GBK" w:hAnsi="Times New Roman"/>
          <w:sz w:val="32"/>
          <w:szCs w:val="22"/>
        </w:rPr>
        <w:t>份额度为</w:t>
      </w:r>
      <w:r>
        <w:rPr>
          <w:rFonts w:ascii="Times New Roman" w:eastAsia="方正仿宋_GBK" w:hAnsi="Times New Roman"/>
          <w:sz w:val="32"/>
          <w:szCs w:val="22"/>
        </w:rPr>
        <w:t>10</w:t>
      </w:r>
      <w:r>
        <w:rPr>
          <w:rFonts w:ascii="Times New Roman" w:eastAsia="方正仿宋_GBK" w:hAnsi="Times New Roman"/>
          <w:sz w:val="32"/>
          <w:szCs w:val="22"/>
        </w:rPr>
        <w:t>万元</w:t>
      </w:r>
      <w:r>
        <w:rPr>
          <w:rFonts w:ascii="Times New Roman" w:eastAsia="方正仿宋_GBK" w:hAnsi="Times New Roman"/>
          <w:sz w:val="32"/>
          <w:szCs w:val="22"/>
        </w:rPr>
        <w:t>—200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特惠算力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，用于补贴不超过</w:t>
      </w:r>
      <w:r>
        <w:rPr>
          <w:rFonts w:ascii="Times New Roman" w:eastAsia="方正仿宋_GBK" w:hAnsi="Times New Roman"/>
          <w:sz w:val="32"/>
          <w:szCs w:val="22"/>
        </w:rPr>
        <w:t>20%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的算力</w:t>
      </w:r>
      <w:r>
        <w:rPr>
          <w:rFonts w:ascii="Times New Roman" w:eastAsia="方正仿宋_GBK" w:hAnsi="Times New Roman" w:hint="eastAsia"/>
          <w:sz w:val="32"/>
          <w:szCs w:val="22"/>
        </w:rPr>
        <w:t>支出</w:t>
      </w:r>
      <w:proofErr w:type="gramEnd"/>
      <w:r>
        <w:rPr>
          <w:rFonts w:ascii="Times New Roman" w:eastAsia="方正仿宋_GBK" w:hAnsi="Times New Roman"/>
          <w:sz w:val="32"/>
          <w:szCs w:val="22"/>
        </w:rPr>
        <w:t>费用</w:t>
      </w:r>
      <w:r>
        <w:rPr>
          <w:rFonts w:ascii="Times New Roman" w:eastAsia="方正仿宋_GBK" w:hAnsi="Times New Roman" w:hint="eastAsia"/>
          <w:sz w:val="32"/>
          <w:szCs w:val="22"/>
        </w:rPr>
        <w:t>。</w:t>
      </w:r>
      <w:r>
        <w:rPr>
          <w:rFonts w:ascii="Times New Roman" w:eastAsia="方正仿宋_GBK" w:hAnsi="Times New Roman"/>
          <w:sz w:val="32"/>
          <w:szCs w:val="22"/>
        </w:rPr>
        <w:t>每家单位每年限领一份。具体</w:t>
      </w:r>
      <w:r>
        <w:rPr>
          <w:rFonts w:ascii="Times New Roman" w:eastAsia="方正仿宋_GBK" w:hAnsi="Times New Roman" w:hint="eastAsia"/>
          <w:sz w:val="32"/>
          <w:szCs w:val="22"/>
        </w:rPr>
        <w:t>数量和</w:t>
      </w:r>
      <w:r>
        <w:rPr>
          <w:rFonts w:ascii="Times New Roman" w:eastAsia="方正仿宋_GBK" w:hAnsi="Times New Roman"/>
          <w:sz w:val="32"/>
          <w:szCs w:val="22"/>
        </w:rPr>
        <w:t>标准如下：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汉仪书宋二S" w:hAnsi="Times New Roman"/>
          <w:sz w:val="32"/>
          <w:szCs w:val="22"/>
        </w:rPr>
        <w:t>①</w:t>
      </w:r>
      <w:r>
        <w:rPr>
          <w:rFonts w:ascii="Times New Roman" w:eastAsia="方正仿宋_GBK" w:hAnsi="Times New Roman"/>
          <w:sz w:val="32"/>
          <w:szCs w:val="22"/>
        </w:rPr>
        <w:t>200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5</w:t>
      </w:r>
      <w:r>
        <w:rPr>
          <w:rFonts w:ascii="Times New Roman" w:eastAsia="方正仿宋_GBK" w:hAnsi="Times New Roman"/>
          <w:sz w:val="32"/>
          <w:szCs w:val="22"/>
        </w:rPr>
        <w:t>份，</w:t>
      </w:r>
      <w:r>
        <w:rPr>
          <w:rFonts w:ascii="Times New Roman" w:eastAsia="方正仿宋_GBK" w:hAnsi="Times New Roman" w:hint="eastAsia"/>
          <w:sz w:val="32"/>
          <w:szCs w:val="22"/>
        </w:rPr>
        <w:t>每份</w:t>
      </w:r>
      <w:r>
        <w:rPr>
          <w:rFonts w:ascii="Times New Roman" w:eastAsia="方正仿宋_GBK" w:hAnsi="Times New Roman"/>
          <w:sz w:val="32"/>
          <w:szCs w:val="22"/>
        </w:rPr>
        <w:t>要求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上年度</w:t>
      </w:r>
      <w:r>
        <w:rPr>
          <w:rFonts w:ascii="Times New Roman" w:eastAsia="方正仿宋_GBK" w:hAnsi="Times New Roman"/>
          <w:sz w:val="32"/>
          <w:szCs w:val="22"/>
        </w:rPr>
        <w:t>算力</w:t>
      </w:r>
      <w:r>
        <w:rPr>
          <w:rFonts w:ascii="Times New Roman" w:eastAsia="方正仿宋_GBK" w:hAnsi="Times New Roman" w:hint="eastAsia"/>
          <w:sz w:val="32"/>
          <w:szCs w:val="22"/>
        </w:rPr>
        <w:t>支出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总</w:t>
      </w:r>
      <w:r>
        <w:rPr>
          <w:rFonts w:ascii="Times New Roman" w:eastAsia="方正仿宋_GBK" w:hAnsi="Times New Roman"/>
          <w:sz w:val="32"/>
          <w:szCs w:val="22"/>
        </w:rPr>
        <w:t>额不小于</w:t>
      </w:r>
      <w:r>
        <w:rPr>
          <w:rFonts w:ascii="Times New Roman" w:eastAsia="方正仿宋_GBK" w:hAnsi="Times New Roman"/>
          <w:sz w:val="32"/>
          <w:szCs w:val="22"/>
        </w:rPr>
        <w:t>1000</w:t>
      </w:r>
      <w:r>
        <w:rPr>
          <w:rFonts w:ascii="Times New Roman" w:eastAsia="方正仿宋_GBK" w:hAnsi="Times New Roman"/>
          <w:sz w:val="32"/>
          <w:szCs w:val="22"/>
        </w:rPr>
        <w:t>万元；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汉仪书宋二S" w:hAnsi="Times New Roman"/>
          <w:sz w:val="32"/>
          <w:szCs w:val="22"/>
        </w:rPr>
        <w:t>②</w:t>
      </w:r>
      <w:r>
        <w:rPr>
          <w:rFonts w:ascii="Times New Roman" w:eastAsia="方正仿宋_GBK" w:hAnsi="Times New Roman"/>
          <w:sz w:val="32"/>
          <w:szCs w:val="22"/>
        </w:rPr>
        <w:t>100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10</w:t>
      </w:r>
      <w:r>
        <w:rPr>
          <w:rFonts w:ascii="Times New Roman" w:eastAsia="方正仿宋_GBK" w:hAnsi="Times New Roman"/>
          <w:sz w:val="32"/>
          <w:szCs w:val="22"/>
        </w:rPr>
        <w:t>份，每份要求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上年度算力支出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总额不小于</w:t>
      </w:r>
      <w:r>
        <w:rPr>
          <w:rFonts w:ascii="Times New Roman" w:eastAsia="方正仿宋_GBK" w:hAnsi="Times New Roman"/>
          <w:sz w:val="32"/>
          <w:szCs w:val="22"/>
        </w:rPr>
        <w:t>500</w:t>
      </w:r>
      <w:r>
        <w:rPr>
          <w:rFonts w:ascii="Times New Roman" w:eastAsia="方正仿宋_GBK" w:hAnsi="Times New Roman"/>
          <w:sz w:val="32"/>
          <w:szCs w:val="22"/>
        </w:rPr>
        <w:t>万元；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汉仪书宋二S" w:hAnsi="Times New Roman"/>
          <w:sz w:val="32"/>
          <w:szCs w:val="22"/>
        </w:rPr>
        <w:t>③</w:t>
      </w:r>
      <w:r>
        <w:rPr>
          <w:rFonts w:ascii="Times New Roman" w:eastAsia="方正仿宋_GBK" w:hAnsi="Times New Roman"/>
          <w:sz w:val="32"/>
          <w:szCs w:val="22"/>
        </w:rPr>
        <w:t>50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20</w:t>
      </w:r>
      <w:r>
        <w:rPr>
          <w:rFonts w:ascii="Times New Roman" w:eastAsia="方正仿宋_GBK" w:hAnsi="Times New Roman"/>
          <w:sz w:val="32"/>
          <w:szCs w:val="22"/>
        </w:rPr>
        <w:t>份，每份要求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上年度算力支出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总额不小于</w:t>
      </w:r>
      <w:r>
        <w:rPr>
          <w:rFonts w:ascii="Times New Roman" w:eastAsia="方正仿宋_GBK" w:hAnsi="Times New Roman"/>
          <w:sz w:val="32"/>
          <w:szCs w:val="22"/>
        </w:rPr>
        <w:t>250</w:t>
      </w:r>
      <w:r>
        <w:rPr>
          <w:rFonts w:ascii="Times New Roman" w:eastAsia="方正仿宋_GBK" w:hAnsi="Times New Roman"/>
          <w:sz w:val="32"/>
          <w:szCs w:val="22"/>
        </w:rPr>
        <w:t>万元；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汉仪书宋二S" w:hAnsi="Times New Roman"/>
          <w:sz w:val="32"/>
          <w:szCs w:val="22"/>
        </w:rPr>
        <w:t>④3</w:t>
      </w:r>
      <w:r>
        <w:rPr>
          <w:rFonts w:ascii="Times New Roman" w:eastAsia="方正仿宋_GBK" w:hAnsi="Times New Roman"/>
          <w:sz w:val="32"/>
          <w:szCs w:val="22"/>
        </w:rPr>
        <w:t>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50</w:t>
      </w:r>
      <w:r>
        <w:rPr>
          <w:rFonts w:ascii="Times New Roman" w:eastAsia="方正仿宋_GBK" w:hAnsi="Times New Roman"/>
          <w:sz w:val="32"/>
          <w:szCs w:val="22"/>
        </w:rPr>
        <w:t>份，每份要求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上年度算力支出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总额不小于</w:t>
      </w:r>
      <w:r>
        <w:rPr>
          <w:rFonts w:ascii="Times New Roman" w:eastAsia="方正仿宋_GBK" w:hAnsi="Times New Roman"/>
          <w:sz w:val="32"/>
          <w:szCs w:val="22"/>
        </w:rPr>
        <w:t>150</w:t>
      </w:r>
      <w:r>
        <w:rPr>
          <w:rFonts w:ascii="Times New Roman" w:eastAsia="方正仿宋_GBK" w:hAnsi="Times New Roman"/>
          <w:sz w:val="32"/>
          <w:szCs w:val="22"/>
        </w:rPr>
        <w:lastRenderedPageBreak/>
        <w:t>万元；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汉仪书宋二S" w:hAnsi="Times New Roman"/>
          <w:sz w:val="32"/>
          <w:szCs w:val="22"/>
        </w:rPr>
        <w:t>⑤</w:t>
      </w:r>
      <w:r>
        <w:rPr>
          <w:rFonts w:ascii="Times New Roman" w:eastAsia="方正仿宋_GBK" w:hAnsi="Times New Roman"/>
          <w:sz w:val="32"/>
          <w:szCs w:val="22"/>
        </w:rPr>
        <w:t>10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/>
          <w:sz w:val="32"/>
          <w:szCs w:val="22"/>
        </w:rPr>
        <w:t>50</w:t>
      </w:r>
      <w:r>
        <w:rPr>
          <w:rFonts w:ascii="Times New Roman" w:eastAsia="方正仿宋_GBK" w:hAnsi="Times New Roman"/>
          <w:sz w:val="32"/>
          <w:szCs w:val="22"/>
        </w:rPr>
        <w:t>份，每份要求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上年度算力支出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总额不小于</w:t>
      </w:r>
      <w:r>
        <w:rPr>
          <w:rFonts w:ascii="Times New Roman" w:eastAsia="方正仿宋_GBK" w:hAnsi="Times New Roman"/>
          <w:sz w:val="32"/>
          <w:szCs w:val="22"/>
        </w:rPr>
        <w:t>50</w:t>
      </w:r>
      <w:r>
        <w:rPr>
          <w:rFonts w:ascii="Times New Roman" w:eastAsia="方正仿宋_GBK" w:hAnsi="Times New Roman"/>
          <w:sz w:val="32"/>
          <w:szCs w:val="22"/>
        </w:rPr>
        <w:t>万元。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（二）</w:t>
      </w:r>
      <w:proofErr w:type="gramStart"/>
      <w:r>
        <w:rPr>
          <w:rFonts w:ascii="Times New Roman" w:eastAsia="方正楷体_GBK" w:hAnsi="Times New Roman"/>
          <w:sz w:val="32"/>
          <w:szCs w:val="22"/>
        </w:rPr>
        <w:t>算力供给</w:t>
      </w:r>
      <w:proofErr w:type="gramEnd"/>
      <w:r>
        <w:rPr>
          <w:rFonts w:ascii="Times New Roman" w:eastAsia="方正楷体_GBK" w:hAnsi="Times New Roman"/>
          <w:sz w:val="32"/>
          <w:szCs w:val="22"/>
        </w:rPr>
        <w:t>方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 w:hint="eastAsia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22"/>
        </w:rPr>
        <w:t>每年根据</w:t>
      </w:r>
      <w:r>
        <w:rPr>
          <w:rFonts w:ascii="Times New Roman" w:eastAsia="方正仿宋_GBK" w:hAnsi="Times New Roman"/>
          <w:sz w:val="32"/>
          <w:szCs w:val="22"/>
        </w:rPr>
        <w:t>上一年度支持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普惠算力券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和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特惠算力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使用</w:t>
      </w:r>
      <w:r>
        <w:rPr>
          <w:rFonts w:ascii="Times New Roman" w:eastAsia="方正仿宋_GBK" w:hAnsi="Times New Roman" w:hint="eastAsia"/>
          <w:sz w:val="32"/>
          <w:szCs w:val="22"/>
        </w:rPr>
        <w:t>情况，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为算力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供给方发放“算力补贴券”，用于补贴不超过</w:t>
      </w:r>
      <w:r>
        <w:rPr>
          <w:rFonts w:ascii="Times New Roman" w:eastAsia="方正仿宋_GBK" w:hAnsi="Times New Roman" w:hint="eastAsia"/>
          <w:sz w:val="32"/>
          <w:szCs w:val="22"/>
        </w:rPr>
        <w:t>20%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的算力服务费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用</w:t>
      </w:r>
      <w:r>
        <w:rPr>
          <w:rFonts w:ascii="Times New Roman" w:eastAsia="方正仿宋_GBK" w:hAnsi="Times New Roman"/>
          <w:sz w:val="32"/>
          <w:szCs w:val="22"/>
        </w:rPr>
        <w:t>，每家单位每</w:t>
      </w:r>
      <w:r>
        <w:rPr>
          <w:rFonts w:ascii="Times New Roman" w:eastAsia="方正仿宋_GBK" w:hAnsi="Times New Roman" w:hint="eastAsia"/>
          <w:sz w:val="32"/>
          <w:szCs w:val="22"/>
        </w:rPr>
        <w:t>年度</w:t>
      </w:r>
      <w:r>
        <w:rPr>
          <w:rFonts w:ascii="Times New Roman" w:eastAsia="方正仿宋_GBK" w:hAnsi="Times New Roman"/>
          <w:sz w:val="32"/>
          <w:szCs w:val="22"/>
        </w:rPr>
        <w:t>最高可获取</w:t>
      </w:r>
      <w:r>
        <w:rPr>
          <w:rFonts w:ascii="Times New Roman" w:eastAsia="方正仿宋_GBK" w:hAnsi="Times New Roman"/>
          <w:sz w:val="32"/>
          <w:szCs w:val="22"/>
        </w:rPr>
        <w:t>200</w:t>
      </w:r>
      <w:r>
        <w:rPr>
          <w:rFonts w:ascii="Times New Roman" w:eastAsia="方正仿宋_GBK" w:hAnsi="Times New Roman"/>
          <w:sz w:val="32"/>
          <w:szCs w:val="22"/>
        </w:rPr>
        <w:t>万元补贴</w:t>
      </w:r>
      <w:r>
        <w:rPr>
          <w:rFonts w:ascii="Times New Roman" w:eastAsia="方正仿宋_GBK" w:hAnsi="Times New Roman" w:hint="eastAsia"/>
          <w:sz w:val="32"/>
          <w:szCs w:val="22"/>
        </w:rPr>
        <w:t>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 xml:space="preserve">2. </w:t>
      </w:r>
      <w:r>
        <w:rPr>
          <w:rFonts w:ascii="Times New Roman" w:eastAsia="方正仿宋_GBK" w:hAnsi="Times New Roman" w:hint="eastAsia"/>
          <w:sz w:val="32"/>
          <w:szCs w:val="22"/>
        </w:rPr>
        <w:t>鼓励数据中心绿色发展，</w:t>
      </w:r>
      <w:r>
        <w:rPr>
          <w:rFonts w:ascii="Times New Roman" w:eastAsia="方正仿宋_GBK" w:hAnsi="Times New Roman"/>
          <w:sz w:val="32"/>
          <w:szCs w:val="22"/>
        </w:rPr>
        <w:t>对新获批的国家绿色数据中心一次性给予</w:t>
      </w:r>
      <w:r>
        <w:rPr>
          <w:rFonts w:ascii="Times New Roman" w:eastAsia="方正仿宋_GBK" w:hAnsi="Times New Roman"/>
          <w:sz w:val="32"/>
          <w:szCs w:val="22"/>
        </w:rPr>
        <w:t>100</w:t>
      </w:r>
      <w:r>
        <w:rPr>
          <w:rFonts w:ascii="Times New Roman" w:eastAsia="方正仿宋_GBK" w:hAnsi="Times New Roman"/>
          <w:sz w:val="32"/>
          <w:szCs w:val="22"/>
        </w:rPr>
        <w:t>万元的</w:t>
      </w:r>
      <w:r>
        <w:rPr>
          <w:rFonts w:ascii="Times New Roman" w:eastAsia="方正仿宋_GBK" w:hAnsi="Times New Roman" w:hint="eastAsia"/>
          <w:sz w:val="32"/>
          <w:szCs w:val="22"/>
        </w:rPr>
        <w:t>“绿色算力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奖励。</w:t>
      </w: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四、</w:t>
      </w:r>
      <w:r>
        <w:rPr>
          <w:rFonts w:ascii="Times New Roman" w:eastAsia="方正黑体_GBK" w:hAnsi="Times New Roman" w:hint="eastAsia"/>
          <w:sz w:val="32"/>
        </w:rPr>
        <w:t>实施</w:t>
      </w:r>
      <w:r>
        <w:rPr>
          <w:rFonts w:ascii="Times New Roman" w:eastAsia="方正黑体_GBK" w:hAnsi="Times New Roman"/>
          <w:sz w:val="32"/>
        </w:rPr>
        <w:t>程序</w:t>
      </w:r>
      <w:r>
        <w:rPr>
          <w:rFonts w:ascii="Times New Roman" w:eastAsia="方正黑体_GBK" w:hAnsi="Times New Roman" w:hint="eastAsia"/>
          <w:sz w:val="32"/>
        </w:rPr>
        <w:t>和申报材料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（一）普</w:t>
      </w:r>
      <w:proofErr w:type="gramStart"/>
      <w:r>
        <w:rPr>
          <w:rFonts w:ascii="Times New Roman" w:eastAsia="方正楷体_GBK" w:hAnsi="Times New Roman"/>
          <w:sz w:val="32"/>
          <w:szCs w:val="22"/>
        </w:rPr>
        <w:t>惠算力券</w:t>
      </w:r>
      <w:proofErr w:type="gramEnd"/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b/>
          <w:bCs/>
          <w:sz w:val="32"/>
          <w:szCs w:val="22"/>
        </w:rPr>
        <w:t>申领。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算力需求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方登录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 w:hint="eastAsia"/>
          <w:sz w:val="32"/>
          <w:szCs w:val="22"/>
        </w:rPr>
        <w:t>天府蓉易享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平台，提交相关证明材料（包括</w:t>
      </w:r>
      <w:r>
        <w:rPr>
          <w:rFonts w:ascii="Times New Roman" w:eastAsia="方正仿宋_GBK" w:hAnsi="Times New Roman" w:hint="eastAsia"/>
          <w:sz w:val="32"/>
          <w:szCs w:val="22"/>
        </w:rPr>
        <w:t>：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普惠算力券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申领表、企业营业执照或事业单位法人证书、法人代表人</w:t>
      </w:r>
      <w:r>
        <w:rPr>
          <w:rFonts w:ascii="Times New Roman" w:eastAsia="方正仿宋_GBK" w:hAnsi="Times New Roman"/>
          <w:sz w:val="32"/>
          <w:szCs w:val="22"/>
        </w:rPr>
        <w:t>/</w:t>
      </w:r>
      <w:r>
        <w:rPr>
          <w:rFonts w:ascii="Times New Roman" w:eastAsia="方正仿宋_GBK" w:hAnsi="Times New Roman"/>
          <w:sz w:val="32"/>
          <w:szCs w:val="22"/>
        </w:rPr>
        <w:t>负责人身份证复印件、材料真实性承诺书、无违法违规行为承诺书等），市经信局市新经济委按</w:t>
      </w:r>
      <w:r>
        <w:rPr>
          <w:rFonts w:ascii="Times New Roman" w:eastAsia="方正仿宋_GBK" w:hAnsi="Times New Roman" w:hint="eastAsia"/>
          <w:sz w:val="32"/>
          <w:szCs w:val="22"/>
        </w:rPr>
        <w:t>平台</w:t>
      </w:r>
      <w:r>
        <w:rPr>
          <w:rFonts w:ascii="Times New Roman" w:eastAsia="方正仿宋_GBK" w:hAnsi="Times New Roman"/>
          <w:sz w:val="32"/>
          <w:szCs w:val="22"/>
        </w:rPr>
        <w:t>提交材料先后顺序审核发放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普惠算力券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凭证，发完即止。</w:t>
      </w:r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22"/>
        </w:rPr>
        <w:t>使用。</w:t>
      </w:r>
      <w:bookmarkStart w:id="0" w:name="_Hlk126767427"/>
      <w:proofErr w:type="gramStart"/>
      <w:r>
        <w:rPr>
          <w:rFonts w:ascii="Times New Roman" w:eastAsia="方正仿宋_GBK" w:hAnsi="Times New Roman"/>
          <w:sz w:val="32"/>
          <w:szCs w:val="22"/>
        </w:rPr>
        <w:t>算力需求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方</w:t>
      </w:r>
      <w:r>
        <w:rPr>
          <w:rFonts w:ascii="Times New Roman" w:eastAsia="方正仿宋_GBK" w:hAnsi="Times New Roman"/>
          <w:sz w:val="32"/>
          <w:szCs w:val="32"/>
        </w:rPr>
        <w:t>将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普惠算力券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凭证</w:t>
      </w:r>
      <w:r>
        <w:rPr>
          <w:rFonts w:ascii="Times New Roman" w:eastAsia="方正仿宋_GBK" w:hAnsi="Times New Roman"/>
          <w:sz w:val="32"/>
          <w:szCs w:val="32"/>
        </w:rPr>
        <w:t>提供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给算力供给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方</w:t>
      </w:r>
      <w:r>
        <w:rPr>
          <w:rFonts w:ascii="Times New Roman" w:eastAsia="方正仿宋_GBK" w:hAnsi="Times New Roman" w:hint="eastAsia"/>
          <w:sz w:val="32"/>
          <w:szCs w:val="32"/>
        </w:rPr>
        <w:t>按不超过实际支付金额的</w:t>
      </w:r>
      <w:r>
        <w:rPr>
          <w:rFonts w:ascii="Times New Roman" w:eastAsia="方正仿宋_GBK" w:hAnsi="Times New Roman" w:hint="eastAsia"/>
          <w:sz w:val="32"/>
          <w:szCs w:val="32"/>
        </w:rPr>
        <w:t>50%</w:t>
      </w:r>
      <w:r>
        <w:rPr>
          <w:rFonts w:ascii="Times New Roman" w:eastAsia="方正仿宋_GBK" w:hAnsi="Times New Roman"/>
          <w:sz w:val="32"/>
          <w:szCs w:val="32"/>
        </w:rPr>
        <w:t>抵扣相应费用</w:t>
      </w:r>
      <w:bookmarkEnd w:id="0"/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普惠算力券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当年领取当年有效。</w:t>
      </w:r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兑付。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算力供给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方登录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天府蓉易享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平台，提交相关证明材料（包括：企业营业执照或事业单位法人证书、法人代表人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负</w:t>
      </w:r>
      <w:r>
        <w:rPr>
          <w:rFonts w:ascii="Times New Roman" w:eastAsia="方正仿宋_GBK" w:hAnsi="Times New Roman"/>
          <w:sz w:val="32"/>
          <w:szCs w:val="32"/>
        </w:rPr>
        <w:lastRenderedPageBreak/>
        <w:t>责人身份证复印件、材料真实性承诺书、无违法违规行为承诺书等资格审核材料；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普惠算力券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兑现申请表、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普惠算力券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凭证、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算力服务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合同、费用支付凭证、结算发票、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完成</w:t>
      </w:r>
      <w:r>
        <w:rPr>
          <w:rFonts w:ascii="Times New Roman" w:eastAsia="方正仿宋_GBK" w:hAnsi="Times New Roman"/>
          <w:sz w:val="32"/>
          <w:szCs w:val="32"/>
        </w:rPr>
        <w:t>算力服务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凭证等申报材料），</w:t>
      </w:r>
      <w:r>
        <w:rPr>
          <w:rFonts w:ascii="Times New Roman" w:eastAsia="方正仿宋_GBK" w:hAnsi="Times New Roman"/>
          <w:sz w:val="32"/>
          <w:szCs w:val="22"/>
        </w:rPr>
        <w:t>市经信局市新经济委审核通过后，按流程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向算力</w:t>
      </w:r>
      <w:proofErr w:type="gramEnd"/>
      <w:r>
        <w:rPr>
          <w:rFonts w:ascii="Times New Roman" w:eastAsia="方正仿宋_GBK" w:hAnsi="Times New Roman"/>
          <w:sz w:val="32"/>
          <w:szCs w:val="22"/>
        </w:rPr>
        <w:t>供给方拨付对应的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普惠算力券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金额。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/>
          <w:sz w:val="32"/>
          <w:szCs w:val="22"/>
        </w:rPr>
      </w:pPr>
      <w:r>
        <w:rPr>
          <w:rFonts w:ascii="Times New Roman" w:eastAsia="方正楷体_GBK" w:hAnsi="Times New Roman"/>
          <w:sz w:val="32"/>
          <w:szCs w:val="22"/>
        </w:rPr>
        <w:t>（</w:t>
      </w:r>
      <w:r>
        <w:rPr>
          <w:rFonts w:ascii="Times New Roman" w:eastAsia="方正楷体_GBK" w:hAnsi="Times New Roman" w:hint="eastAsia"/>
          <w:sz w:val="32"/>
          <w:szCs w:val="22"/>
        </w:rPr>
        <w:t>二</w:t>
      </w:r>
      <w:r>
        <w:rPr>
          <w:rFonts w:ascii="Times New Roman" w:eastAsia="方正楷体_GBK" w:hAnsi="Times New Roman"/>
          <w:sz w:val="32"/>
          <w:szCs w:val="22"/>
        </w:rPr>
        <w:t>）特惠算力</w:t>
      </w:r>
      <w:proofErr w:type="gramStart"/>
      <w:r>
        <w:rPr>
          <w:rFonts w:ascii="Times New Roman" w:eastAsia="方正楷体_GBK" w:hAnsi="Times New Roman"/>
          <w:sz w:val="32"/>
          <w:szCs w:val="22"/>
        </w:rPr>
        <w:t>券</w:t>
      </w:r>
      <w:proofErr w:type="gramEnd"/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b/>
          <w:bCs/>
          <w:sz w:val="32"/>
          <w:szCs w:val="22"/>
        </w:rPr>
        <w:t>申领。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算力需求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方登录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天府蓉易享</w:t>
      </w:r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平台，提交相关证明材料（包括：企业营业执照或事业单位法人证书、法人代表人</w:t>
      </w:r>
      <w:r>
        <w:rPr>
          <w:rFonts w:ascii="Times New Roman" w:eastAsia="方正仿宋_GBK" w:hAnsi="Times New Roman"/>
          <w:sz w:val="32"/>
          <w:szCs w:val="22"/>
        </w:rPr>
        <w:t>/</w:t>
      </w:r>
      <w:r>
        <w:rPr>
          <w:rFonts w:ascii="Times New Roman" w:eastAsia="方正仿宋_GBK" w:hAnsi="Times New Roman"/>
          <w:sz w:val="32"/>
          <w:szCs w:val="22"/>
        </w:rPr>
        <w:t>负责人身份证复印件、材料真实性承诺书、无违法违规行为承诺书等资格审核材料；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算力服务</w:t>
      </w:r>
      <w:proofErr w:type="gramEnd"/>
      <w:r>
        <w:rPr>
          <w:rFonts w:ascii="Times New Roman" w:eastAsia="方正仿宋_GBK" w:hAnsi="Times New Roman"/>
          <w:sz w:val="32"/>
          <w:szCs w:val="22"/>
        </w:rPr>
        <w:t>合同、费用支付凭证、结算发票、</w:t>
      </w:r>
      <w:r>
        <w:rPr>
          <w:rFonts w:ascii="Times New Roman" w:eastAsia="方正仿宋_GBK" w:hAnsi="Times New Roman" w:hint="eastAsia"/>
          <w:sz w:val="32"/>
          <w:szCs w:val="22"/>
        </w:rPr>
        <w:t>年度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使用</w:t>
      </w:r>
      <w:r>
        <w:rPr>
          <w:rFonts w:ascii="Times New Roman" w:eastAsia="方正仿宋_GBK" w:hAnsi="Times New Roman"/>
          <w:sz w:val="32"/>
          <w:szCs w:val="22"/>
        </w:rPr>
        <w:t>算力服务</w:t>
      </w:r>
      <w:proofErr w:type="gramEnd"/>
      <w:r>
        <w:rPr>
          <w:rFonts w:ascii="Times New Roman" w:eastAsia="方正仿宋_GBK" w:hAnsi="Times New Roman"/>
          <w:sz w:val="32"/>
          <w:szCs w:val="22"/>
        </w:rPr>
        <w:t>凭证等申报材料），市经信局市新经济委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按</w:t>
      </w:r>
      <w:r>
        <w:rPr>
          <w:rFonts w:ascii="Times New Roman" w:eastAsia="方正仿宋_GBK" w:hAnsi="Times New Roman" w:hint="eastAsia"/>
          <w:sz w:val="32"/>
          <w:szCs w:val="22"/>
        </w:rPr>
        <w:t>算力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支出金额大小（同一区间按平台提交时间排序）对前</w:t>
      </w:r>
      <w:r>
        <w:rPr>
          <w:rFonts w:ascii="Times New Roman" w:eastAsia="方正仿宋_GBK" w:hAnsi="Times New Roman" w:hint="eastAsia"/>
          <w:sz w:val="32"/>
          <w:szCs w:val="22"/>
        </w:rPr>
        <w:t>135</w:t>
      </w:r>
      <w:r>
        <w:rPr>
          <w:rFonts w:ascii="Times New Roman" w:eastAsia="方正仿宋_GBK" w:hAnsi="Times New Roman" w:hint="eastAsia"/>
          <w:sz w:val="32"/>
          <w:szCs w:val="22"/>
        </w:rPr>
        <w:t>家申报主体进行</w:t>
      </w:r>
      <w:r>
        <w:rPr>
          <w:rFonts w:ascii="Times New Roman" w:eastAsia="方正仿宋_GBK" w:hAnsi="Times New Roman"/>
          <w:sz w:val="32"/>
          <w:szCs w:val="22"/>
        </w:rPr>
        <w:t>审核，审核通过后</w:t>
      </w:r>
      <w:r>
        <w:rPr>
          <w:rFonts w:ascii="Times New Roman" w:eastAsia="方正仿宋_GBK" w:hAnsi="Times New Roman" w:hint="eastAsia"/>
          <w:sz w:val="32"/>
          <w:szCs w:val="22"/>
        </w:rPr>
        <w:t>（审核不通过的，依次递补）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按算力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支出金额匹配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特惠算力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 w:hint="eastAsia"/>
          <w:sz w:val="32"/>
          <w:szCs w:val="22"/>
        </w:rPr>
        <w:t>形成分配方案并进行公示。</w:t>
      </w:r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b/>
          <w:bCs/>
          <w:sz w:val="32"/>
          <w:szCs w:val="22"/>
        </w:rPr>
        <w:t>兑付。</w:t>
      </w:r>
      <w:r>
        <w:rPr>
          <w:rFonts w:ascii="Times New Roman" w:eastAsia="方正仿宋_GBK" w:hAnsi="Times New Roman" w:hint="eastAsia"/>
          <w:sz w:val="32"/>
          <w:szCs w:val="22"/>
        </w:rPr>
        <w:t>“特惠算力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”分配方案公示无异议后，</w:t>
      </w:r>
      <w:r>
        <w:rPr>
          <w:rFonts w:ascii="Times New Roman" w:eastAsia="方正仿宋_GBK" w:hAnsi="Times New Roman"/>
          <w:sz w:val="32"/>
          <w:szCs w:val="22"/>
        </w:rPr>
        <w:t>市经信局市新经济委按流程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向算力需求</w:t>
      </w:r>
      <w:proofErr w:type="gramEnd"/>
      <w:r>
        <w:rPr>
          <w:rFonts w:ascii="Times New Roman" w:eastAsia="方正仿宋_GBK" w:hAnsi="Times New Roman"/>
          <w:sz w:val="32"/>
          <w:szCs w:val="22"/>
        </w:rPr>
        <w:t>方拨付对应的</w:t>
      </w:r>
      <w:r>
        <w:rPr>
          <w:rFonts w:ascii="Times New Roman" w:eastAsia="方正仿宋_GBK" w:hAnsi="Times New Roman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特惠算力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金额。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 w:hint="eastAsia"/>
          <w:sz w:val="32"/>
          <w:szCs w:val="22"/>
        </w:rPr>
      </w:pPr>
      <w:r>
        <w:rPr>
          <w:rFonts w:ascii="Times New Roman" w:eastAsia="方正楷体_GBK" w:hAnsi="Times New Roman" w:hint="eastAsia"/>
          <w:sz w:val="32"/>
          <w:szCs w:val="22"/>
        </w:rPr>
        <w:t>（三）</w:t>
      </w:r>
      <w:proofErr w:type="gramStart"/>
      <w:r>
        <w:rPr>
          <w:rFonts w:ascii="Times New Roman" w:eastAsia="方正楷体_GBK" w:hAnsi="Times New Roman" w:hint="eastAsia"/>
          <w:sz w:val="32"/>
          <w:szCs w:val="22"/>
        </w:rPr>
        <w:t>算力补贴券</w:t>
      </w:r>
      <w:proofErr w:type="gramEnd"/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 w:hint="eastAsia"/>
          <w:sz w:val="32"/>
          <w:szCs w:val="22"/>
        </w:rPr>
      </w:pPr>
      <w:r>
        <w:rPr>
          <w:rFonts w:ascii="Times New Roman" w:eastAsia="方正仿宋_GBK" w:hAnsi="Times New Roman" w:hint="eastAsia"/>
          <w:b/>
          <w:bCs/>
          <w:sz w:val="32"/>
          <w:szCs w:val="22"/>
        </w:rPr>
        <w:t>申领。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算力供给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方登录“天府蓉易享”平台，提交相关证明材料（包括：企业营业执照或事业单位法人证书、法人代表人</w:t>
      </w:r>
      <w:r>
        <w:rPr>
          <w:rFonts w:ascii="Times New Roman" w:eastAsia="方正仿宋_GBK" w:hAnsi="Times New Roman" w:hint="eastAsia"/>
          <w:sz w:val="32"/>
          <w:szCs w:val="22"/>
        </w:rPr>
        <w:t>/</w:t>
      </w:r>
      <w:r>
        <w:rPr>
          <w:rFonts w:ascii="Times New Roman" w:eastAsia="方正仿宋_GBK" w:hAnsi="Times New Roman" w:hint="eastAsia"/>
          <w:sz w:val="32"/>
          <w:szCs w:val="22"/>
        </w:rPr>
        <w:t>负责人身份证复印件、材料真实性承诺书、无违法违规行为承诺书等资格审核材料），市经信局市新经济委根据“普惠算力券”</w:t>
      </w:r>
      <w:r>
        <w:rPr>
          <w:rFonts w:ascii="Times New Roman" w:eastAsia="方正仿宋_GBK" w:hAnsi="Times New Roman" w:hint="eastAsia"/>
          <w:sz w:val="32"/>
          <w:szCs w:val="22"/>
        </w:rPr>
        <w:lastRenderedPageBreak/>
        <w:t>和“特惠算力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券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”兑付情况，形成“算力补贴券”分配方案并进行公示。</w:t>
      </w:r>
    </w:p>
    <w:p w:rsidR="00751249" w:rsidRDefault="00751249" w:rsidP="00751249">
      <w:pPr>
        <w:spacing w:line="590" w:lineRule="exact"/>
        <w:ind w:firstLineChars="200" w:firstLine="643"/>
        <w:rPr>
          <w:rFonts w:ascii="Times New Roman" w:eastAsia="方正仿宋_GBK" w:hAnsi="Times New Roman" w:hint="eastAsia"/>
          <w:sz w:val="32"/>
          <w:szCs w:val="22"/>
        </w:rPr>
      </w:pPr>
      <w:r>
        <w:rPr>
          <w:rFonts w:ascii="Times New Roman" w:eastAsia="方正仿宋_GBK" w:hAnsi="Times New Roman" w:hint="eastAsia"/>
          <w:b/>
          <w:bCs/>
          <w:sz w:val="32"/>
          <w:szCs w:val="22"/>
        </w:rPr>
        <w:t>兑付。</w:t>
      </w:r>
      <w:r>
        <w:rPr>
          <w:rFonts w:ascii="Times New Roman" w:eastAsia="方正仿宋_GBK" w:hAnsi="Times New Roman" w:hint="eastAsia"/>
          <w:sz w:val="32"/>
          <w:szCs w:val="22"/>
        </w:rPr>
        <w:t>“算力补贴券”分配方案公示无异议后，市经信局市新经济委按流程</w:t>
      </w:r>
      <w:proofErr w:type="gramStart"/>
      <w:r>
        <w:rPr>
          <w:rFonts w:ascii="Times New Roman" w:eastAsia="方正仿宋_GBK" w:hAnsi="Times New Roman" w:hint="eastAsia"/>
          <w:sz w:val="32"/>
          <w:szCs w:val="22"/>
        </w:rPr>
        <w:t>向算力</w:t>
      </w:r>
      <w:proofErr w:type="gramEnd"/>
      <w:r>
        <w:rPr>
          <w:rFonts w:ascii="Times New Roman" w:eastAsia="方正仿宋_GBK" w:hAnsi="Times New Roman" w:hint="eastAsia"/>
          <w:sz w:val="32"/>
          <w:szCs w:val="22"/>
        </w:rPr>
        <w:t>供给方拨付对应的“算力补贴券”金额。</w:t>
      </w:r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楷体_GBK" w:hAnsi="Times New Roman" w:hint="eastAsia"/>
          <w:sz w:val="32"/>
          <w:szCs w:val="22"/>
        </w:rPr>
      </w:pPr>
      <w:r>
        <w:rPr>
          <w:rFonts w:ascii="Times New Roman" w:eastAsia="方正楷体_GBK" w:hAnsi="Times New Roman" w:hint="eastAsia"/>
          <w:sz w:val="32"/>
          <w:szCs w:val="22"/>
        </w:rPr>
        <w:t>（四）绿色算力</w:t>
      </w:r>
      <w:proofErr w:type="gramStart"/>
      <w:r>
        <w:rPr>
          <w:rFonts w:ascii="Times New Roman" w:eastAsia="方正楷体_GBK" w:hAnsi="Times New Roman" w:hint="eastAsia"/>
          <w:sz w:val="32"/>
          <w:szCs w:val="22"/>
        </w:rPr>
        <w:t>券</w:t>
      </w:r>
      <w:proofErr w:type="gramEnd"/>
    </w:p>
    <w:p w:rsidR="00751249" w:rsidRDefault="00751249" w:rsidP="00751249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按政策“免申即享”程序实施。</w:t>
      </w: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五、监督管理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算力供需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双方应严格按照规定申领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算力券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，自觉接受管理部门相关的监督检查。对在申领过程中通过弄虚作假、故意隐瞒等违法违规手段，恶意骗取财政资金的，将依法依规追回已兑现资金，取消后续申领使用资格，且</w:t>
      </w:r>
      <w:r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年内不可申报市经信局市新经济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委产业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项目，构成违法的将依法追究其相应法律责任。</w:t>
      </w:r>
    </w:p>
    <w:p w:rsidR="00751249" w:rsidRDefault="00751249" w:rsidP="00751249">
      <w:pPr>
        <w:spacing w:line="590" w:lineRule="exact"/>
        <w:ind w:firstLineChars="200" w:firstLine="640"/>
        <w:outlineLvl w:val="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六、</w:t>
      </w:r>
      <w:r>
        <w:rPr>
          <w:rFonts w:ascii="Times New Roman" w:eastAsia="方正黑体_GBK" w:hAnsi="Times New Roman" w:hint="eastAsia"/>
          <w:sz w:val="32"/>
        </w:rPr>
        <w:t>其余事项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（一）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市经信局市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新经济委每半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收集算力供给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方名单，并通过市经信局门户网站、“成都经信发布”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微信公众号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等渠道公开发布，未纳入名单的本政策措施不予支持。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（二）年度项目申报时间、申报要件、申报标准等具体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要求</w:t>
      </w:r>
      <w:r>
        <w:rPr>
          <w:rFonts w:ascii="Times New Roman" w:eastAsia="方正仿宋_GBK" w:hAnsi="Times New Roman"/>
          <w:kern w:val="0"/>
          <w:sz w:val="32"/>
          <w:szCs w:val="32"/>
        </w:rPr>
        <w:t>以当年发布的申报指南</w:t>
      </w:r>
      <w:r>
        <w:rPr>
          <w:rFonts w:ascii="Times New Roman" w:eastAsia="方正仿宋_GBK" w:hAnsi="Times New Roman"/>
          <w:kern w:val="0"/>
          <w:sz w:val="32"/>
          <w:szCs w:val="32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</w:rPr>
        <w:t>通知为准，申报指南</w:t>
      </w:r>
      <w:r>
        <w:rPr>
          <w:rFonts w:ascii="Times New Roman" w:eastAsia="方正仿宋_GBK" w:hAnsi="Times New Roman"/>
          <w:kern w:val="0"/>
          <w:sz w:val="32"/>
          <w:szCs w:val="32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</w:rPr>
        <w:t>通知通过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市经信局</w:t>
      </w:r>
      <w:r>
        <w:rPr>
          <w:rFonts w:ascii="Times New Roman" w:eastAsia="方正仿宋_GBK" w:hAnsi="Times New Roman"/>
          <w:kern w:val="0"/>
          <w:sz w:val="32"/>
          <w:szCs w:val="32"/>
        </w:rPr>
        <w:t>门户网站公开发布。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三</w:t>
      </w:r>
      <w:r>
        <w:rPr>
          <w:rFonts w:ascii="Times New Roman" w:eastAsia="方正仿宋_GBK" w:hAnsi="Times New Roman"/>
          <w:kern w:val="0"/>
          <w:sz w:val="32"/>
          <w:szCs w:val="32"/>
        </w:rPr>
        <w:t>）本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政策措施</w:t>
      </w:r>
      <w:r>
        <w:rPr>
          <w:rFonts w:ascii="Times New Roman" w:eastAsia="方正仿宋_GBK" w:hAnsi="Times New Roman"/>
          <w:kern w:val="0"/>
          <w:sz w:val="32"/>
          <w:szCs w:val="32"/>
        </w:rPr>
        <w:t>所述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证明</w:t>
      </w:r>
      <w:r>
        <w:rPr>
          <w:rFonts w:ascii="Times New Roman" w:eastAsia="方正仿宋_GBK" w:hAnsi="Times New Roman"/>
          <w:kern w:val="0"/>
          <w:sz w:val="32"/>
          <w:szCs w:val="32"/>
        </w:rPr>
        <w:t>材料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是指申报政策所需提供的基本材料，申报时政策主管部门可在申报通知中要求申报单位</w:t>
      </w: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（企业）提供其他必要的申报材料；复印件均须加盖申报单位（企业）公章，各区（市）县对上报项目申报资料的真实性、完整性负责，申报材料的原件在项目审核、审计时使用。项目申报时间以具体申报通知为准，由各区（市）县组织当地申报单位（企业）申报，并行文上报。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四</w:t>
      </w:r>
      <w:r>
        <w:rPr>
          <w:rFonts w:ascii="Times New Roman" w:eastAsia="方正仿宋_GBK" w:hAnsi="Times New Roman"/>
          <w:kern w:val="0"/>
          <w:sz w:val="32"/>
          <w:szCs w:val="32"/>
        </w:rPr>
        <w:t>）除多渠道筹资项目外，市级各专项资金对同一项目原则上不重复支持。同一项目申报了中央、省补助资金或申报了多项市级专项资金的，应当在专项资金申报材料中说明已获得或正在申报的补助资金情况。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（五）</w:t>
      </w:r>
      <w:r>
        <w:rPr>
          <w:rFonts w:ascii="Times New Roman" w:eastAsia="方正仿宋_GBK" w:hAnsi="Times New Roman"/>
          <w:kern w:val="0"/>
          <w:sz w:val="32"/>
          <w:szCs w:val="32"/>
        </w:rPr>
        <w:t>本政策措施与全市各级其他同类政策有重叠的，按照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从优、就高、不重复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的原则予以支持。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“普惠算力券”和“特惠算力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券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”不可重复申领。</w:t>
      </w:r>
    </w:p>
    <w:p w:rsidR="00751249" w:rsidRDefault="00751249" w:rsidP="00751249">
      <w:pPr>
        <w:topLinePunct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六</w:t>
      </w:r>
      <w:r>
        <w:rPr>
          <w:rFonts w:ascii="Times New Roman" w:eastAsia="方正仿宋_GBK" w:hAnsi="Times New Roman"/>
          <w:kern w:val="0"/>
          <w:sz w:val="32"/>
          <w:szCs w:val="32"/>
        </w:rPr>
        <w:t>）本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政策措施</w:t>
      </w:r>
      <w:r>
        <w:rPr>
          <w:rFonts w:ascii="Times New Roman" w:eastAsia="方正仿宋_GBK" w:hAnsi="Times New Roman"/>
          <w:kern w:val="0"/>
          <w:sz w:val="32"/>
          <w:szCs w:val="32"/>
        </w:rPr>
        <w:t>认定的金额不含税。</w:t>
      </w:r>
    </w:p>
    <w:p w:rsidR="00751249" w:rsidRDefault="00751249" w:rsidP="00751249">
      <w:pPr>
        <w:topLinePunct/>
        <w:spacing w:line="590" w:lineRule="exact"/>
        <w:ind w:firstLineChars="200" w:firstLine="640"/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（七）</w:t>
      </w:r>
      <w:r>
        <w:rPr>
          <w:rFonts w:ascii="Times New Roman" w:eastAsia="方正仿宋_GBK" w:hAnsi="Times New Roman"/>
          <w:kern w:val="0"/>
          <w:sz w:val="32"/>
          <w:szCs w:val="32"/>
        </w:rPr>
        <w:t>本政策措施自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X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生效</w:t>
      </w:r>
      <w:r>
        <w:rPr>
          <w:rFonts w:ascii="Times New Roman" w:eastAsia="方正仿宋_GBK" w:hAnsi="Times New Roman"/>
          <w:kern w:val="0"/>
          <w:sz w:val="32"/>
          <w:szCs w:val="32"/>
        </w:rPr>
        <w:t>，有效期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至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2027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X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X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有效期内，若国家法律、法规、规章和相关政策发生变化，本政策措施相关涉及内容从其变化。</w:t>
      </w:r>
    </w:p>
    <w:p w:rsidR="00E62571" w:rsidRPr="00751249" w:rsidRDefault="00E62571"/>
    <w:sectPr w:rsidR="00E62571" w:rsidRPr="00751249">
      <w:footerReference w:type="default" r:id="rId4"/>
      <w:pgSz w:w="11906" w:h="16838"/>
      <w:pgMar w:top="2098" w:right="1474" w:bottom="1984" w:left="1587" w:header="851" w:footer="113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S">
    <w:altName w:val="Arial Unicode MS"/>
    <w:charset w:val="86"/>
    <w:family w:val="auto"/>
    <w:pitch w:val="default"/>
    <w:sig w:usb0="00000010" w:usb1="18EF7CFA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3D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fill o:detectmouseclick="t"/>
          <v:textbox style="mso-fit-shape-to-text:t" inset="0,0,0,0">
            <w:txbxContent>
              <w:p w:rsidR="00000000" w:rsidRDefault="001B3D1E">
                <w:pPr>
                  <w:pStyle w:val="a3"/>
                  <w:rPr>
                    <w:rFonts w:ascii="Times New Roman" w:hAnsi="Times New Roman"/>
                    <w:sz w:val="28"/>
                    <w:szCs w:val="44"/>
                  </w:rPr>
                </w:pPr>
                <w:r>
                  <w:rPr>
                    <w:rFonts w:ascii="Times New Roman" w:hAnsi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44"/>
                  </w:rPr>
                  <w:fldChar w:fldCharType="separate"/>
                </w:r>
                <w:r w:rsidR="00751249">
                  <w:rPr>
                    <w:rFonts w:ascii="Times New Roman" w:hAnsi="Times New Roman"/>
                    <w:noProof/>
                    <w:sz w:val="28"/>
                    <w:szCs w:val="44"/>
                  </w:rPr>
                  <w:t>6</w:t>
                </w:r>
                <w:r>
                  <w:rPr>
                    <w:rFonts w:ascii="Times New Roman" w:hAnsi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51249"/>
    <w:rsid w:val="001B3D1E"/>
    <w:rsid w:val="00751249"/>
    <w:rsid w:val="00E6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5124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1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12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51249"/>
    <w:rPr>
      <w:rFonts w:ascii="Calibri" w:eastAsia="宋体" w:hAnsi="Calibri" w:cs="Times New Roman"/>
      <w:sz w:val="18"/>
      <w:szCs w:val="24"/>
    </w:rPr>
  </w:style>
  <w:style w:type="character" w:customStyle="1" w:styleId="1Char">
    <w:name w:val="标题 1 Char"/>
    <w:basedOn w:val="a0"/>
    <w:link w:val="1"/>
    <w:uiPriority w:val="9"/>
    <w:rsid w:val="0075124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1364</Characters>
  <Application>Microsoft Office Word</Application>
  <DocSecurity>0</DocSecurity>
  <Lines>97</Lines>
  <Paragraphs>54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2024-09-06T01:40:00Z</dcterms:created>
  <dcterms:modified xsi:type="dcterms:W3CDTF">2024-09-06T01:41:00Z</dcterms:modified>
</cp:coreProperties>
</file>