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EE" w:rsidRDefault="00E179EE" w:rsidP="00E179EE">
      <w:pPr>
        <w:pStyle w:val="a4"/>
        <w:widowControl w:val="0"/>
        <w:adjustRightInd w:val="0"/>
        <w:snapToGrid w:val="0"/>
        <w:spacing w:before="0" w:beforeAutospacing="0" w:after="0" w:afterAutospacing="0"/>
        <w:jc w:val="both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附件</w:t>
      </w:r>
      <w:r>
        <w:rPr>
          <w:rFonts w:ascii="Times New Roman" w:eastAsia="方正黑体_GBK" w:hAnsi="Times New Roman" w:cs="Times New Roman"/>
          <w:sz w:val="32"/>
        </w:rPr>
        <w:t>1</w:t>
      </w:r>
    </w:p>
    <w:p w:rsidR="00E179EE" w:rsidRDefault="00E179EE" w:rsidP="00E179EE">
      <w:pPr>
        <w:adjustRightInd w:val="0"/>
        <w:snapToGrid w:val="0"/>
        <w:jc w:val="center"/>
        <w:rPr>
          <w:rFonts w:eastAsia="方正小标宋简体" w:hint="eastAsia"/>
          <w:bCs/>
          <w:sz w:val="44"/>
          <w:szCs w:val="44"/>
        </w:rPr>
      </w:pPr>
    </w:p>
    <w:p w:rsidR="00E179EE" w:rsidRDefault="00E179EE" w:rsidP="00E179EE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proofErr w:type="gramStart"/>
      <w:r>
        <w:rPr>
          <w:rFonts w:eastAsia="方正小标宋简体"/>
          <w:bCs/>
          <w:sz w:val="44"/>
          <w:szCs w:val="44"/>
        </w:rPr>
        <w:t>智算中心</w:t>
      </w:r>
      <w:proofErr w:type="gramEnd"/>
      <w:r>
        <w:rPr>
          <w:rFonts w:eastAsia="方正小标宋简体"/>
          <w:bCs/>
          <w:sz w:val="44"/>
          <w:szCs w:val="44"/>
        </w:rPr>
        <w:t>服务简介</w:t>
      </w:r>
    </w:p>
    <w:p w:rsidR="00E179EE" w:rsidRDefault="00E179EE" w:rsidP="00E179EE">
      <w:pPr>
        <w:adjustRightInd w:val="0"/>
        <w:snapToGrid w:val="0"/>
        <w:jc w:val="center"/>
        <w:rPr>
          <w:rFonts w:eastAsia="方正仿宋_GBK"/>
          <w:bCs/>
        </w:rPr>
      </w:pPr>
    </w:p>
    <w:p w:rsidR="00E179EE" w:rsidRDefault="00E179EE" w:rsidP="00E179EE">
      <w:pPr>
        <w:adjustRightInd w:val="0"/>
        <w:snapToGrid w:val="0"/>
        <w:spacing w:line="300" w:lineRule="auto"/>
        <w:ind w:firstLineChars="200" w:firstLine="632"/>
        <w:rPr>
          <w:rFonts w:eastAsia="方正仿宋_GBK"/>
          <w:bCs/>
        </w:rPr>
      </w:pPr>
      <w:r>
        <w:rPr>
          <w:rFonts w:eastAsia="方正仿宋_GBK"/>
          <w:bCs/>
        </w:rPr>
        <w:t>成都智算中心的线上算力服务平台</w:t>
      </w:r>
      <w:r>
        <w:rPr>
          <w:rFonts w:eastAsia="方正仿宋_GBK"/>
          <w:bCs/>
        </w:rPr>
        <w:t>——</w:t>
      </w:r>
      <w:proofErr w:type="spellStart"/>
      <w:r>
        <w:rPr>
          <w:rFonts w:eastAsia="方正仿宋_GBK"/>
          <w:bCs/>
        </w:rPr>
        <w:t>ModelArts</w:t>
      </w:r>
      <w:proofErr w:type="spellEnd"/>
      <w:r>
        <w:rPr>
          <w:rFonts w:eastAsia="方正仿宋_GBK"/>
          <w:bCs/>
        </w:rPr>
        <w:t>，是面向</w:t>
      </w:r>
      <w:r>
        <w:rPr>
          <w:rFonts w:eastAsia="方正仿宋_GBK"/>
          <w:bCs/>
        </w:rPr>
        <w:t>AI</w:t>
      </w:r>
      <w:r>
        <w:rPr>
          <w:rFonts w:eastAsia="方正仿宋_GBK"/>
          <w:bCs/>
        </w:rPr>
        <w:t>开发者的一站式开发平台，提供海量数据预处理及半自动化标注、大规模分布式训练、自动化模型生成及模型按需部署能力，帮助用户快速创建和部署模型，管理全周期</w:t>
      </w:r>
      <w:r>
        <w:rPr>
          <w:rFonts w:eastAsia="方正仿宋_GBK"/>
          <w:bCs/>
        </w:rPr>
        <w:t>AI</w:t>
      </w:r>
      <w:r>
        <w:rPr>
          <w:rFonts w:eastAsia="方正仿宋_GBK"/>
          <w:bCs/>
        </w:rPr>
        <w:t>工作流。</w:t>
      </w:r>
    </w:p>
    <w:p w:rsidR="00E179EE" w:rsidRDefault="00E179EE" w:rsidP="00E179EE">
      <w:pPr>
        <w:adjustRightInd w:val="0"/>
        <w:snapToGrid w:val="0"/>
        <w:spacing w:line="300" w:lineRule="auto"/>
        <w:ind w:firstLineChars="200" w:firstLine="632"/>
        <w:rPr>
          <w:rFonts w:eastAsia="方正黑体_GBK"/>
          <w:bCs/>
        </w:rPr>
      </w:pPr>
      <w:r>
        <w:rPr>
          <w:rFonts w:eastAsia="方正黑体_GBK"/>
          <w:bCs/>
        </w:rPr>
        <w:t>一、支持算法框架</w:t>
      </w:r>
    </w:p>
    <w:p w:rsidR="00E179EE" w:rsidRDefault="00E179EE" w:rsidP="00E179EE">
      <w:pPr>
        <w:adjustRightInd w:val="0"/>
        <w:snapToGrid w:val="0"/>
        <w:spacing w:line="300" w:lineRule="auto"/>
        <w:ind w:firstLineChars="200" w:firstLine="632"/>
        <w:rPr>
          <w:rFonts w:eastAsia="方正仿宋_GBK"/>
          <w:bCs/>
        </w:rPr>
      </w:pPr>
      <w:proofErr w:type="spellStart"/>
      <w:r>
        <w:rPr>
          <w:rFonts w:eastAsia="方正仿宋_GBK"/>
          <w:bCs/>
        </w:rPr>
        <w:t>ModelArts</w:t>
      </w:r>
      <w:proofErr w:type="spellEnd"/>
      <w:r>
        <w:rPr>
          <w:rFonts w:eastAsia="方正仿宋_GBK"/>
          <w:bCs/>
        </w:rPr>
        <w:t>为用户提供了多种常见的预置镜像，但是当用户对深度学习引擎、开发库有特殊需求场景的时候，预置镜像已经不能满足用户需求。因此</w:t>
      </w:r>
      <w:proofErr w:type="spellStart"/>
      <w:r>
        <w:rPr>
          <w:rFonts w:eastAsia="方正仿宋_GBK"/>
          <w:bCs/>
        </w:rPr>
        <w:t>ModelArts</w:t>
      </w:r>
      <w:proofErr w:type="spellEnd"/>
      <w:r>
        <w:rPr>
          <w:rFonts w:eastAsia="方正仿宋_GBK"/>
          <w:bCs/>
        </w:rPr>
        <w:t>还提供自定义镜像功能支持用户自定义运行引擎。</w:t>
      </w:r>
    </w:p>
    <w:tbl>
      <w:tblPr>
        <w:tblW w:w="6948" w:type="dxa"/>
        <w:jc w:val="center"/>
        <w:tblInd w:w="-1140" w:type="dxa"/>
        <w:tblLook w:val="0000"/>
      </w:tblPr>
      <w:tblGrid>
        <w:gridCol w:w="2696"/>
        <w:gridCol w:w="4252"/>
      </w:tblGrid>
      <w:tr w:rsidR="00E179EE" w:rsidRPr="00040541" w:rsidTr="004E2E38">
        <w:trPr>
          <w:trHeight w:val="567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040541">
              <w:rPr>
                <w:rFonts w:eastAsia="方正黑体简体"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040541">
              <w:rPr>
                <w:rFonts w:eastAsia="方正黑体简体"/>
                <w:bCs/>
                <w:color w:val="000000"/>
                <w:sz w:val="21"/>
                <w:szCs w:val="21"/>
              </w:rPr>
              <w:t>版本</w:t>
            </w:r>
          </w:p>
        </w:tc>
      </w:tr>
      <w:tr w:rsidR="00E179EE" w:rsidRPr="00040541" w:rsidTr="004E2E38">
        <w:trPr>
          <w:trHeight w:val="567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040541">
              <w:rPr>
                <w:bCs/>
                <w:color w:val="000000"/>
                <w:sz w:val="21"/>
                <w:szCs w:val="21"/>
              </w:rPr>
              <w:t>pytorch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040541">
                <w:rPr>
                  <w:bCs/>
                  <w:color w:val="000000"/>
                  <w:sz w:val="21"/>
                  <w:szCs w:val="21"/>
                </w:rPr>
                <w:t>1.8.1</w:t>
              </w:r>
            </w:smartTag>
            <w:r w:rsidRPr="00040541">
              <w:rPr>
                <w:bCs/>
                <w:color w:val="000000"/>
                <w:sz w:val="21"/>
                <w:szCs w:val="21"/>
              </w:rPr>
              <w:t>、</w:t>
            </w:r>
            <w:r w:rsidRPr="00040541">
              <w:rPr>
                <w:bCs/>
                <w:color w:val="000000"/>
                <w:sz w:val="21"/>
                <w:szCs w:val="21"/>
              </w:rPr>
              <w:t>1.11.0</w:t>
            </w:r>
            <w:r w:rsidRPr="00040541">
              <w:rPr>
                <w:bCs/>
                <w:color w:val="000000"/>
                <w:sz w:val="21"/>
                <w:szCs w:val="21"/>
              </w:rPr>
              <w:t>、</w:t>
            </w:r>
            <w:r w:rsidRPr="00040541">
              <w:rPr>
                <w:bCs/>
                <w:color w:val="000000"/>
                <w:sz w:val="21"/>
                <w:szCs w:val="21"/>
              </w:rPr>
              <w:t>2.0.1</w:t>
            </w:r>
            <w:r w:rsidRPr="00040541">
              <w:rPr>
                <w:bCs/>
                <w:color w:val="000000"/>
                <w:sz w:val="21"/>
                <w:szCs w:val="21"/>
              </w:rPr>
              <w:t>、</w:t>
            </w:r>
            <w:r w:rsidRPr="00040541">
              <w:rPr>
                <w:bCs/>
                <w:color w:val="000000"/>
                <w:sz w:val="21"/>
                <w:szCs w:val="21"/>
              </w:rPr>
              <w:t>2.1.0</w:t>
            </w:r>
          </w:p>
        </w:tc>
      </w:tr>
      <w:tr w:rsidR="00E179EE" w:rsidRPr="00040541" w:rsidTr="004E2E38">
        <w:trPr>
          <w:trHeight w:val="567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040541">
              <w:rPr>
                <w:bCs/>
                <w:color w:val="000000"/>
                <w:sz w:val="21"/>
                <w:szCs w:val="21"/>
              </w:rPr>
              <w:t>tensorflow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040541">
              <w:rPr>
                <w:bCs/>
                <w:color w:val="000000"/>
                <w:sz w:val="21"/>
                <w:szCs w:val="21"/>
              </w:rPr>
              <w:t>1.15</w:t>
            </w:r>
            <w:r w:rsidRPr="00040541">
              <w:rPr>
                <w:bCs/>
                <w:color w:val="000000"/>
                <w:sz w:val="21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040541">
                <w:rPr>
                  <w:bCs/>
                  <w:color w:val="000000"/>
                  <w:sz w:val="21"/>
                  <w:szCs w:val="21"/>
                </w:rPr>
                <w:t>2.6.5</w:t>
              </w:r>
            </w:smartTag>
            <w:r w:rsidRPr="00040541">
              <w:rPr>
                <w:bCs/>
                <w:color w:val="000000"/>
                <w:sz w:val="21"/>
                <w:szCs w:val="21"/>
              </w:rPr>
              <w:t>、</w:t>
            </w:r>
            <w:r w:rsidRPr="00040541">
              <w:rPr>
                <w:bCs/>
                <w:color w:val="000000"/>
                <w:sz w:val="21"/>
                <w:szCs w:val="21"/>
              </w:rPr>
              <w:t>2.11</w:t>
            </w:r>
          </w:p>
        </w:tc>
      </w:tr>
      <w:tr w:rsidR="00E179EE" w:rsidRPr="00040541" w:rsidTr="004E2E38">
        <w:trPr>
          <w:trHeight w:val="567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040541">
              <w:rPr>
                <w:bCs/>
                <w:color w:val="000000"/>
                <w:sz w:val="21"/>
                <w:szCs w:val="21"/>
              </w:rPr>
              <w:t>mindspore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040541">
              <w:rPr>
                <w:bCs/>
                <w:color w:val="000000"/>
                <w:sz w:val="21"/>
                <w:szCs w:val="21"/>
              </w:rPr>
              <w:t>1.8~2.2</w:t>
            </w:r>
          </w:p>
        </w:tc>
      </w:tr>
    </w:tbl>
    <w:p w:rsidR="00E179EE" w:rsidRDefault="00E179EE" w:rsidP="00E179EE">
      <w:pPr>
        <w:adjustRightInd w:val="0"/>
        <w:snapToGrid w:val="0"/>
        <w:spacing w:line="300" w:lineRule="auto"/>
        <w:ind w:firstLineChars="200" w:firstLine="632"/>
        <w:rPr>
          <w:rFonts w:eastAsia="方正黑体_GBK"/>
          <w:bCs/>
        </w:rPr>
      </w:pPr>
      <w:r>
        <w:rPr>
          <w:rFonts w:eastAsia="方正黑体_GBK"/>
          <w:bCs/>
        </w:rPr>
        <w:t>二、支持服务</w:t>
      </w:r>
    </w:p>
    <w:p w:rsidR="00E179EE" w:rsidRDefault="00E179EE" w:rsidP="00E179EE">
      <w:pPr>
        <w:adjustRightInd w:val="0"/>
        <w:snapToGrid w:val="0"/>
        <w:spacing w:line="300" w:lineRule="auto"/>
        <w:ind w:firstLineChars="200" w:firstLine="632"/>
        <w:rPr>
          <w:rFonts w:eastAsia="方正仿宋_GBK"/>
          <w:bCs/>
        </w:rPr>
      </w:pPr>
      <w:r>
        <w:rPr>
          <w:rFonts w:eastAsia="方正仿宋_GBK"/>
          <w:bCs/>
        </w:rPr>
        <w:t>面向数据处理</w:t>
      </w:r>
      <w:r>
        <w:rPr>
          <w:rFonts w:eastAsia="方正仿宋_GBK"/>
          <w:bCs/>
        </w:rPr>
        <w:t>→</w:t>
      </w:r>
      <w:r>
        <w:rPr>
          <w:rFonts w:eastAsia="方正仿宋_GBK"/>
          <w:bCs/>
        </w:rPr>
        <w:t>算法开发</w:t>
      </w:r>
      <w:r>
        <w:rPr>
          <w:rFonts w:eastAsia="方正仿宋_GBK"/>
          <w:bCs/>
        </w:rPr>
        <w:t>→</w:t>
      </w:r>
      <w:r>
        <w:rPr>
          <w:rFonts w:eastAsia="方正仿宋_GBK"/>
          <w:bCs/>
        </w:rPr>
        <w:t>学习训练</w:t>
      </w:r>
      <w:r>
        <w:rPr>
          <w:rFonts w:eastAsia="方正仿宋_GBK"/>
          <w:bCs/>
        </w:rPr>
        <w:t>→</w:t>
      </w:r>
      <w:r>
        <w:rPr>
          <w:rFonts w:eastAsia="方正仿宋_GBK"/>
          <w:bCs/>
        </w:rPr>
        <w:t>推理部署流程，提供一站式服务。同时，在数据存储方面，提供对象存储服务</w:t>
      </w:r>
      <w:r>
        <w:rPr>
          <w:rFonts w:eastAsia="方正仿宋_GBK"/>
          <w:bCs/>
        </w:rPr>
        <w:t>OBS</w:t>
      </w:r>
      <w:r>
        <w:rPr>
          <w:rFonts w:eastAsia="方正仿宋_GBK"/>
          <w:bCs/>
        </w:rPr>
        <w:t>（</w:t>
      </w:r>
      <w:r>
        <w:rPr>
          <w:rFonts w:eastAsia="方正仿宋_GBK"/>
          <w:bCs/>
        </w:rPr>
        <w:t>Object Storage Service</w:t>
      </w:r>
      <w:r>
        <w:rPr>
          <w:rFonts w:eastAsia="方正仿宋_GBK"/>
          <w:bCs/>
        </w:rPr>
        <w:t>），对象存储服务提供海量、安全、高可靠、低成本的数据存储能力，可供用户存储任意类型和大小的数</w:t>
      </w:r>
      <w:r>
        <w:rPr>
          <w:rFonts w:eastAsia="方正仿宋_GBK"/>
          <w:bCs/>
        </w:rPr>
        <w:lastRenderedPageBreak/>
        <w:t>据。适合企业备份</w:t>
      </w:r>
      <w:r>
        <w:rPr>
          <w:rFonts w:eastAsia="方正仿宋_GBK"/>
          <w:bCs/>
        </w:rPr>
        <w:t>/</w:t>
      </w:r>
      <w:r>
        <w:rPr>
          <w:rFonts w:eastAsia="方正仿宋_GBK"/>
          <w:bCs/>
        </w:rPr>
        <w:t>归档、视频点播、视频监控等多种数据存储场景。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32"/>
        <w:rPr>
          <w:rFonts w:eastAsia="方正仿宋_GBK"/>
          <w:bCs/>
        </w:rPr>
      </w:pPr>
      <w:r>
        <w:rPr>
          <w:rFonts w:eastAsia="方正仿宋_GBK"/>
          <w:bCs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60325</wp:posOffset>
            </wp:positionV>
            <wp:extent cx="5869305" cy="2299970"/>
            <wp:effectExtent l="19050" t="0" r="0" b="0"/>
            <wp:wrapTight wrapText="bothSides">
              <wp:wrapPolygon edited="0">
                <wp:start x="-70" y="0"/>
                <wp:lineTo x="-70" y="21469"/>
                <wp:lineTo x="21593" y="21469"/>
                <wp:lineTo x="21593" y="0"/>
                <wp:lineTo x="-70" y="0"/>
              </wp:wrapPolygon>
            </wp:wrapTight>
            <wp:docPr id="2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方正黑体_GBK"/>
          <w:bCs/>
        </w:rPr>
        <w:t>三、适配模型</w:t>
      </w:r>
    </w:p>
    <w:p w:rsidR="00E179EE" w:rsidRDefault="00E179EE" w:rsidP="00E179EE">
      <w:pPr>
        <w:adjustRightInd w:val="0"/>
        <w:snapToGrid w:val="0"/>
        <w:spacing w:line="300" w:lineRule="auto"/>
        <w:ind w:firstLineChars="200" w:firstLine="632"/>
        <w:rPr>
          <w:rFonts w:eastAsia="方正仿宋_GBK"/>
          <w:bCs/>
        </w:rPr>
        <w:sectPr w:rsidR="00E179EE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  <w:r>
        <w:rPr>
          <w:rFonts w:eastAsia="方正仿宋_GBK"/>
          <w:bCs/>
        </w:rPr>
        <w:t>成都智算中心已针对多个开源大模型完成迁移适配，适配模型罗列如下：</w:t>
      </w:r>
      <w:r>
        <w:rPr>
          <w:rFonts w:eastAsia="方正仿宋_GBK"/>
          <w:bCs/>
        </w:rPr>
        <w:t>BERT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CLIP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BLIP2</w:t>
      </w:r>
      <w:r>
        <w:rPr>
          <w:rFonts w:eastAsia="方正仿宋_GBK"/>
          <w:bCs/>
        </w:rPr>
        <w:t>、</w:t>
      </w:r>
      <w:proofErr w:type="spellStart"/>
      <w:r>
        <w:rPr>
          <w:rFonts w:eastAsia="方正仿宋_GBK"/>
          <w:bCs/>
        </w:rPr>
        <w:t>PanGuAlpha</w:t>
      </w:r>
      <w:proofErr w:type="spellEnd"/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GPT2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Bloom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Llama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Llama2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 xml:space="preserve">CodeGeex2 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GLM</w:t>
      </w:r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GLM2</w:t>
      </w:r>
      <w:r>
        <w:rPr>
          <w:rFonts w:eastAsia="方正仿宋_GBK"/>
          <w:bCs/>
        </w:rPr>
        <w:t>、</w:t>
      </w:r>
      <w:proofErr w:type="spellStart"/>
      <w:r>
        <w:rPr>
          <w:rFonts w:eastAsia="方正仿宋_GBK"/>
          <w:bCs/>
        </w:rPr>
        <w:t>Baichuan</w:t>
      </w:r>
      <w:proofErr w:type="spellEnd"/>
      <w:r>
        <w:rPr>
          <w:rFonts w:eastAsia="方正仿宋_GBK"/>
          <w:bCs/>
        </w:rPr>
        <w:t>、</w:t>
      </w:r>
      <w:r>
        <w:rPr>
          <w:rFonts w:eastAsia="方正仿宋_GBK"/>
          <w:bCs/>
        </w:rPr>
        <w:t>Baichuan2</w:t>
      </w:r>
      <w:r>
        <w:rPr>
          <w:rFonts w:eastAsia="方正仿宋_GBK"/>
          <w:bCs/>
        </w:rPr>
        <w:t>、</w:t>
      </w:r>
      <w:proofErr w:type="spellStart"/>
      <w:r>
        <w:rPr>
          <w:rFonts w:eastAsia="方正仿宋_GBK"/>
          <w:bCs/>
        </w:rPr>
        <w:t>skywork</w:t>
      </w:r>
      <w:proofErr w:type="spellEnd"/>
      <w:r>
        <w:rPr>
          <w:rFonts w:eastAsia="方正仿宋_GBK"/>
          <w:bCs/>
        </w:rPr>
        <w:t>、</w:t>
      </w:r>
      <w:proofErr w:type="spellStart"/>
      <w:r>
        <w:rPr>
          <w:rFonts w:eastAsia="方正仿宋_GBK"/>
          <w:bCs/>
        </w:rPr>
        <w:t>ziya</w:t>
      </w:r>
      <w:proofErr w:type="spellEnd"/>
      <w:r>
        <w:rPr>
          <w:rFonts w:eastAsia="方正仿宋_GBK"/>
          <w:bCs/>
        </w:rPr>
        <w:t>、</w:t>
      </w:r>
      <w:proofErr w:type="spellStart"/>
      <w:r>
        <w:rPr>
          <w:rFonts w:eastAsia="方正仿宋_GBK"/>
          <w:bCs/>
        </w:rPr>
        <w:t>Internlm</w:t>
      </w:r>
      <w:proofErr w:type="spellEnd"/>
      <w:r>
        <w:rPr>
          <w:rFonts w:eastAsia="方正仿宋_GBK"/>
          <w:bCs/>
        </w:rPr>
        <w:t>、</w:t>
      </w:r>
      <w:proofErr w:type="spellStart"/>
      <w:r>
        <w:rPr>
          <w:rFonts w:eastAsia="方正仿宋_GBK"/>
          <w:bCs/>
        </w:rPr>
        <w:t>Wizardcoder</w:t>
      </w:r>
      <w:proofErr w:type="spellEnd"/>
      <w:r>
        <w:rPr>
          <w:rFonts w:eastAsia="方正仿宋_GBK"/>
          <w:bCs/>
        </w:rPr>
        <w:t>、</w:t>
      </w:r>
      <w:proofErr w:type="spellStart"/>
      <w:r>
        <w:rPr>
          <w:rFonts w:eastAsia="方正仿宋_GBK"/>
          <w:bCs/>
        </w:rPr>
        <w:t>Qwen</w:t>
      </w:r>
      <w:proofErr w:type="spellEnd"/>
      <w:r>
        <w:rPr>
          <w:rFonts w:eastAsia="方正仿宋_GBK"/>
          <w:bCs/>
        </w:rPr>
        <w:t>等。</w:t>
      </w:r>
    </w:p>
    <w:p w:rsidR="00E179EE" w:rsidRDefault="00E179EE" w:rsidP="00E179EE">
      <w:pPr>
        <w:pStyle w:val="a4"/>
        <w:adjustRightInd w:val="0"/>
        <w:snapToGrid w:val="0"/>
        <w:spacing w:before="0" w:beforeAutospacing="0" w:after="0" w:afterAutospacing="0"/>
        <w:rPr>
          <w:rFonts w:ascii="Times New Roman" w:eastAsia="方正黑体_GBK" w:hAnsi="Times New Roman" w:cs="Times New Roman"/>
          <w:sz w:val="32"/>
          <w:lang/>
        </w:rPr>
      </w:pPr>
      <w:r>
        <w:rPr>
          <w:rFonts w:ascii="Times New Roman" w:eastAsia="方正黑体_GBK" w:hAnsi="Times New Roman" w:cs="Times New Roman"/>
          <w:sz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lang/>
        </w:rPr>
        <w:t>2</w:t>
      </w:r>
    </w:p>
    <w:p w:rsidR="00E179EE" w:rsidRDefault="00E179EE" w:rsidP="00E179EE">
      <w:pPr>
        <w:adjustRightInd w:val="0"/>
        <w:snapToGrid w:val="0"/>
        <w:jc w:val="center"/>
        <w:rPr>
          <w:rFonts w:eastAsia="方正小标宋简体" w:hint="eastAsia"/>
          <w:bCs/>
          <w:sz w:val="44"/>
          <w:szCs w:val="44"/>
        </w:rPr>
      </w:pPr>
    </w:p>
    <w:p w:rsidR="00E179EE" w:rsidRDefault="00E179EE" w:rsidP="00E179EE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proofErr w:type="gramStart"/>
      <w:r>
        <w:rPr>
          <w:rFonts w:eastAsia="方正小标宋简体" w:hint="eastAsia"/>
          <w:bCs/>
          <w:sz w:val="44"/>
          <w:szCs w:val="44"/>
        </w:rPr>
        <w:t>超</w:t>
      </w:r>
      <w:r>
        <w:rPr>
          <w:rFonts w:eastAsia="方正小标宋简体"/>
          <w:bCs/>
          <w:sz w:val="44"/>
          <w:szCs w:val="44"/>
        </w:rPr>
        <w:t>算中心</w:t>
      </w:r>
      <w:proofErr w:type="gramEnd"/>
      <w:r>
        <w:rPr>
          <w:rFonts w:eastAsia="方正小标宋简体"/>
          <w:bCs/>
          <w:sz w:val="44"/>
          <w:szCs w:val="44"/>
        </w:rPr>
        <w:t>服务简介</w:t>
      </w:r>
    </w:p>
    <w:p w:rsidR="00E179EE" w:rsidRDefault="00E179EE" w:rsidP="00E179EE">
      <w:pPr>
        <w:pStyle w:val="a3"/>
        <w:adjustRightInd w:val="0"/>
        <w:snapToGrid w:val="0"/>
        <w:spacing w:line="240" w:lineRule="auto"/>
        <w:rPr>
          <w:rFonts w:eastAsia="方正仿宋_GB2312"/>
          <w:spacing w:val="11"/>
          <w:kern w:val="0"/>
          <w:sz w:val="24"/>
          <w:szCs w:val="24"/>
          <w:lang/>
        </w:rPr>
      </w:pP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bCs/>
        </w:rPr>
      </w:pPr>
      <w:r w:rsidRPr="00040541">
        <w:rPr>
          <w:bCs/>
        </w:rPr>
        <w:t>国家超级计算成都中心</w:t>
      </w:r>
      <w:r w:rsidRPr="00040541">
        <w:rPr>
          <w:bCs/>
          <w:lang/>
        </w:rPr>
        <w:t>基于国产</w:t>
      </w:r>
      <w:r w:rsidRPr="00040541">
        <w:rPr>
          <w:bCs/>
          <w:lang/>
        </w:rPr>
        <w:t>X86 CPU</w:t>
      </w:r>
      <w:r w:rsidRPr="00040541">
        <w:rPr>
          <w:bCs/>
          <w:lang/>
        </w:rPr>
        <w:t>和</w:t>
      </w:r>
      <w:r w:rsidRPr="00040541">
        <w:rPr>
          <w:bCs/>
          <w:lang/>
        </w:rPr>
        <w:t>DCU</w:t>
      </w:r>
      <w:r w:rsidRPr="00040541">
        <w:rPr>
          <w:bCs/>
          <w:lang/>
        </w:rPr>
        <w:t>的异构计算节点，采用共享、独占两种计费模式；为用户提供高性能计算相关的技术服务，包括但不限于应用程序移植、优化、计算加速软件的优化开发服务</w:t>
      </w:r>
      <w:r w:rsidRPr="00040541">
        <w:rPr>
          <w:bCs/>
        </w:rPr>
        <w:t>。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</w:rPr>
      </w:pPr>
      <w:r w:rsidRPr="00040541">
        <w:rPr>
          <w:rFonts w:eastAsia="方正黑体简体"/>
          <w:bCs/>
        </w:rPr>
        <w:t>一、服务能力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bCs/>
          <w:lang/>
        </w:rPr>
      </w:pPr>
      <w:r w:rsidRPr="00040541">
        <w:rPr>
          <w:bCs/>
          <w:lang/>
        </w:rPr>
        <w:t>国家超级计算成都中心</w:t>
      </w:r>
      <w:r w:rsidRPr="00040541">
        <w:rPr>
          <w:bCs/>
          <w:lang/>
        </w:rPr>
        <w:t>-</w:t>
      </w:r>
      <w:r w:rsidRPr="00040541">
        <w:rPr>
          <w:bCs/>
          <w:lang/>
        </w:rPr>
        <w:t>依照国家科技部新一代</w:t>
      </w:r>
      <w:r w:rsidRPr="008D08CA">
        <w:rPr>
          <w:rFonts w:ascii="方正仿宋简体" w:hint="eastAsia"/>
          <w:bCs/>
          <w:lang/>
        </w:rPr>
        <w:t>“</w:t>
      </w:r>
      <w:r w:rsidRPr="00040541">
        <w:rPr>
          <w:bCs/>
          <w:lang/>
        </w:rPr>
        <w:t>E</w:t>
      </w:r>
      <w:r w:rsidRPr="00040541">
        <w:rPr>
          <w:bCs/>
          <w:lang/>
        </w:rPr>
        <w:t>级高性能计算原型系统研制项目</w:t>
      </w:r>
      <w:r w:rsidRPr="008D08CA">
        <w:rPr>
          <w:rFonts w:ascii="方正仿宋简体" w:hint="eastAsia"/>
          <w:bCs/>
          <w:lang/>
        </w:rPr>
        <w:t>”</w:t>
      </w:r>
      <w:r w:rsidRPr="00040541">
        <w:rPr>
          <w:bCs/>
          <w:lang/>
        </w:rPr>
        <w:t>的核心技术路线设计，采用自主可控的</w:t>
      </w:r>
      <w:r w:rsidRPr="00040541">
        <w:rPr>
          <w:bCs/>
          <w:lang/>
        </w:rPr>
        <w:t>C86</w:t>
      </w:r>
      <w:r w:rsidRPr="00040541">
        <w:rPr>
          <w:bCs/>
          <w:lang/>
        </w:rPr>
        <w:t>处理器和计算加速卡，浸没式相变液冷、高速网络等技术，系统具有超大规模线性扩展能力、异构超融合自适应体系，能有效对接传统高性能计算和新兴领域的应用要求。具体资源服务情况介绍如下：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bCs/>
          <w:lang/>
        </w:rPr>
      </w:pPr>
      <w:r w:rsidRPr="00040541">
        <w:rPr>
          <w:bCs/>
        </w:rPr>
        <w:t>（</w:t>
      </w:r>
      <w:r w:rsidRPr="00040541">
        <w:rPr>
          <w:bCs/>
        </w:rPr>
        <w:t>1</w:t>
      </w:r>
      <w:r w:rsidRPr="00040541">
        <w:rPr>
          <w:bCs/>
        </w:rPr>
        <w:t>）</w:t>
      </w:r>
      <w:r w:rsidRPr="00040541">
        <w:rPr>
          <w:bCs/>
          <w:lang/>
        </w:rPr>
        <w:t>计算类资源服务：包含</w:t>
      </w:r>
      <w:r w:rsidRPr="00040541">
        <w:rPr>
          <w:bCs/>
          <w:lang/>
        </w:rPr>
        <w:t>CPU+DCU</w:t>
      </w:r>
      <w:r w:rsidRPr="00040541">
        <w:rPr>
          <w:bCs/>
          <w:lang/>
        </w:rPr>
        <w:t>、纯</w:t>
      </w:r>
      <w:r w:rsidRPr="00040541">
        <w:rPr>
          <w:bCs/>
          <w:lang/>
        </w:rPr>
        <w:t>CPU</w:t>
      </w:r>
      <w:r w:rsidRPr="00040541">
        <w:rPr>
          <w:bCs/>
          <w:lang/>
        </w:rPr>
        <w:t>服务。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bCs/>
          <w:lang/>
        </w:rPr>
      </w:pPr>
      <w:r w:rsidRPr="00040541">
        <w:rPr>
          <w:bCs/>
        </w:rPr>
        <w:t>（</w:t>
      </w:r>
      <w:r w:rsidRPr="00040541">
        <w:rPr>
          <w:bCs/>
        </w:rPr>
        <w:t>2</w:t>
      </w:r>
      <w:r w:rsidRPr="00040541">
        <w:rPr>
          <w:bCs/>
        </w:rPr>
        <w:t>）</w:t>
      </w:r>
      <w:r w:rsidRPr="00040541">
        <w:rPr>
          <w:bCs/>
          <w:lang/>
        </w:rPr>
        <w:t>网络资源服务：超高速网络采用理论设计峰值带宽为</w:t>
      </w:r>
      <w:r w:rsidRPr="00040541">
        <w:rPr>
          <w:bCs/>
          <w:lang/>
        </w:rPr>
        <w:t>200Gb/s</w:t>
      </w:r>
      <w:r w:rsidRPr="00040541">
        <w:rPr>
          <w:bCs/>
          <w:lang/>
        </w:rPr>
        <w:t>的网络技术实现高速通信，网络遵循业界公开、开放的标准，符合国际国内</w:t>
      </w:r>
      <w:proofErr w:type="spellStart"/>
      <w:r w:rsidRPr="00040541">
        <w:rPr>
          <w:bCs/>
          <w:lang/>
        </w:rPr>
        <w:t>InfiniBandTradeAssociation</w:t>
      </w:r>
      <w:proofErr w:type="spellEnd"/>
      <w:r w:rsidRPr="00040541">
        <w:rPr>
          <w:bCs/>
          <w:lang/>
        </w:rPr>
        <w:t>(IBTA)</w:t>
      </w:r>
      <w:r w:rsidRPr="00040541">
        <w:rPr>
          <w:bCs/>
          <w:lang/>
        </w:rPr>
        <w:t>相应的标准，为</w:t>
      </w:r>
      <w:r w:rsidRPr="00040541">
        <w:rPr>
          <w:bCs/>
          <w:lang/>
        </w:rPr>
        <w:t>200GbHDRInfiniband</w:t>
      </w:r>
      <w:r w:rsidRPr="00040541">
        <w:rPr>
          <w:bCs/>
          <w:lang/>
        </w:rPr>
        <w:t>高速网络。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bCs/>
        </w:rPr>
      </w:pPr>
      <w:r w:rsidRPr="00040541">
        <w:rPr>
          <w:bCs/>
        </w:rPr>
        <w:t>（</w:t>
      </w:r>
      <w:r w:rsidRPr="00040541">
        <w:rPr>
          <w:bCs/>
        </w:rPr>
        <w:t>3</w:t>
      </w:r>
      <w:r w:rsidRPr="00040541">
        <w:rPr>
          <w:bCs/>
        </w:rPr>
        <w:t>）</w:t>
      </w:r>
      <w:r w:rsidRPr="00040541">
        <w:rPr>
          <w:bCs/>
          <w:lang/>
        </w:rPr>
        <w:t>存储资源服务：数据租赁、数据存储。存储系统采用分布式并行存储</w:t>
      </w:r>
      <w:r w:rsidRPr="00040541">
        <w:rPr>
          <w:bCs/>
        </w:rPr>
        <w:t>。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rFonts w:eastAsia="方正黑体简体"/>
          <w:bCs/>
        </w:rPr>
      </w:pPr>
      <w:r w:rsidRPr="00040541">
        <w:rPr>
          <w:rFonts w:eastAsia="方正黑体简体"/>
          <w:bCs/>
        </w:rPr>
        <w:t>二、硬件资源</w:t>
      </w:r>
    </w:p>
    <w:p w:rsidR="00E179EE" w:rsidRPr="00040541" w:rsidRDefault="00E179EE" w:rsidP="00E179EE">
      <w:pPr>
        <w:adjustRightInd w:val="0"/>
        <w:snapToGrid w:val="0"/>
        <w:spacing w:line="300" w:lineRule="auto"/>
        <w:ind w:firstLineChars="200" w:firstLine="640"/>
        <w:rPr>
          <w:bCs/>
        </w:rPr>
      </w:pPr>
      <w:r w:rsidRPr="00040541">
        <w:rPr>
          <w:bCs/>
        </w:rPr>
        <w:t>国家超级计算成都中心</w:t>
      </w:r>
      <w:r w:rsidRPr="00040541">
        <w:rPr>
          <w:bCs/>
        </w:rPr>
        <w:t>-</w:t>
      </w:r>
      <w:r w:rsidRPr="00040541">
        <w:rPr>
          <w:bCs/>
        </w:rPr>
        <w:t>依照国家科技部新一代</w:t>
      </w:r>
      <w:r w:rsidRPr="008D08CA">
        <w:rPr>
          <w:rFonts w:ascii="方正仿宋简体" w:hint="eastAsia"/>
          <w:bCs/>
        </w:rPr>
        <w:t>“</w:t>
      </w:r>
      <w:r w:rsidRPr="00040541">
        <w:rPr>
          <w:bCs/>
        </w:rPr>
        <w:t>E</w:t>
      </w:r>
      <w:r w:rsidRPr="00040541">
        <w:rPr>
          <w:bCs/>
        </w:rPr>
        <w:t>级高</w:t>
      </w:r>
      <w:r w:rsidRPr="00040541">
        <w:rPr>
          <w:bCs/>
        </w:rPr>
        <w:lastRenderedPageBreak/>
        <w:t>性能计算原型系统研制项目</w:t>
      </w:r>
      <w:r w:rsidRPr="008D08CA">
        <w:rPr>
          <w:rFonts w:ascii="方正仿宋简体" w:hint="eastAsia"/>
          <w:bCs/>
        </w:rPr>
        <w:t>”</w:t>
      </w:r>
      <w:r w:rsidRPr="00040541">
        <w:rPr>
          <w:bCs/>
        </w:rPr>
        <w:t>的核心技术路线设计，采用自主可控的</w:t>
      </w:r>
      <w:r w:rsidRPr="00040541">
        <w:rPr>
          <w:bCs/>
        </w:rPr>
        <w:t>C86</w:t>
      </w:r>
      <w:r w:rsidRPr="00040541">
        <w:rPr>
          <w:bCs/>
        </w:rPr>
        <w:t>处理器和计算加速卡，浸没式相变液冷、高速网络等技术，系统具有超大规模线性扩展能力、</w:t>
      </w:r>
      <w:proofErr w:type="gramStart"/>
      <w:r w:rsidRPr="00040541">
        <w:rPr>
          <w:bCs/>
        </w:rPr>
        <w:t>异构超</w:t>
      </w:r>
      <w:proofErr w:type="gramEnd"/>
      <w:r w:rsidRPr="00040541">
        <w:rPr>
          <w:bCs/>
        </w:rPr>
        <w:t>融合自适应体系，能有效对接传统高性能计算和新兴领域的应用要求。</w:t>
      </w:r>
    </w:p>
    <w:p w:rsidR="00E179EE" w:rsidRDefault="00E179EE" w:rsidP="00E179EE">
      <w:pPr>
        <w:adjustRightInd w:val="0"/>
        <w:snapToGrid w:val="0"/>
        <w:spacing w:line="300" w:lineRule="auto"/>
        <w:ind w:firstLineChars="200" w:firstLine="640"/>
        <w:rPr>
          <w:rFonts w:eastAsia="方正仿宋_GBK"/>
          <w:bCs/>
        </w:rPr>
      </w:pPr>
      <w:r w:rsidRPr="00040541">
        <w:rPr>
          <w:bCs/>
        </w:rPr>
        <w:t>特点：自主可控芯片、高计算密度、节能效果显著</w:t>
      </w:r>
    </w:p>
    <w:p w:rsidR="00E179EE" w:rsidRPr="00040541" w:rsidRDefault="00E179EE" w:rsidP="00E179EE">
      <w:pPr>
        <w:spacing w:line="590" w:lineRule="exact"/>
        <w:ind w:firstLineChars="200" w:firstLine="640"/>
        <w:rPr>
          <w:rFonts w:eastAsia="方正仿宋_GBK"/>
          <w:bCs/>
        </w:rPr>
      </w:pPr>
      <w:r>
        <w:rPr>
          <w:rFonts w:eastAsia="方正仿宋_GBK"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51435</wp:posOffset>
            </wp:positionV>
            <wp:extent cx="5272405" cy="1934210"/>
            <wp:effectExtent l="19050" t="0" r="4445" b="0"/>
            <wp:wrapTight wrapText="bothSides">
              <wp:wrapPolygon edited="0">
                <wp:start x="-78" y="0"/>
                <wp:lineTo x="-78" y="21487"/>
                <wp:lineTo x="21618" y="21487"/>
                <wp:lineTo x="21618" y="0"/>
                <wp:lineTo x="-78" y="0"/>
              </wp:wrapPolygon>
            </wp:wrapTight>
            <wp:docPr id="3" name="图片 1" descr="截屏2023-12-18 17.03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截屏2023-12-18 17.03.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40541">
        <w:rPr>
          <w:rFonts w:eastAsia="方正黑体简体"/>
          <w:bCs/>
        </w:rPr>
        <w:t>三、软件资源</w:t>
      </w:r>
    </w:p>
    <w:tbl>
      <w:tblPr>
        <w:tblW w:w="9289" w:type="dxa"/>
        <w:jc w:val="center"/>
        <w:tblLayout w:type="fixed"/>
        <w:tblLook w:val="0000"/>
      </w:tblPr>
      <w:tblGrid>
        <w:gridCol w:w="1594"/>
        <w:gridCol w:w="2730"/>
        <w:gridCol w:w="4965"/>
      </w:tblGrid>
      <w:tr w:rsidR="00E179EE" w:rsidRPr="00040541" w:rsidTr="004E2E38">
        <w:trPr>
          <w:trHeight w:val="397"/>
          <w:jc w:val="center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sz w:val="21"/>
                <w:szCs w:val="21"/>
              </w:rPr>
            </w:pPr>
            <w:r w:rsidRPr="00040541">
              <w:rPr>
                <w:rFonts w:eastAsia="方正黑体简体"/>
                <w:kern w:val="0"/>
                <w:sz w:val="21"/>
                <w:szCs w:val="21"/>
                <w:lang/>
              </w:rPr>
              <w:t>类别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sz w:val="21"/>
                <w:szCs w:val="21"/>
              </w:rPr>
            </w:pPr>
            <w:r w:rsidRPr="00040541">
              <w:rPr>
                <w:rFonts w:eastAsia="方正黑体简体"/>
                <w:kern w:val="0"/>
                <w:sz w:val="21"/>
                <w:szCs w:val="21"/>
                <w:lang/>
              </w:rPr>
              <w:t>种类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sz w:val="21"/>
                <w:szCs w:val="21"/>
              </w:rPr>
            </w:pPr>
            <w:r w:rsidRPr="00040541">
              <w:rPr>
                <w:rFonts w:eastAsia="方正黑体简体"/>
                <w:kern w:val="0"/>
                <w:sz w:val="21"/>
                <w:szCs w:val="21"/>
                <w:lang/>
              </w:rPr>
              <w:t>名称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基础软件与并行环境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基础编译工具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sz w:val="21"/>
                <w:szCs w:val="21"/>
              </w:rPr>
              <w:t>GCC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ROCm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DTK</w:t>
            </w:r>
            <w:r w:rsidRPr="00040541">
              <w:rPr>
                <w:sz w:val="21"/>
                <w:szCs w:val="21"/>
              </w:rPr>
              <w:t>（</w:t>
            </w:r>
            <w:r w:rsidRPr="00040541">
              <w:rPr>
                <w:sz w:val="21"/>
                <w:szCs w:val="21"/>
              </w:rPr>
              <w:t>DCU Tool Kit</w:t>
            </w:r>
            <w:r w:rsidRPr="00040541">
              <w:rPr>
                <w:sz w:val="21"/>
                <w:szCs w:val="21"/>
              </w:rPr>
              <w:t>）、</w:t>
            </w:r>
            <w:r w:rsidRPr="00040541">
              <w:rPr>
                <w:sz w:val="21"/>
                <w:szCs w:val="21"/>
              </w:rPr>
              <w:t>CMAKE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并行环境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proofErr w:type="spellStart"/>
            <w:r w:rsidRPr="00040541">
              <w:rPr>
                <w:sz w:val="21"/>
                <w:szCs w:val="21"/>
              </w:rPr>
              <w:t>OpenMP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HPCX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MPICH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OpenMPI</w:t>
            </w:r>
            <w:proofErr w:type="spellEnd"/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编程语言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sz w:val="21"/>
                <w:szCs w:val="21"/>
              </w:rPr>
              <w:t>MATLAB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Julia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Python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Java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Go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Tcl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R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 w:rsidRPr="00040541">
              <w:rPr>
                <w:kern w:val="0"/>
                <w:sz w:val="21"/>
                <w:szCs w:val="21"/>
                <w:lang/>
              </w:rPr>
              <w:t>常用库</w:t>
            </w:r>
            <w:proofErr w:type="gramEnd"/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sz w:val="21"/>
                <w:szCs w:val="21"/>
              </w:rPr>
              <w:t>BLAS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OpenBLAS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LAPACK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ScaLAPACK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Petsc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Zlib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Jasper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Libpng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grib2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ioapi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NetCDF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PNetCDF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HDF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byacc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flex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NCO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CDO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Armadillo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FFTW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Eigen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SuperLU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Hypre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GSL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Arpack</w:t>
            </w:r>
            <w:proofErr w:type="spellEnd"/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数据分析与可视化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sz w:val="21"/>
                <w:szCs w:val="21"/>
              </w:rPr>
              <w:t>NCL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Octave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Gnuplot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ParaView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Vapor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GrADS</w:t>
            </w:r>
            <w:proofErr w:type="spellEnd"/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自</w:t>
            </w:r>
            <w:proofErr w:type="gramStart"/>
            <w:r w:rsidRPr="00040541">
              <w:rPr>
                <w:kern w:val="0"/>
                <w:sz w:val="21"/>
                <w:szCs w:val="21"/>
                <w:lang/>
              </w:rPr>
              <w:t>研</w:t>
            </w:r>
            <w:proofErr w:type="gramEnd"/>
            <w:r w:rsidRPr="00040541">
              <w:rPr>
                <w:kern w:val="0"/>
                <w:sz w:val="21"/>
                <w:szCs w:val="21"/>
                <w:lang/>
              </w:rPr>
              <w:t>软件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ChipSum</w:t>
            </w:r>
            <w:proofErr w:type="spellEnd"/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程序调试、优化与运行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sz w:val="21"/>
                <w:szCs w:val="21"/>
              </w:rPr>
              <w:t>GDB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rocGDB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rocprof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Valgrind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Slurm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Singularity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科学与工程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化学</w:t>
            </w:r>
            <w:r w:rsidRPr="00040541">
              <w:rPr>
                <w:kern w:val="0"/>
                <w:sz w:val="21"/>
                <w:szCs w:val="21"/>
                <w:lang/>
              </w:rPr>
              <w:t>/</w:t>
            </w:r>
            <w:r w:rsidRPr="00040541">
              <w:rPr>
                <w:kern w:val="0"/>
                <w:sz w:val="21"/>
                <w:szCs w:val="21"/>
                <w:lang/>
              </w:rPr>
              <w:t>材料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proofErr w:type="spellStart"/>
            <w:r w:rsidRPr="00040541">
              <w:rPr>
                <w:sz w:val="21"/>
                <w:szCs w:val="21"/>
              </w:rPr>
              <w:t>Gromacs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NAMD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Lammps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Abinit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ASE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CP2K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Phonopy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Siesta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BIOVIA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结构力学</w:t>
            </w:r>
            <w:r w:rsidRPr="00040541">
              <w:rPr>
                <w:kern w:val="0"/>
                <w:sz w:val="21"/>
                <w:szCs w:val="21"/>
                <w:lang/>
              </w:rPr>
              <w:t>/</w:t>
            </w:r>
            <w:r w:rsidRPr="00040541">
              <w:rPr>
                <w:kern w:val="0"/>
                <w:sz w:val="21"/>
                <w:szCs w:val="21"/>
                <w:lang/>
              </w:rPr>
              <w:t>非线性动力学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sz w:val="21"/>
                <w:szCs w:val="21"/>
              </w:rPr>
              <w:t>MSC DYTRAN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 xml:space="preserve">ANSYS </w:t>
            </w:r>
            <w:proofErr w:type="spellStart"/>
            <w:r w:rsidRPr="00040541">
              <w:rPr>
                <w:sz w:val="21"/>
                <w:szCs w:val="21"/>
              </w:rPr>
              <w:t>Multiphysics</w:t>
            </w:r>
            <w:proofErr w:type="spellEnd"/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MSC NASTRAN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ANSYS Workbench</w:t>
            </w:r>
            <w:r w:rsidRPr="00040541">
              <w:rPr>
                <w:sz w:val="21"/>
                <w:szCs w:val="21"/>
              </w:rPr>
              <w:t>、</w:t>
            </w:r>
            <w:r w:rsidRPr="00040541">
              <w:rPr>
                <w:sz w:val="21"/>
                <w:szCs w:val="21"/>
              </w:rPr>
              <w:t>MSC MARC</w:t>
            </w:r>
            <w:r w:rsidRPr="00040541">
              <w:rPr>
                <w:sz w:val="21"/>
                <w:szCs w:val="21"/>
              </w:rPr>
              <w:t>、</w:t>
            </w:r>
            <w:proofErr w:type="spellStart"/>
            <w:r w:rsidRPr="00040541">
              <w:rPr>
                <w:sz w:val="21"/>
                <w:szCs w:val="21"/>
              </w:rPr>
              <w:t>Abaqus</w:t>
            </w:r>
            <w:proofErr w:type="spellEnd"/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流体力学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OpenFOAM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SU2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NNW-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Flowstar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NNW-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PHengLEI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ANSYS Fluent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ANSYS CFX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Simcenter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 xml:space="preserve"> </w:t>
            </w:r>
            <w:r w:rsidRPr="00040541">
              <w:rPr>
                <w:kern w:val="0"/>
                <w:sz w:val="21"/>
                <w:szCs w:val="21"/>
                <w:lang/>
              </w:rPr>
              <w:lastRenderedPageBreak/>
              <w:t>STAR-CCM+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Cadence Omnis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电磁场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CST Studio Suite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ANSYS HFSS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气象</w:t>
            </w:r>
            <w:r w:rsidRPr="00040541">
              <w:rPr>
                <w:kern w:val="0"/>
                <w:sz w:val="21"/>
                <w:szCs w:val="21"/>
                <w:lang/>
              </w:rPr>
              <w:t>/</w:t>
            </w:r>
            <w:r w:rsidRPr="00040541">
              <w:rPr>
                <w:kern w:val="0"/>
                <w:sz w:val="21"/>
                <w:szCs w:val="21"/>
                <w:lang/>
              </w:rPr>
              <w:t>环境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GRAPES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ICON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WRF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WRF-LES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WRF-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Chem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CESM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RegCM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ROMS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CMAQ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WRF-Hydro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WRF-GAD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Massflow</w:t>
            </w:r>
            <w:proofErr w:type="spellEnd"/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AI</w:t>
            </w:r>
            <w:r w:rsidRPr="00040541">
              <w:rPr>
                <w:kern w:val="0"/>
                <w:sz w:val="21"/>
                <w:szCs w:val="21"/>
                <w:lang/>
              </w:rPr>
              <w:t>与大数据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机器学习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Tensorflow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Pytorch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PaddlePaddle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MxNet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MIGraphX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MiOpen</w:t>
            </w:r>
            <w:proofErr w:type="spellEnd"/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生物信息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Blast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GATK4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Relion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SHAPEIT5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DeepMEI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r w:rsidRPr="00040541">
              <w:rPr>
                <w:kern w:val="0"/>
                <w:sz w:val="21"/>
                <w:szCs w:val="21"/>
                <w:lang/>
              </w:rPr>
              <w:t>PLINK</w:t>
            </w:r>
          </w:p>
        </w:tc>
      </w:tr>
      <w:tr w:rsidR="00E179EE" w:rsidRPr="00040541" w:rsidTr="004E2E38">
        <w:trPr>
          <w:trHeight w:val="39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AI4Science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9EE" w:rsidRPr="00040541" w:rsidRDefault="00E179EE" w:rsidP="004E2E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040541">
              <w:rPr>
                <w:kern w:val="0"/>
                <w:sz w:val="21"/>
                <w:szCs w:val="21"/>
                <w:lang/>
              </w:rPr>
              <w:t>Alphafold2</w:t>
            </w:r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PaddleScience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DeePMD_BladeDISC</w:t>
            </w:r>
            <w:proofErr w:type="spellEnd"/>
            <w:r w:rsidRPr="00040541">
              <w:rPr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040541">
              <w:rPr>
                <w:kern w:val="0"/>
                <w:sz w:val="21"/>
                <w:szCs w:val="21"/>
                <w:lang/>
              </w:rPr>
              <w:t>Uni-Fold_PyTorch</w:t>
            </w:r>
            <w:proofErr w:type="spellEnd"/>
          </w:p>
        </w:tc>
      </w:tr>
    </w:tbl>
    <w:p w:rsidR="00E179EE" w:rsidRPr="00C9574E" w:rsidRDefault="00E179EE" w:rsidP="00E179EE">
      <w:pPr>
        <w:adjustRightInd w:val="0"/>
        <w:snapToGrid w:val="0"/>
        <w:spacing w:line="336" w:lineRule="auto"/>
        <w:rPr>
          <w:rFonts w:hint="eastAsia"/>
          <w:sz w:val="44"/>
        </w:rPr>
      </w:pPr>
    </w:p>
    <w:p w:rsidR="00E179EE" w:rsidRDefault="00E179EE" w:rsidP="00E179EE">
      <w:pPr>
        <w:adjustRightInd w:val="0"/>
        <w:snapToGrid w:val="0"/>
        <w:spacing w:line="336" w:lineRule="auto"/>
        <w:rPr>
          <w:rFonts w:hint="eastAsia"/>
          <w:sz w:val="44"/>
        </w:rPr>
      </w:pPr>
    </w:p>
    <w:p w:rsidR="00E179EE" w:rsidRDefault="00E179EE" w:rsidP="00E179EE">
      <w:pPr>
        <w:adjustRightInd w:val="0"/>
        <w:snapToGrid w:val="0"/>
        <w:spacing w:line="336" w:lineRule="auto"/>
        <w:rPr>
          <w:rFonts w:hint="eastAsia"/>
          <w:sz w:val="44"/>
        </w:rPr>
      </w:pPr>
    </w:p>
    <w:p w:rsidR="00E179EE" w:rsidRDefault="00E179EE" w:rsidP="00E179EE">
      <w:pPr>
        <w:adjustRightInd w:val="0"/>
        <w:snapToGrid w:val="0"/>
        <w:spacing w:line="336" w:lineRule="auto"/>
        <w:rPr>
          <w:rFonts w:hint="eastAsia"/>
          <w:sz w:val="44"/>
        </w:rPr>
      </w:pPr>
    </w:p>
    <w:p w:rsidR="008A6DEB" w:rsidRPr="00E179EE" w:rsidRDefault="008A6DEB"/>
    <w:sectPr w:rsidR="008A6DEB" w:rsidRPr="00E179EE" w:rsidSect="008A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公文小标宋简">
    <w:altName w:val="黑体"/>
    <w:charset w:val="00"/>
    <w:family w:val="modern"/>
    <w:pitch w:val="default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方正仿宋_GBK"/>
    <w:charset w:val="00"/>
    <w:family w:val="auto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9EE"/>
    <w:rsid w:val="00607C30"/>
    <w:rsid w:val="008A6DEB"/>
    <w:rsid w:val="00E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E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179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Body Text"/>
    <w:basedOn w:val="a"/>
    <w:link w:val="Char0"/>
    <w:rsid w:val="00E179EE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0">
    <w:name w:val="正文文本 Char"/>
    <w:basedOn w:val="a0"/>
    <w:link w:val="a3"/>
    <w:rsid w:val="00E179EE"/>
    <w:rPr>
      <w:rFonts w:ascii="Times New Roman" w:eastAsia="公文小标宋简" w:hAnsi="Times New Roman" w:cs="Times New Roman"/>
      <w:sz w:val="44"/>
      <w:szCs w:val="32"/>
    </w:rPr>
  </w:style>
  <w:style w:type="paragraph" w:styleId="a4">
    <w:name w:val="Normal (Web)"/>
    <w:basedOn w:val="a"/>
    <w:unhideWhenUsed/>
    <w:qFormat/>
    <w:rsid w:val="00E179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1349</Characters>
  <Application>Microsoft Office Word</Application>
  <DocSecurity>0</DocSecurity>
  <Lines>103</Lines>
  <Paragraphs>163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2024-01-02T09:01:00Z</dcterms:created>
  <dcterms:modified xsi:type="dcterms:W3CDTF">2024-01-02T09:01:00Z</dcterms:modified>
</cp:coreProperties>
</file>