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36" w:rsidRPr="00022757" w:rsidRDefault="00F90736" w:rsidP="00F90736">
      <w:pPr>
        <w:topLinePunct/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022757">
        <w:rPr>
          <w:rFonts w:eastAsia="方正小标宋简体"/>
          <w:spacing w:val="-10"/>
          <w:sz w:val="44"/>
          <w:szCs w:val="44"/>
        </w:rPr>
        <w:t>成都市关于进一步促进新型显示产业高质量发展</w:t>
      </w:r>
      <w:r w:rsidRPr="00022757">
        <w:rPr>
          <w:rFonts w:eastAsia="方正小标宋简体"/>
          <w:sz w:val="44"/>
          <w:szCs w:val="44"/>
        </w:rPr>
        <w:t>的若干政策</w:t>
      </w:r>
    </w:p>
    <w:p w:rsidR="00F90736" w:rsidRPr="007E1FE2" w:rsidRDefault="00F90736" w:rsidP="00F90736">
      <w:pPr>
        <w:topLinePunct/>
        <w:adjustRightInd w:val="0"/>
        <w:snapToGrid w:val="0"/>
        <w:jc w:val="center"/>
        <w:rPr>
          <w:rFonts w:eastAsia="方正小标宋简体"/>
          <w:sz w:val="44"/>
          <w:szCs w:val="44"/>
        </w:rPr>
      </w:pP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jc w:val="center"/>
        <w:rPr>
          <w:rFonts w:eastAsia="方正黑体简体"/>
        </w:rPr>
      </w:pPr>
      <w:r w:rsidRPr="00022757">
        <w:rPr>
          <w:rFonts w:eastAsia="方正黑体简体"/>
        </w:rPr>
        <w:t>第一章</w:t>
      </w:r>
      <w:r w:rsidRPr="00022757">
        <w:rPr>
          <w:rFonts w:eastAsia="方正黑体简体"/>
        </w:rPr>
        <w:t xml:space="preserve">  </w:t>
      </w:r>
      <w:r w:rsidRPr="00022757">
        <w:rPr>
          <w:rFonts w:eastAsia="方正黑体简体"/>
        </w:rPr>
        <w:t>总</w:t>
      </w:r>
      <w:r w:rsidRPr="00022757">
        <w:rPr>
          <w:rFonts w:eastAsia="方正黑体简体"/>
        </w:rPr>
        <w:t xml:space="preserve">  </w:t>
      </w:r>
      <w:r w:rsidRPr="00022757">
        <w:rPr>
          <w:rFonts w:eastAsia="方正黑体简体"/>
        </w:rPr>
        <w:t>则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t>为进一步完备产业链、整合供应链、提升价值链，打造全国一流的新型显示产业生态，促进成都新型显示产业高质量发展，特制定本政策。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jc w:val="center"/>
        <w:rPr>
          <w:rFonts w:eastAsia="方正黑体简体"/>
        </w:rPr>
      </w:pPr>
      <w:r w:rsidRPr="00022757">
        <w:rPr>
          <w:rFonts w:eastAsia="方正黑体简体"/>
        </w:rPr>
        <w:t>第二章</w:t>
      </w:r>
      <w:r w:rsidRPr="00022757">
        <w:rPr>
          <w:rFonts w:eastAsia="方正黑体简体"/>
        </w:rPr>
        <w:t xml:space="preserve">  </w:t>
      </w:r>
      <w:proofErr w:type="gramStart"/>
      <w:r w:rsidRPr="00022757">
        <w:rPr>
          <w:rFonts w:eastAsia="方正黑体简体"/>
        </w:rPr>
        <w:t>补链强链延链</w:t>
      </w:r>
      <w:proofErr w:type="gramEnd"/>
      <w:r w:rsidRPr="00022757">
        <w:rPr>
          <w:rFonts w:eastAsia="方正黑体简体"/>
        </w:rPr>
        <w:t>政策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t>第一条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促进</w:t>
      </w:r>
      <w:r w:rsidRPr="00022757">
        <w:rPr>
          <w:rFonts w:eastAsia="方正楷体简体" w:hint="eastAsia"/>
          <w:bCs/>
        </w:rPr>
        <w:t>产业</w:t>
      </w:r>
      <w:proofErr w:type="gramStart"/>
      <w:r w:rsidRPr="00022757">
        <w:rPr>
          <w:rFonts w:eastAsia="方正楷体简体" w:hint="eastAsia"/>
          <w:bCs/>
        </w:rPr>
        <w:t>链</w:t>
      </w:r>
      <w:r w:rsidRPr="00022757">
        <w:rPr>
          <w:rFonts w:eastAsia="方正楷体简体"/>
          <w:bCs/>
        </w:rPr>
        <w:t>投资</w:t>
      </w:r>
      <w:proofErr w:type="gramEnd"/>
      <w:r w:rsidRPr="00022757">
        <w:rPr>
          <w:rFonts w:eastAsia="方正楷体简体"/>
          <w:bCs/>
        </w:rPr>
        <w:t>驱动。</w:t>
      </w:r>
      <w:r w:rsidRPr="00022757">
        <w:t>凡围绕新型显示产业固定资产投入达到</w:t>
      </w:r>
      <w:r w:rsidRPr="00022757">
        <w:t>10</w:t>
      </w:r>
      <w:r w:rsidRPr="00022757">
        <w:t>亿元、</w:t>
      </w:r>
      <w:r w:rsidRPr="00022757">
        <w:rPr>
          <w:rFonts w:hint="eastAsia"/>
        </w:rPr>
        <w:t>50</w:t>
      </w:r>
      <w:r w:rsidRPr="00022757">
        <w:t>亿元、</w:t>
      </w:r>
      <w:r w:rsidRPr="00022757">
        <w:rPr>
          <w:rFonts w:hint="eastAsia"/>
        </w:rPr>
        <w:t>10</w:t>
      </w:r>
      <w:r w:rsidRPr="00022757">
        <w:t>0</w:t>
      </w:r>
      <w:r w:rsidRPr="00022757">
        <w:t>亿元的</w:t>
      </w:r>
      <w:r w:rsidRPr="00022757">
        <w:rPr>
          <w:rFonts w:hint="eastAsia"/>
        </w:rPr>
        <w:t>企业</w:t>
      </w:r>
      <w:r w:rsidRPr="00022757">
        <w:t>，分别给予</w:t>
      </w:r>
      <w:r w:rsidRPr="00022757">
        <w:t>800</w:t>
      </w:r>
      <w:r w:rsidRPr="00022757">
        <w:t>万元、</w:t>
      </w:r>
      <w:r w:rsidRPr="00022757">
        <w:t>900</w:t>
      </w:r>
      <w:r w:rsidRPr="00022757">
        <w:t>万元、</w:t>
      </w:r>
      <w:r w:rsidRPr="00022757">
        <w:t>1000</w:t>
      </w:r>
      <w:r w:rsidRPr="00022757">
        <w:t>万元的奖励；对投资建设玻璃基板、柔性显示基膜、掩膜版、彩色滤光片、偏光片、柔性电路板、</w:t>
      </w:r>
      <w:proofErr w:type="gramStart"/>
      <w:r w:rsidRPr="00022757">
        <w:t>触控模组</w:t>
      </w:r>
      <w:proofErr w:type="gramEnd"/>
      <w:r w:rsidRPr="00022757">
        <w:t>、背光源、电子气体、液晶材料、发光材料、光电子芯片、光学系统、激光器件、激光显示、超高</w:t>
      </w:r>
      <w:proofErr w:type="gramStart"/>
      <w:r w:rsidRPr="00022757">
        <w:t>清设备</w:t>
      </w:r>
      <w:proofErr w:type="gramEnd"/>
      <w:r w:rsidRPr="00022757">
        <w:t>等材料及组件生产项目，以及曝光、显影、蚀刻、离子注入、硅结晶化、巨量转移、气相沉积、蒸镀、检测、封装等设备及其零部件制造（含材料）项目，且固定资产投入在</w:t>
      </w:r>
      <w:r w:rsidRPr="00022757">
        <w:t>1</w:t>
      </w:r>
      <w:r w:rsidRPr="00022757">
        <w:t>亿元以上、</w:t>
      </w:r>
      <w:r w:rsidRPr="00022757">
        <w:t>10</w:t>
      </w:r>
      <w:r w:rsidRPr="00022757">
        <w:t>亿元以下的</w:t>
      </w:r>
      <w:r w:rsidRPr="00022757">
        <w:rPr>
          <w:rFonts w:hint="eastAsia"/>
        </w:rPr>
        <w:t>企业</w:t>
      </w:r>
      <w:r w:rsidRPr="00022757">
        <w:t>，按不超过</w:t>
      </w:r>
      <w:r w:rsidRPr="00022757">
        <w:t>3</w:t>
      </w:r>
      <w:r>
        <w:rPr>
          <w:rFonts w:hint="eastAsia"/>
        </w:rPr>
        <w:t>.</w:t>
      </w:r>
      <w:r w:rsidRPr="00022757">
        <w:t>5%</w:t>
      </w:r>
      <w:r w:rsidRPr="00022757">
        <w:t>的比例给予最高</w:t>
      </w:r>
      <w:r w:rsidRPr="00022757">
        <w:t>800</w:t>
      </w:r>
      <w:r w:rsidRPr="00022757">
        <w:t>万元的奖励。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lastRenderedPageBreak/>
        <w:t>第二条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协同供应链</w:t>
      </w:r>
      <w:r w:rsidRPr="00022757">
        <w:rPr>
          <w:rFonts w:eastAsia="方正楷体简体" w:hint="eastAsia"/>
          <w:bCs/>
        </w:rPr>
        <w:t>垂直</w:t>
      </w:r>
      <w:r w:rsidRPr="00022757">
        <w:rPr>
          <w:rFonts w:eastAsia="方正楷体简体"/>
          <w:bCs/>
        </w:rPr>
        <w:t>整合。</w:t>
      </w:r>
      <w:r w:rsidRPr="00022757">
        <w:t>为新型显示企业生产首次提供自主研发的原材料或零部件产品，形成有效供应链的</w:t>
      </w:r>
      <w:r w:rsidRPr="00022757">
        <w:rPr>
          <w:rFonts w:hint="eastAsia"/>
        </w:rPr>
        <w:t>企业</w:t>
      </w:r>
      <w:r w:rsidRPr="00022757">
        <w:t>，按照供需方第一年销售合同总额的</w:t>
      </w:r>
      <w:r w:rsidRPr="00022757">
        <w:t>5%</w:t>
      </w:r>
      <w:r w:rsidRPr="00022757">
        <w:t>（双方各</w:t>
      </w:r>
      <w:r w:rsidRPr="00022757">
        <w:t>2.5%</w:t>
      </w:r>
      <w:r w:rsidRPr="00022757">
        <w:t>）给予最高</w:t>
      </w:r>
      <w:r w:rsidRPr="00022757">
        <w:t>300</w:t>
      </w:r>
      <w:r w:rsidRPr="00022757">
        <w:t>万元的奖励；销售合同总额连续</w:t>
      </w:r>
      <w:r w:rsidRPr="00022757">
        <w:t>2</w:t>
      </w:r>
      <w:r w:rsidRPr="00022757">
        <w:t>年同比增长</w:t>
      </w:r>
      <w:r w:rsidRPr="00022757">
        <w:t>20%</w:t>
      </w:r>
      <w:r w:rsidRPr="00022757">
        <w:t>以上的</w:t>
      </w:r>
      <w:r w:rsidRPr="00022757">
        <w:rPr>
          <w:rFonts w:hint="eastAsia"/>
        </w:rPr>
        <w:t>企业</w:t>
      </w:r>
      <w:r w:rsidRPr="00022757">
        <w:t>，按增量的</w:t>
      </w:r>
      <w:r w:rsidRPr="00022757">
        <w:t>5%</w:t>
      </w:r>
      <w:r w:rsidRPr="00022757">
        <w:t>（双方各</w:t>
      </w:r>
      <w:r w:rsidRPr="00022757">
        <w:t>2.5%</w:t>
      </w:r>
      <w:r w:rsidRPr="00022757">
        <w:t>）再给予最高</w:t>
      </w:r>
      <w:r w:rsidRPr="00022757">
        <w:t>300</w:t>
      </w:r>
      <w:r w:rsidRPr="00022757">
        <w:t>万元的奖励。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t>第三条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拓展产品</w:t>
      </w:r>
      <w:proofErr w:type="gramStart"/>
      <w:r w:rsidRPr="00022757">
        <w:rPr>
          <w:rFonts w:eastAsia="方正楷体简体"/>
          <w:bCs/>
        </w:rPr>
        <w:t>链</w:t>
      </w:r>
      <w:r w:rsidRPr="00022757">
        <w:rPr>
          <w:rFonts w:eastAsia="方正楷体简体" w:hint="eastAsia"/>
          <w:bCs/>
        </w:rPr>
        <w:t>创新</w:t>
      </w:r>
      <w:proofErr w:type="gramEnd"/>
      <w:r w:rsidRPr="00022757">
        <w:rPr>
          <w:rFonts w:eastAsia="方正楷体简体"/>
          <w:bCs/>
        </w:rPr>
        <w:t>应用。</w:t>
      </w:r>
      <w:r w:rsidRPr="00022757">
        <w:t>对首次采购新型显示产品并用于终端产品的制造企业，按第一年采购合同额的</w:t>
      </w:r>
      <w:r w:rsidRPr="00022757">
        <w:t>5%</w:t>
      </w:r>
      <w:r w:rsidRPr="00022757">
        <w:t>给予最高</w:t>
      </w:r>
      <w:r w:rsidRPr="00022757">
        <w:t>300</w:t>
      </w:r>
      <w:r w:rsidRPr="00022757">
        <w:t>万元的奖励。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t>第四条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强化生产服务业发展。</w:t>
      </w:r>
      <w:r w:rsidRPr="00022757">
        <w:t>围绕生产制造，提供设备维修、零部件清洗和检验检测等生产性服务的企业，服务性收入达</w:t>
      </w:r>
      <w:r w:rsidRPr="00022757">
        <w:t>500</w:t>
      </w:r>
      <w:r w:rsidRPr="00022757">
        <w:t>万元的，按实际收入的</w:t>
      </w:r>
      <w:r w:rsidRPr="00022757">
        <w:t>3%</w:t>
      </w:r>
      <w:r w:rsidRPr="00022757">
        <w:t>给予最高</w:t>
      </w:r>
      <w:r w:rsidRPr="00022757">
        <w:t>300</w:t>
      </w:r>
      <w:r w:rsidRPr="00022757">
        <w:t>万元的补助；服务性收入连续</w:t>
      </w:r>
      <w:r w:rsidRPr="00022757">
        <w:t>2</w:t>
      </w:r>
      <w:r w:rsidRPr="00022757">
        <w:t>年同比增长</w:t>
      </w:r>
      <w:r w:rsidRPr="00022757">
        <w:t>20%</w:t>
      </w:r>
      <w:r w:rsidRPr="00022757">
        <w:t>以上的，按增量的</w:t>
      </w:r>
      <w:r w:rsidRPr="00022757">
        <w:t>3%</w:t>
      </w:r>
      <w:r w:rsidRPr="00022757">
        <w:t>再给予最高</w:t>
      </w:r>
      <w:r w:rsidRPr="00022757">
        <w:t>300</w:t>
      </w:r>
      <w:r w:rsidRPr="00022757">
        <w:t>万元的补助。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jc w:val="center"/>
        <w:rPr>
          <w:rFonts w:eastAsia="方正黑体简体"/>
        </w:rPr>
      </w:pPr>
      <w:r w:rsidRPr="00022757">
        <w:rPr>
          <w:rFonts w:eastAsia="方正黑体简体"/>
        </w:rPr>
        <w:t>第三章</w:t>
      </w:r>
      <w:r w:rsidRPr="00022757">
        <w:rPr>
          <w:rFonts w:eastAsia="方正黑体简体"/>
        </w:rPr>
        <w:t xml:space="preserve">  </w:t>
      </w:r>
      <w:r w:rsidRPr="00022757">
        <w:rPr>
          <w:rFonts w:eastAsia="方正黑体简体"/>
        </w:rPr>
        <w:t>强化</w:t>
      </w:r>
      <w:r w:rsidRPr="00022757">
        <w:rPr>
          <w:rFonts w:eastAsia="方正黑体简体" w:hint="eastAsia"/>
        </w:rPr>
        <w:t>创新驱动</w:t>
      </w:r>
      <w:r w:rsidRPr="00022757">
        <w:rPr>
          <w:rFonts w:eastAsia="方正黑体简体"/>
        </w:rPr>
        <w:t>政策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t>第五条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着力关键核心技术突破。</w:t>
      </w:r>
      <w:r w:rsidRPr="00022757">
        <w:t>凡自主研发玻璃基板、液晶材料、有机发光材料、光刻胶、彩色光胶、有机化学溶剂、靶材、柔性电路板、柔性显示基膜、</w:t>
      </w:r>
      <w:proofErr w:type="gramStart"/>
      <w:r w:rsidRPr="00022757">
        <w:t>触控模组</w:t>
      </w:r>
      <w:proofErr w:type="gramEnd"/>
      <w:r w:rsidRPr="00022757">
        <w:t>、电子纸、精密光学镜片、光学模组等新型显示技术和设备制造技术</w:t>
      </w:r>
      <w:r w:rsidRPr="00022757">
        <w:lastRenderedPageBreak/>
        <w:t>（材料、器件），</w:t>
      </w:r>
      <w:r w:rsidRPr="00022757">
        <w:t>4K/8K</w:t>
      </w:r>
      <w:r w:rsidRPr="00022757">
        <w:t>芯片、编辑系统、摄录和存储设备、展映平台等超高清视频设备（软件、系统），以及大功率激光器、光刻机、刻蚀机、光电子芯片、</w:t>
      </w:r>
      <w:proofErr w:type="gramStart"/>
      <w:r w:rsidRPr="00022757">
        <w:t>硅光芯片</w:t>
      </w:r>
      <w:proofErr w:type="gramEnd"/>
      <w:r w:rsidRPr="00022757">
        <w:t>等器件（材料、系统），年销售收入</w:t>
      </w:r>
      <w:r w:rsidRPr="00022757">
        <w:t>500</w:t>
      </w:r>
      <w:r w:rsidRPr="00022757">
        <w:t>万元以上的</w:t>
      </w:r>
      <w:r w:rsidRPr="00022757">
        <w:rPr>
          <w:rFonts w:hint="eastAsia"/>
        </w:rPr>
        <w:t>企业</w:t>
      </w:r>
      <w:r w:rsidRPr="00022757">
        <w:t>，按研发投入额的</w:t>
      </w:r>
      <w:r w:rsidRPr="00022757">
        <w:t>20%</w:t>
      </w:r>
      <w:r w:rsidRPr="00022757">
        <w:t>给予最高</w:t>
      </w:r>
      <w:r w:rsidRPr="00022757">
        <w:t>300</w:t>
      </w:r>
      <w:r w:rsidRPr="00022757">
        <w:t>万元的补助；对自主研发掩膜版、彩色滤光片、偏光片、驱动</w:t>
      </w:r>
      <w:r w:rsidRPr="00022757">
        <w:t>IC</w:t>
      </w:r>
      <w:r w:rsidRPr="00022757">
        <w:t>等技术（工艺），年销售收入</w:t>
      </w:r>
      <w:r w:rsidRPr="00022757">
        <w:t>1000</w:t>
      </w:r>
      <w:r w:rsidRPr="00022757">
        <w:t>万元以上的</w:t>
      </w:r>
      <w:r w:rsidRPr="00022757">
        <w:rPr>
          <w:rFonts w:hint="eastAsia"/>
        </w:rPr>
        <w:t>企业</w:t>
      </w:r>
      <w:r w:rsidRPr="00022757">
        <w:t>，按研发投入额的</w:t>
      </w:r>
      <w:r w:rsidRPr="00022757">
        <w:t>16%</w:t>
      </w:r>
      <w:r w:rsidRPr="00022757">
        <w:t>给予最高</w:t>
      </w:r>
      <w:r w:rsidRPr="00022757">
        <w:t>300</w:t>
      </w:r>
      <w:r w:rsidRPr="00022757">
        <w:t>万元的补助。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t>第六条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承接国家重大战略布局。</w:t>
      </w:r>
      <w:r w:rsidRPr="00022757">
        <w:t>对获得国家级重大专项的</w:t>
      </w:r>
      <w:r w:rsidRPr="00022757">
        <w:rPr>
          <w:rFonts w:hint="eastAsia"/>
        </w:rPr>
        <w:t>企业</w:t>
      </w:r>
      <w:r w:rsidRPr="00022757">
        <w:t>，按照国家支持额的</w:t>
      </w:r>
      <w:r w:rsidRPr="00022757">
        <w:t>50%</w:t>
      </w:r>
      <w:r w:rsidRPr="00022757">
        <w:t>给予最高</w:t>
      </w:r>
      <w:r w:rsidRPr="00022757">
        <w:t>1000</w:t>
      </w:r>
      <w:r w:rsidRPr="00022757">
        <w:t>万元的配套奖励。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t>第七条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加强前瞻领域技术储备。</w:t>
      </w:r>
      <w:r w:rsidRPr="00022757">
        <w:rPr>
          <w:spacing w:val="-4"/>
        </w:rPr>
        <w:t>对量子点发光二极管显示（</w:t>
      </w:r>
      <w:r w:rsidRPr="00022757">
        <w:rPr>
          <w:spacing w:val="-4"/>
        </w:rPr>
        <w:t>QLED</w:t>
      </w:r>
      <w:r w:rsidRPr="00022757">
        <w:rPr>
          <w:spacing w:val="-4"/>
        </w:rPr>
        <w:t>）、小型发光二极管显示（</w:t>
      </w:r>
      <w:r w:rsidRPr="00022757">
        <w:rPr>
          <w:spacing w:val="-4"/>
        </w:rPr>
        <w:t>Mini</w:t>
      </w:r>
      <w:r w:rsidRPr="00022757">
        <w:rPr>
          <w:rFonts w:hint="eastAsia"/>
          <w:spacing w:val="-4"/>
        </w:rPr>
        <w:t>-</w:t>
      </w:r>
      <w:r w:rsidRPr="00022757">
        <w:rPr>
          <w:spacing w:val="-4"/>
        </w:rPr>
        <w:t>LED</w:t>
      </w:r>
      <w:r w:rsidRPr="00022757">
        <w:rPr>
          <w:spacing w:val="-4"/>
        </w:rPr>
        <w:t>）、微型发光二极管显示（</w:t>
      </w:r>
      <w:r w:rsidRPr="00022757">
        <w:rPr>
          <w:spacing w:val="-4"/>
        </w:rPr>
        <w:t>Micro</w:t>
      </w:r>
      <w:r w:rsidRPr="00022757">
        <w:rPr>
          <w:rFonts w:hint="eastAsia"/>
          <w:spacing w:val="-4"/>
        </w:rPr>
        <w:t>-</w:t>
      </w:r>
      <w:r w:rsidRPr="00022757">
        <w:rPr>
          <w:spacing w:val="-4"/>
        </w:rPr>
        <w:t>LED</w:t>
      </w:r>
      <w:r w:rsidRPr="00022757">
        <w:rPr>
          <w:spacing w:val="-4"/>
        </w:rPr>
        <w:t>）、微型有机发光二极管显示（</w:t>
      </w:r>
      <w:r w:rsidRPr="00022757">
        <w:rPr>
          <w:spacing w:val="-4"/>
        </w:rPr>
        <w:t>Micro</w:t>
      </w:r>
      <w:r w:rsidRPr="00022757">
        <w:rPr>
          <w:rFonts w:hint="eastAsia"/>
          <w:spacing w:val="-4"/>
        </w:rPr>
        <w:t>-</w:t>
      </w:r>
      <w:r w:rsidRPr="00022757">
        <w:rPr>
          <w:spacing w:val="-4"/>
        </w:rPr>
        <w:t>OLED</w:t>
      </w:r>
      <w:r w:rsidRPr="00022757">
        <w:rPr>
          <w:spacing w:val="-4"/>
        </w:rPr>
        <w:t>）、碳基显示、全息显示、</w:t>
      </w:r>
      <w:r w:rsidRPr="00022757">
        <w:rPr>
          <w:spacing w:val="-4"/>
        </w:rPr>
        <w:t>3D</w:t>
      </w:r>
      <w:r w:rsidRPr="00022757">
        <w:rPr>
          <w:spacing w:val="-4"/>
        </w:rPr>
        <w:t>显示、激光显示、印刷显示、柔性显示用聚酰亚胺材料（</w:t>
      </w:r>
      <w:r w:rsidRPr="00022757">
        <w:rPr>
          <w:spacing w:val="-4"/>
        </w:rPr>
        <w:t>PI</w:t>
      </w:r>
      <w:r w:rsidRPr="00022757">
        <w:rPr>
          <w:spacing w:val="-4"/>
        </w:rPr>
        <w:t>）、低温多晶氧化物技术（</w:t>
      </w:r>
      <w:r w:rsidRPr="00022757">
        <w:rPr>
          <w:spacing w:val="-4"/>
        </w:rPr>
        <w:t>LTPO</w:t>
      </w:r>
      <w:r w:rsidRPr="00022757">
        <w:rPr>
          <w:spacing w:val="-4"/>
        </w:rPr>
        <w:t>）、</w:t>
      </w:r>
      <w:proofErr w:type="gramStart"/>
      <w:r w:rsidRPr="00022757">
        <w:rPr>
          <w:spacing w:val="-4"/>
        </w:rPr>
        <w:t>屏下摄像头</w:t>
      </w:r>
      <w:proofErr w:type="gramEnd"/>
      <w:r w:rsidRPr="00022757">
        <w:rPr>
          <w:spacing w:val="-4"/>
        </w:rPr>
        <w:t>技术、柔性折叠技术、</w:t>
      </w:r>
      <w:r w:rsidRPr="00022757">
        <w:rPr>
          <w:spacing w:val="-4"/>
        </w:rPr>
        <w:t>8K</w:t>
      </w:r>
      <w:r w:rsidRPr="00022757">
        <w:rPr>
          <w:spacing w:val="-4"/>
        </w:rPr>
        <w:t>芯片及设备、高速光通信芯片、</w:t>
      </w:r>
      <w:proofErr w:type="gramStart"/>
      <w:r w:rsidRPr="00022757">
        <w:rPr>
          <w:spacing w:val="-4"/>
        </w:rPr>
        <w:t>超高速硅光芯片</w:t>
      </w:r>
      <w:proofErr w:type="gramEnd"/>
      <w:r w:rsidRPr="00022757">
        <w:rPr>
          <w:spacing w:val="-4"/>
        </w:rPr>
        <w:t>、半导体激光器、超大功率激光器、纳米级光刻机、纳米级刻蚀机、纳米级光学镜</w:t>
      </w:r>
      <w:r w:rsidRPr="00022757">
        <w:rPr>
          <w:spacing w:val="-4"/>
        </w:rPr>
        <w:lastRenderedPageBreak/>
        <w:t>片模具、光器件软件系统、</w:t>
      </w:r>
      <w:r w:rsidRPr="00022757">
        <w:rPr>
          <w:spacing w:val="-4"/>
        </w:rPr>
        <w:t>8K</w:t>
      </w:r>
      <w:r w:rsidRPr="00022757">
        <w:rPr>
          <w:spacing w:val="-4"/>
        </w:rPr>
        <w:t>智能处理系统等领域开展前瞻性技术研究的</w:t>
      </w:r>
      <w:r w:rsidRPr="00022757">
        <w:rPr>
          <w:rFonts w:hint="eastAsia"/>
          <w:spacing w:val="-4"/>
        </w:rPr>
        <w:t>企业</w:t>
      </w:r>
      <w:r w:rsidRPr="00022757">
        <w:rPr>
          <w:spacing w:val="-4"/>
        </w:rPr>
        <w:t>，给予最高</w:t>
      </w:r>
      <w:r w:rsidRPr="00022757">
        <w:rPr>
          <w:spacing w:val="-4"/>
        </w:rPr>
        <w:t>50</w:t>
      </w:r>
      <w:r w:rsidRPr="00022757">
        <w:rPr>
          <w:spacing w:val="-4"/>
        </w:rPr>
        <w:t>万元的补助。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jc w:val="center"/>
        <w:rPr>
          <w:rFonts w:eastAsia="方正黑体简体"/>
        </w:rPr>
      </w:pPr>
      <w:r w:rsidRPr="00022757">
        <w:rPr>
          <w:rFonts w:eastAsia="方正黑体简体"/>
        </w:rPr>
        <w:t>第四章</w:t>
      </w:r>
      <w:r w:rsidRPr="00022757">
        <w:rPr>
          <w:rFonts w:eastAsia="方正黑体简体"/>
        </w:rPr>
        <w:t xml:space="preserve">  </w:t>
      </w:r>
      <w:r w:rsidRPr="00022757">
        <w:rPr>
          <w:rFonts w:eastAsia="方正黑体简体"/>
        </w:rPr>
        <w:t>优化产业环境政策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t>第八条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吸引高端人才来蓉发展。</w:t>
      </w:r>
      <w:r w:rsidRPr="00022757">
        <w:rPr>
          <w:rFonts w:hint="eastAsia"/>
        </w:rPr>
        <w:t>支持高端专业</w:t>
      </w:r>
      <w:r w:rsidRPr="00022757">
        <w:t>人才来蓉创业就业，对</w:t>
      </w:r>
      <w:r w:rsidRPr="00022757">
        <w:rPr>
          <w:rFonts w:hint="eastAsia"/>
        </w:rPr>
        <w:t>企业人力资源成本支出</w:t>
      </w:r>
      <w:r w:rsidRPr="00022757">
        <w:t>超过</w:t>
      </w:r>
      <w:r w:rsidRPr="00022757">
        <w:t>100</w:t>
      </w:r>
      <w:r w:rsidRPr="00022757">
        <w:t>万元、</w:t>
      </w:r>
      <w:r w:rsidRPr="00022757">
        <w:t>200</w:t>
      </w:r>
      <w:r w:rsidRPr="00022757">
        <w:t>万元、</w:t>
      </w:r>
      <w:r w:rsidRPr="00022757">
        <w:t>300</w:t>
      </w:r>
      <w:r w:rsidRPr="00022757">
        <w:t>万元的新型显示技术人才，分别给予</w:t>
      </w:r>
      <w:r w:rsidRPr="00022757">
        <w:t>20</w:t>
      </w:r>
      <w:r w:rsidRPr="00022757">
        <w:t>万元、</w:t>
      </w:r>
      <w:r w:rsidRPr="00022757">
        <w:t>60</w:t>
      </w:r>
      <w:r w:rsidRPr="00022757">
        <w:t>万元、</w:t>
      </w:r>
      <w:r w:rsidRPr="00022757">
        <w:t>100</w:t>
      </w:r>
      <w:r w:rsidRPr="00022757">
        <w:t>万元的奖励。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t>第九条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发挥行业组织聚合优势。</w:t>
      </w:r>
      <w:r w:rsidRPr="00022757">
        <w:t>对围绕全市新型显示产业集群化、融合化和生态化发展，提供上下游制造协同、产学研用协作、资源数据共享、产品检验检测、行业交流与决策咨询等平台化服务的企业或行业协会，按实际投入的</w:t>
      </w:r>
      <w:r w:rsidRPr="00022757">
        <w:t>30%</w:t>
      </w:r>
      <w:r w:rsidRPr="00022757">
        <w:t>给予最高</w:t>
      </w:r>
      <w:r w:rsidRPr="00022757">
        <w:t>300</w:t>
      </w:r>
      <w:r w:rsidRPr="00022757">
        <w:t>万元的补助。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t>第十条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深化</w:t>
      </w:r>
      <w:proofErr w:type="gramStart"/>
      <w:r w:rsidRPr="00022757">
        <w:rPr>
          <w:rFonts w:eastAsia="方正楷体简体"/>
          <w:bCs/>
        </w:rPr>
        <w:t>会展赛事</w:t>
      </w:r>
      <w:proofErr w:type="gramEnd"/>
      <w:r w:rsidRPr="00022757">
        <w:rPr>
          <w:rFonts w:eastAsia="方正楷体简体"/>
          <w:bCs/>
        </w:rPr>
        <w:t>推介功能。</w:t>
      </w:r>
      <w:r w:rsidRPr="00022757">
        <w:t>发挥会展的功效作用，对承担产业链招商引资会、</w:t>
      </w:r>
      <w:r w:rsidRPr="00022757">
        <w:rPr>
          <w:rFonts w:hint="eastAsia"/>
        </w:rPr>
        <w:t>促进</w:t>
      </w:r>
      <w:r w:rsidRPr="00022757">
        <w:t>3</w:t>
      </w:r>
      <w:r w:rsidRPr="00022757">
        <w:t>户以上</w:t>
      </w:r>
      <w:r w:rsidRPr="00022757">
        <w:rPr>
          <w:rFonts w:hint="eastAsia"/>
        </w:rPr>
        <w:t>企业</w:t>
      </w:r>
      <w:r w:rsidRPr="00022757">
        <w:t>实际落户的企业或行业协会，给予</w:t>
      </w:r>
      <w:r w:rsidRPr="00022757">
        <w:t>50</w:t>
      </w:r>
      <w:r w:rsidRPr="00022757">
        <w:t>万元的奖励；</w:t>
      </w:r>
      <w:r w:rsidRPr="00022757">
        <w:rPr>
          <w:rFonts w:hint="eastAsia"/>
        </w:rPr>
        <w:t>对</w:t>
      </w:r>
      <w:r w:rsidRPr="00022757">
        <w:t>承担供应</w:t>
      </w:r>
      <w:proofErr w:type="gramStart"/>
      <w:r w:rsidRPr="00022757">
        <w:t>链合作</w:t>
      </w:r>
      <w:proofErr w:type="gramEnd"/>
      <w:r w:rsidRPr="00022757">
        <w:t>洽谈会、促进</w:t>
      </w:r>
      <w:r w:rsidRPr="00022757">
        <w:t>6</w:t>
      </w:r>
      <w:r w:rsidRPr="00022757">
        <w:t>户以上的上下游</w:t>
      </w:r>
      <w:r w:rsidRPr="00022757">
        <w:rPr>
          <w:rFonts w:hint="eastAsia"/>
        </w:rPr>
        <w:t>企业</w:t>
      </w:r>
      <w:r w:rsidRPr="00022757">
        <w:t>合作交易</w:t>
      </w:r>
      <w:r w:rsidRPr="00022757">
        <w:rPr>
          <w:rFonts w:hint="eastAsia"/>
        </w:rPr>
        <w:t>的</w:t>
      </w:r>
      <w:r w:rsidRPr="00022757">
        <w:t>企业或行业协会，给予</w:t>
      </w:r>
      <w:r w:rsidRPr="00022757">
        <w:t>40</w:t>
      </w:r>
      <w:r w:rsidRPr="00022757">
        <w:t>万元的奖励，并给予合作企业各</w:t>
      </w:r>
      <w:r w:rsidRPr="00022757">
        <w:t>10</w:t>
      </w:r>
      <w:r w:rsidRPr="00022757">
        <w:t>万元的奖励。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jc w:val="center"/>
        <w:rPr>
          <w:rFonts w:eastAsia="方正黑体简体"/>
        </w:rPr>
      </w:pPr>
      <w:r w:rsidRPr="00022757">
        <w:rPr>
          <w:rFonts w:eastAsia="方正黑体简体"/>
        </w:rPr>
        <w:t>第五章</w:t>
      </w:r>
      <w:r w:rsidRPr="00022757">
        <w:rPr>
          <w:rFonts w:eastAsia="方正黑体简体"/>
        </w:rPr>
        <w:t xml:space="preserve">  </w:t>
      </w:r>
      <w:r w:rsidRPr="00022757">
        <w:rPr>
          <w:rFonts w:eastAsia="方正黑体简体"/>
        </w:rPr>
        <w:t>附则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t>第十一条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适用范围。</w:t>
      </w:r>
      <w:r w:rsidRPr="00022757">
        <w:t>本政策适用于具有独立法人资格</w:t>
      </w:r>
      <w:r w:rsidRPr="00022757">
        <w:lastRenderedPageBreak/>
        <w:t>的新型显示产业类（包括新型显示、超高清视频和激光）企业</w:t>
      </w:r>
      <w:r w:rsidRPr="00022757">
        <w:rPr>
          <w:rFonts w:hint="eastAsia"/>
        </w:rPr>
        <w:t>和</w:t>
      </w:r>
      <w:r w:rsidRPr="00022757">
        <w:t>行业协会</w:t>
      </w:r>
      <w:r w:rsidRPr="00022757">
        <w:rPr>
          <w:rFonts w:hint="eastAsia"/>
        </w:rPr>
        <w:t>，以及符合条件的专业人才</w:t>
      </w:r>
      <w:r w:rsidRPr="00022757">
        <w:rPr>
          <w:bCs/>
        </w:rPr>
        <w:t>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</w:pPr>
      <w:r w:rsidRPr="00022757">
        <w:rPr>
          <w:rFonts w:eastAsia="方正楷体简体"/>
          <w:bCs/>
        </w:rPr>
        <w:t>第十二条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重复原则。</w:t>
      </w:r>
      <w:r w:rsidRPr="00022757">
        <w:t>本政策与市级其他政策条款相似的，同一企业按就高不就低原则不重复享受。</w:t>
      </w:r>
    </w:p>
    <w:p w:rsidR="00F90736" w:rsidRPr="00022757" w:rsidRDefault="00F90736" w:rsidP="00F90736">
      <w:pPr>
        <w:topLinePunct/>
        <w:adjustRightInd w:val="0"/>
        <w:snapToGrid w:val="0"/>
        <w:spacing w:line="312" w:lineRule="auto"/>
        <w:ind w:firstLineChars="200" w:firstLine="640"/>
        <w:rPr>
          <w:rFonts w:hint="eastAsia"/>
        </w:rPr>
      </w:pPr>
      <w:r w:rsidRPr="00022757">
        <w:rPr>
          <w:rFonts w:eastAsia="方正楷体简体"/>
          <w:bCs/>
        </w:rPr>
        <w:t>第十三条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政策解释。</w:t>
      </w:r>
      <w:r w:rsidRPr="00022757">
        <w:rPr>
          <w:bCs/>
        </w:rPr>
        <w:t>本政策实施中的具体问题由市经信局会同市级有关部门负责解释，并制定实施细则</w:t>
      </w:r>
      <w:r w:rsidRPr="00022757">
        <w:t>。</w:t>
      </w:r>
    </w:p>
    <w:p w:rsidR="00F90736" w:rsidRDefault="00F90736" w:rsidP="00F90736">
      <w:pPr>
        <w:topLinePunct/>
        <w:adjustRightInd w:val="0"/>
        <w:snapToGrid w:val="0"/>
        <w:spacing w:line="312" w:lineRule="auto"/>
        <w:ind w:firstLineChars="200" w:firstLine="640"/>
        <w:rPr>
          <w:rFonts w:hint="eastAsia"/>
          <w:spacing w:val="-6"/>
        </w:rPr>
      </w:pPr>
      <w:r w:rsidRPr="00022757">
        <w:rPr>
          <w:rFonts w:eastAsia="方正楷体简体"/>
          <w:bCs/>
        </w:rPr>
        <w:t>第十四条</w:t>
      </w:r>
      <w:r w:rsidRPr="00022757">
        <w:rPr>
          <w:rFonts w:eastAsia="方正楷体简体"/>
          <w:bCs/>
        </w:rPr>
        <w:t xml:space="preserve"> </w:t>
      </w:r>
      <w:r w:rsidRPr="00022757">
        <w:rPr>
          <w:rFonts w:eastAsia="方正楷体简体"/>
          <w:bCs/>
        </w:rPr>
        <w:t>有效期限。</w:t>
      </w:r>
      <w:r w:rsidRPr="00022757">
        <w:rPr>
          <w:spacing w:val="-6"/>
        </w:rPr>
        <w:t>本政策自</w:t>
      </w:r>
      <w:smartTag w:uri="urn:schemas-microsoft-com:office:smarttags" w:element="chsdate">
        <w:smartTagPr>
          <w:attr w:name="Year" w:val="2023"/>
          <w:attr w:name="Month" w:val="3"/>
          <w:attr w:name="Day" w:val="15"/>
          <w:attr w:name="IsLunarDate" w:val="False"/>
          <w:attr w:name="IsROCDate" w:val="False"/>
        </w:smartTagPr>
        <w:r w:rsidRPr="00022757">
          <w:rPr>
            <w:spacing w:val="-6"/>
          </w:rPr>
          <w:t>202</w:t>
        </w:r>
        <w:r w:rsidRPr="00022757">
          <w:rPr>
            <w:rFonts w:hint="eastAsia"/>
            <w:spacing w:val="-6"/>
          </w:rPr>
          <w:t>3</w:t>
        </w:r>
        <w:r w:rsidRPr="00022757">
          <w:rPr>
            <w:spacing w:val="-6"/>
          </w:rPr>
          <w:t>年</w:t>
        </w:r>
        <w:r w:rsidRPr="00022757">
          <w:rPr>
            <w:rFonts w:hint="eastAsia"/>
            <w:spacing w:val="-6"/>
          </w:rPr>
          <w:t>3</w:t>
        </w:r>
        <w:r w:rsidRPr="00022757">
          <w:rPr>
            <w:spacing w:val="-6"/>
          </w:rPr>
          <w:t>月</w:t>
        </w:r>
        <w:r w:rsidRPr="00022757">
          <w:rPr>
            <w:rFonts w:hint="eastAsia"/>
            <w:spacing w:val="-6"/>
          </w:rPr>
          <w:t>15</w:t>
        </w:r>
        <w:r w:rsidRPr="00022757">
          <w:rPr>
            <w:spacing w:val="-6"/>
          </w:rPr>
          <w:t>日起</w:t>
        </w:r>
      </w:smartTag>
      <w:r w:rsidRPr="00022757">
        <w:rPr>
          <w:spacing w:val="-6"/>
        </w:rPr>
        <w:t>实施，有效期</w:t>
      </w:r>
      <w:r w:rsidRPr="00022757">
        <w:rPr>
          <w:spacing w:val="-6"/>
        </w:rPr>
        <w:t>3</w:t>
      </w:r>
      <w:r w:rsidRPr="00022757">
        <w:rPr>
          <w:spacing w:val="-6"/>
        </w:rPr>
        <w:t>年。</w:t>
      </w:r>
      <w:r w:rsidRPr="00022757">
        <w:rPr>
          <w:rFonts w:hint="eastAsia"/>
          <w:spacing w:val="-6"/>
        </w:rPr>
        <w:t>市经信局、市财政局印发的</w:t>
      </w:r>
      <w:r w:rsidRPr="00022757">
        <w:rPr>
          <w:color w:val="000000"/>
          <w:spacing w:val="-6"/>
        </w:rPr>
        <w:t>《关于进一步促进光电产业高质量发展若干政策的意见》（成经信办〔</w:t>
      </w:r>
      <w:r w:rsidRPr="00022757">
        <w:rPr>
          <w:color w:val="000000"/>
          <w:spacing w:val="-6"/>
        </w:rPr>
        <w:t>2020</w:t>
      </w:r>
      <w:r w:rsidRPr="00022757">
        <w:rPr>
          <w:color w:val="000000"/>
          <w:spacing w:val="-6"/>
        </w:rPr>
        <w:t>〕</w:t>
      </w:r>
      <w:r w:rsidRPr="00022757">
        <w:rPr>
          <w:color w:val="000000"/>
          <w:spacing w:val="-6"/>
        </w:rPr>
        <w:t>3</w:t>
      </w:r>
      <w:r w:rsidRPr="00022757">
        <w:rPr>
          <w:color w:val="000000"/>
          <w:spacing w:val="-6"/>
        </w:rPr>
        <w:t>号）</w:t>
      </w:r>
      <w:r w:rsidRPr="00022757">
        <w:rPr>
          <w:rFonts w:hint="eastAsia"/>
          <w:spacing w:val="-6"/>
        </w:rPr>
        <w:t>同时废止。</w:t>
      </w:r>
    </w:p>
    <w:p w:rsidR="00F90736" w:rsidRDefault="00F90736" w:rsidP="00F90736">
      <w:pPr>
        <w:adjustRightInd w:val="0"/>
        <w:snapToGrid w:val="0"/>
        <w:spacing w:line="298" w:lineRule="auto"/>
        <w:ind w:firstLineChars="200" w:firstLine="616"/>
        <w:rPr>
          <w:rFonts w:hint="eastAsia"/>
          <w:spacing w:val="-6"/>
        </w:rPr>
      </w:pPr>
    </w:p>
    <w:p w:rsidR="00F90736" w:rsidRDefault="00F90736" w:rsidP="00F90736">
      <w:pPr>
        <w:adjustRightInd w:val="0"/>
        <w:snapToGrid w:val="0"/>
        <w:spacing w:line="298" w:lineRule="auto"/>
        <w:ind w:firstLineChars="200" w:firstLine="616"/>
        <w:rPr>
          <w:rFonts w:hint="eastAsia"/>
          <w:spacing w:val="-6"/>
        </w:rPr>
      </w:pPr>
    </w:p>
    <w:p w:rsidR="00F90736" w:rsidRDefault="00F90736" w:rsidP="00F90736">
      <w:pPr>
        <w:adjustRightInd w:val="0"/>
        <w:snapToGrid w:val="0"/>
        <w:spacing w:line="298" w:lineRule="auto"/>
        <w:ind w:firstLineChars="200" w:firstLine="616"/>
        <w:rPr>
          <w:rFonts w:hint="eastAsia"/>
          <w:spacing w:val="-6"/>
        </w:rPr>
      </w:pPr>
    </w:p>
    <w:p w:rsidR="00F90736" w:rsidRDefault="00F90736" w:rsidP="00F90736">
      <w:pPr>
        <w:adjustRightInd w:val="0"/>
        <w:snapToGrid w:val="0"/>
        <w:spacing w:line="298" w:lineRule="auto"/>
        <w:ind w:firstLineChars="200" w:firstLine="616"/>
        <w:rPr>
          <w:rFonts w:hint="eastAsia"/>
          <w:spacing w:val="-6"/>
        </w:rPr>
      </w:pPr>
    </w:p>
    <w:p w:rsidR="00F90736" w:rsidRDefault="00F90736" w:rsidP="00F90736">
      <w:pPr>
        <w:adjustRightInd w:val="0"/>
        <w:snapToGrid w:val="0"/>
        <w:spacing w:line="298" w:lineRule="auto"/>
        <w:ind w:firstLineChars="200" w:firstLine="616"/>
        <w:rPr>
          <w:rFonts w:hint="eastAsia"/>
          <w:spacing w:val="-6"/>
        </w:rPr>
      </w:pPr>
    </w:p>
    <w:p w:rsidR="00F90736" w:rsidRDefault="00F90736" w:rsidP="00F90736">
      <w:pPr>
        <w:adjustRightInd w:val="0"/>
        <w:snapToGrid w:val="0"/>
        <w:spacing w:line="298" w:lineRule="auto"/>
        <w:ind w:firstLineChars="200" w:firstLine="616"/>
        <w:rPr>
          <w:rFonts w:hint="eastAsia"/>
          <w:spacing w:val="-6"/>
        </w:rPr>
      </w:pPr>
    </w:p>
    <w:p w:rsidR="008A6DEB" w:rsidRPr="00F90736" w:rsidRDefault="008A6DEB"/>
    <w:sectPr w:rsidR="008A6DEB" w:rsidRPr="00F90736" w:rsidSect="008A6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736"/>
    <w:rsid w:val="00091AE0"/>
    <w:rsid w:val="008A6DEB"/>
    <w:rsid w:val="00F9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36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F9073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1026</Characters>
  <Application>Microsoft Office Word</Application>
  <DocSecurity>0</DocSecurity>
  <Lines>102</Lines>
  <Paragraphs>87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2023-03-09T07:12:00Z</dcterms:created>
  <dcterms:modified xsi:type="dcterms:W3CDTF">2023-03-09T07:12:00Z</dcterms:modified>
</cp:coreProperties>
</file>