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BC79F">
      <w:pPr>
        <w:spacing w:line="400" w:lineRule="exact"/>
        <w:rPr>
          <w:rFonts w:asciiTheme="minorEastAsia" w:hAnsiTheme="minorEastAsia"/>
        </w:rPr>
      </w:pPr>
    </w:p>
    <w:p w14:paraId="07FA5C85">
      <w:pPr>
        <w:pStyle w:val="24"/>
        <w:rPr>
          <w:rFonts w:hint="eastAsia" w:ascii="黑体" w:hAnsi="黑体" w:eastAsia="黑体" w:cs="黑体"/>
          <w:sz w:val="44"/>
          <w:szCs w:val="44"/>
          <w:u w:val="single"/>
        </w:rPr>
      </w:pPr>
      <w:r>
        <w:rPr>
          <w:rFonts w:hint="eastAsia" w:ascii="黑体" w:hAnsi="黑体" w:eastAsia="黑体" w:cs="黑体"/>
          <w:sz w:val="44"/>
          <w:szCs w:val="44"/>
          <w:u w:val="single"/>
          <w:lang w:val="en-US" w:eastAsia="zh-CN"/>
        </w:rPr>
        <w:t xml:space="preserve">  </w:t>
      </w:r>
      <w:r>
        <w:rPr>
          <w:rFonts w:hint="eastAsia" w:ascii="黑体" w:hAnsi="黑体" w:eastAsia="黑体" w:cs="黑体"/>
          <w:sz w:val="44"/>
          <w:szCs w:val="44"/>
          <w:u w:val="single"/>
        </w:rPr>
        <w:t xml:space="preserve">          </w:t>
      </w:r>
      <w:r>
        <w:rPr>
          <w:rFonts w:hint="eastAsia" w:ascii="黑体" w:hAnsi="黑体" w:eastAsia="黑体" w:cs="黑体"/>
          <w:color w:val="FF0000"/>
          <w:sz w:val="44"/>
          <w:szCs w:val="44"/>
        </w:rPr>
        <w:t>（项目名称）</w:t>
      </w:r>
      <w:r>
        <w:rPr>
          <w:rFonts w:hint="eastAsia" w:ascii="黑体" w:hAnsi="黑体" w:eastAsia="黑体" w:cs="黑体"/>
          <w:sz w:val="44"/>
          <w:szCs w:val="44"/>
          <w:lang w:eastAsia="zh-CN"/>
        </w:rPr>
        <w:t>施工</w:t>
      </w:r>
      <w:r>
        <w:rPr>
          <w:rFonts w:hint="eastAsia" w:ascii="黑体" w:hAnsi="黑体" w:eastAsia="黑体" w:cs="黑体"/>
          <w:sz w:val="44"/>
          <w:szCs w:val="44"/>
          <w:u w:val="single"/>
          <w:lang w:val="en-US" w:eastAsia="zh-CN"/>
        </w:rPr>
        <w:t xml:space="preserve">   </w:t>
      </w:r>
      <w:r>
        <w:rPr>
          <w:rFonts w:hint="eastAsia" w:ascii="黑体" w:hAnsi="黑体" w:eastAsia="黑体" w:cs="黑体"/>
          <w:sz w:val="44"/>
          <w:szCs w:val="44"/>
        </w:rPr>
        <w:t>标段</w:t>
      </w:r>
    </w:p>
    <w:p w14:paraId="00DAFFC2">
      <w:pPr>
        <w:spacing w:line="360" w:lineRule="auto"/>
        <w:jc w:val="center"/>
        <w:rPr>
          <w:rFonts w:ascii="Times New Roman" w:hAnsi="Times New Roman"/>
          <w:b/>
          <w:color w:val="auto"/>
          <w:sz w:val="44"/>
          <w:szCs w:val="44"/>
          <w:highlight w:val="none"/>
        </w:rPr>
      </w:pPr>
    </w:p>
    <w:p w14:paraId="2AF7ED8C">
      <w:pPr>
        <w:spacing w:line="360" w:lineRule="auto"/>
        <w:jc w:val="center"/>
        <w:rPr>
          <w:rFonts w:ascii="Times New Roman" w:hAnsi="Times New Roman"/>
          <w:b/>
          <w:color w:val="auto"/>
          <w:sz w:val="44"/>
          <w:szCs w:val="44"/>
          <w:highlight w:val="none"/>
        </w:rPr>
      </w:pPr>
    </w:p>
    <w:p w14:paraId="1173B93F">
      <w:pPr>
        <w:spacing w:line="520" w:lineRule="exact"/>
        <w:rPr>
          <w:rFonts w:ascii="Times New Roman" w:hAnsi="Times New Roman"/>
          <w:b/>
          <w:color w:val="auto"/>
          <w:sz w:val="24"/>
          <w:highlight w:val="none"/>
        </w:rPr>
      </w:pPr>
    </w:p>
    <w:p w14:paraId="5A596802">
      <w:pPr>
        <w:pStyle w:val="24"/>
        <w:rPr>
          <w:sz w:val="84"/>
          <w:szCs w:val="84"/>
        </w:rPr>
      </w:pPr>
      <w:r>
        <w:rPr>
          <w:rFonts w:ascii="宋体" w:hAnsi="宋体"/>
          <w:b/>
          <w:bCs/>
          <w:color w:val="auto"/>
          <w:spacing w:val="160"/>
          <w:sz w:val="84"/>
          <w:szCs w:val="84"/>
          <w:highlight w:val="none"/>
        </w:rPr>
        <w:t>招标文件</w:t>
      </w:r>
    </w:p>
    <w:p w14:paraId="19FB8007">
      <w:pPr>
        <w:rPr>
          <w:rFonts w:asciiTheme="minorEastAsia" w:hAnsiTheme="minorEastAsia"/>
          <w:color w:val="auto"/>
          <w:sz w:val="84"/>
          <w:szCs w:val="84"/>
          <w:highlight w:val="none"/>
          <w:lang w:eastAsia="zh-CN"/>
        </w:rPr>
      </w:pPr>
    </w:p>
    <w:p w14:paraId="675F8DB8">
      <w:pPr>
        <w:rPr>
          <w:rFonts w:asciiTheme="minorEastAsia" w:hAnsiTheme="minorEastAsia"/>
          <w:color w:val="auto"/>
          <w:sz w:val="84"/>
          <w:szCs w:val="84"/>
          <w:highlight w:val="none"/>
          <w:lang w:eastAsia="zh-CN"/>
        </w:rPr>
      </w:pPr>
    </w:p>
    <w:p w14:paraId="4DBD7E14">
      <w:pPr>
        <w:pStyle w:val="24"/>
        <w:ind w:firstLine="1760" w:firstLineChars="550"/>
        <w:jc w:val="left"/>
        <w:rPr>
          <w:sz w:val="32"/>
          <w:szCs w:val="32"/>
        </w:rPr>
      </w:pPr>
      <w:r>
        <w:rPr>
          <w:sz w:val="32"/>
          <w:szCs w:val="32"/>
        </w:rPr>
        <w:t>招标人：</w:t>
      </w:r>
      <w:r>
        <w:rPr>
          <w:sz w:val="32"/>
          <w:szCs w:val="32"/>
          <w:u w:val="single"/>
        </w:rPr>
        <w:t xml:space="preserve">       </w:t>
      </w:r>
      <w:r>
        <w:rPr>
          <w:rFonts w:hint="eastAsia"/>
          <w:sz w:val="32"/>
          <w:szCs w:val="32"/>
          <w:u w:val="single"/>
          <w:lang w:val="en-US" w:eastAsia="zh-CN"/>
        </w:rPr>
        <w:t xml:space="preserve">     </w:t>
      </w:r>
      <w:r>
        <w:rPr>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p>
    <w:p w14:paraId="4A2DEE7A">
      <w:pPr>
        <w:pStyle w:val="24"/>
        <w:ind w:firstLine="1760" w:firstLineChars="550"/>
        <w:jc w:val="left"/>
        <w:rPr>
          <w:sz w:val="32"/>
          <w:szCs w:val="32"/>
        </w:rPr>
      </w:pPr>
      <w:r>
        <w:rPr>
          <w:rFonts w:hint="eastAsia"/>
          <w:sz w:val="32"/>
          <w:szCs w:val="32"/>
          <w:lang w:eastAsia="zh-CN"/>
        </w:rPr>
        <w:t>□</w:t>
      </w:r>
      <w:r>
        <w:rPr>
          <w:sz w:val="32"/>
          <w:szCs w:val="32"/>
        </w:rPr>
        <w:t>招标代理机构：</w:t>
      </w:r>
      <w:r>
        <w:rPr>
          <w:sz w:val="32"/>
          <w:szCs w:val="32"/>
          <w:u w:val="single"/>
        </w:rPr>
        <w:t xml:space="preserve">       </w:t>
      </w:r>
      <w:r>
        <w:rPr>
          <w:rFonts w:hint="eastAsia"/>
          <w:sz w:val="32"/>
          <w:szCs w:val="32"/>
          <w:u w:val="single"/>
          <w:lang w:val="en-US" w:eastAsia="zh-CN"/>
        </w:rPr>
        <w:t xml:space="preserve">     </w:t>
      </w:r>
      <w:r>
        <w:rPr>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14:paraId="428E2518">
      <w:pPr>
        <w:pStyle w:val="24"/>
        <w:ind w:firstLine="1760" w:firstLineChars="550"/>
        <w:jc w:val="left"/>
        <w:rPr>
          <w:sz w:val="32"/>
          <w:szCs w:val="32"/>
        </w:rPr>
      </w:pPr>
      <w:r>
        <w:rPr>
          <w:sz w:val="32"/>
          <w:szCs w:val="32"/>
        </w:rPr>
        <w:t>项目负责人：</w:t>
      </w:r>
      <w:r>
        <w:rPr>
          <w:sz w:val="32"/>
          <w:szCs w:val="32"/>
          <w:u w:val="single"/>
        </w:rPr>
        <w:t xml:space="preserve">       </w:t>
      </w:r>
      <w:r>
        <w:rPr>
          <w:rFonts w:hint="eastAsia"/>
          <w:sz w:val="32"/>
          <w:szCs w:val="32"/>
          <w:u w:val="single"/>
          <w:lang w:val="en-US" w:eastAsia="zh-CN"/>
        </w:rPr>
        <w:t xml:space="preserve">     </w:t>
      </w:r>
      <w:r>
        <w:rPr>
          <w:sz w:val="32"/>
          <w:szCs w:val="32"/>
          <w:u w:val="single"/>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14:paraId="0D8A3FF1">
      <w:pPr>
        <w:pStyle w:val="24"/>
        <w:ind w:firstLine="1760" w:firstLineChars="550"/>
        <w:jc w:val="left"/>
        <w:rPr>
          <w:sz w:val="32"/>
          <w:szCs w:val="32"/>
        </w:rPr>
      </w:pPr>
      <w:r>
        <w:rPr>
          <w:sz w:val="32"/>
          <w:szCs w:val="32"/>
        </w:rPr>
        <w:t>招标文件编制人员：</w:t>
      </w:r>
      <w:r>
        <w:rPr>
          <w:sz w:val="32"/>
          <w:szCs w:val="32"/>
          <w:u w:val="single"/>
        </w:rPr>
        <w:t xml:space="preserve">       </w:t>
      </w:r>
      <w:r>
        <w:rPr>
          <w:rFonts w:hint="eastAsia"/>
          <w:sz w:val="32"/>
          <w:szCs w:val="32"/>
          <w:u w:val="single"/>
          <w:lang w:val="en-US" w:eastAsia="zh-CN"/>
        </w:rPr>
        <w:t xml:space="preserve">     </w:t>
      </w:r>
      <w:r>
        <w:rPr>
          <w:sz w:val="32"/>
          <w:szCs w:val="32"/>
          <w:u w:val="single"/>
        </w:rPr>
        <w:t xml:space="preserve">         </w:t>
      </w:r>
    </w:p>
    <w:p w14:paraId="67881274">
      <w:pPr>
        <w:jc w:val="center"/>
        <w:rPr>
          <w:sz w:val="32"/>
          <w:szCs w:val="32"/>
        </w:rPr>
      </w:pP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p>
    <w:p w14:paraId="0B0BF76A">
      <w:pPr>
        <w:widowControl w:val="0"/>
        <w:spacing w:line="240" w:lineRule="auto"/>
        <w:ind w:right="0" w:rightChars="0" w:hanging="4"/>
        <w:jc w:val="left"/>
        <w:rPr>
          <w:rFonts w:hint="default"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注：</w:t>
      </w:r>
    </w:p>
    <w:p w14:paraId="35E6F271">
      <w:pPr>
        <w:widowControl w:val="0"/>
        <w:spacing w:line="240" w:lineRule="auto"/>
        <w:ind w:right="0" w:rightChars="0" w:hanging="4"/>
        <w:jc w:val="left"/>
        <w:rPr>
          <w:rFonts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（1）实行自行招标组织形式的，项目负责人和招标文件编制人员应是招标人本单位具有编制招标文件和组织评标能力的人员，招标代理机构栏填</w:t>
      </w:r>
      <w:r>
        <w:rPr>
          <w:rFonts w:ascii="Times New Roman" w:hAnsi="Times New Roman" w:eastAsia="宋体" w:cs="宋体"/>
          <w:color w:val="FF0000"/>
          <w:kern w:val="2"/>
          <w:sz w:val="18"/>
          <w:szCs w:val="18"/>
          <w:lang w:val="zh-CN" w:eastAsia="zh-CN" w:bidi="ar-SA"/>
        </w:rPr>
        <w:t>"/"。</w:t>
      </w:r>
    </w:p>
    <w:p w14:paraId="74A96E28">
      <w:pPr>
        <w:widowControl w:val="0"/>
        <w:spacing w:line="240" w:lineRule="auto"/>
        <w:ind w:hanging="4"/>
        <w:jc w:val="left"/>
        <w:rPr>
          <w:rFonts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（2）实行委托招标组织形式的，项目负责人和招标文件编制人员应是招标人和招标代理机构双方签订的委托招标代理合同中约定的项目负责人和委派到本项目的主要专职技术人员。</w:t>
      </w:r>
    </w:p>
    <w:p w14:paraId="0BD8947A">
      <w:pPr>
        <w:widowControl w:val="0"/>
        <w:spacing w:line="240" w:lineRule="auto"/>
        <w:ind w:hanging="4"/>
        <w:jc w:val="left"/>
        <w:rPr>
          <w:rFonts w:hint="default"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w:t>
      </w:r>
      <w:r>
        <w:rPr>
          <w:rFonts w:ascii="Times New Roman" w:hAnsi="Times New Roman" w:eastAsia="宋体" w:cs="宋体"/>
          <w:color w:val="FF0000"/>
          <w:kern w:val="2"/>
          <w:sz w:val="18"/>
          <w:szCs w:val="18"/>
          <w:lang w:val="zh-CN" w:eastAsia="zh-CN" w:bidi="ar-SA"/>
        </w:rPr>
        <w:t>3</w:t>
      </w:r>
      <w:r>
        <w:rPr>
          <w:rFonts w:hint="default" w:ascii="Times New Roman" w:hAnsi="Times New Roman" w:eastAsia="宋体" w:cs="宋体"/>
          <w:color w:val="FF0000"/>
          <w:kern w:val="2"/>
          <w:sz w:val="18"/>
          <w:szCs w:val="18"/>
          <w:lang w:val="zh-CN" w:eastAsia="zh-CN" w:bidi="ar-SA"/>
        </w:rPr>
        <w:t>）如未划分标段，“</w:t>
      </w:r>
      <w:r>
        <w:rPr>
          <w:rFonts w:hint="default" w:ascii="Times New Roman" w:hAnsi="Times New Roman" w:eastAsia="宋体" w:cs="宋体"/>
          <w:color w:val="FF0000"/>
          <w:kern w:val="2"/>
          <w:sz w:val="18"/>
          <w:szCs w:val="18"/>
          <w:u w:val="single"/>
          <w:lang w:val="zh-CN" w:eastAsia="zh-CN" w:bidi="ar-SA"/>
        </w:rPr>
        <w:t xml:space="preserve">   </w:t>
      </w:r>
      <w:r>
        <w:rPr>
          <w:rFonts w:hint="default" w:ascii="Times New Roman" w:hAnsi="Times New Roman" w:eastAsia="宋体" w:cs="宋体"/>
          <w:color w:val="FF0000"/>
          <w:kern w:val="2"/>
          <w:sz w:val="18"/>
          <w:szCs w:val="18"/>
          <w:lang w:val="zh-CN" w:eastAsia="zh-CN" w:bidi="ar-SA"/>
        </w:rPr>
        <w:t>标段”填写为“</w:t>
      </w:r>
      <w:r>
        <w:rPr>
          <w:rFonts w:hint="default" w:ascii="Times New Roman" w:hAnsi="Times New Roman" w:eastAsia="宋体" w:cs="宋体"/>
          <w:color w:val="FF0000"/>
          <w:kern w:val="2"/>
          <w:sz w:val="18"/>
          <w:szCs w:val="18"/>
          <w:u w:val="none"/>
          <w:lang w:val="zh-CN" w:eastAsia="zh-CN" w:bidi="ar-SA"/>
        </w:rPr>
        <w:t xml:space="preserve"> / </w:t>
      </w:r>
      <w:r>
        <w:rPr>
          <w:rFonts w:hint="default" w:ascii="Times New Roman" w:hAnsi="Times New Roman" w:eastAsia="宋体" w:cs="宋体"/>
          <w:color w:val="FF0000"/>
          <w:kern w:val="2"/>
          <w:sz w:val="18"/>
          <w:szCs w:val="18"/>
          <w:lang w:val="zh-CN" w:eastAsia="zh-CN" w:bidi="ar-SA"/>
        </w:rPr>
        <w:t>标段”，如划分标段，则填写标段序号。</w:t>
      </w:r>
    </w:p>
    <w:p w14:paraId="46A18687">
      <w:pPr>
        <w:widowControl w:val="0"/>
        <w:spacing w:line="240" w:lineRule="auto"/>
        <w:ind w:hanging="4"/>
        <w:jc w:val="left"/>
        <w:rPr>
          <w:rFonts w:hint="default" w:ascii="Times New Roman" w:hAnsi="Times New Roman" w:eastAsia="宋体" w:cs="宋体"/>
          <w:color w:val="FF0000"/>
          <w:kern w:val="2"/>
          <w:sz w:val="18"/>
          <w:szCs w:val="18"/>
          <w:lang w:val="zh-CN" w:eastAsia="zh-CN" w:bidi="ar-SA"/>
        </w:rPr>
      </w:pPr>
      <w:r>
        <w:rPr>
          <w:rFonts w:hint="default" w:ascii="Times New Roman" w:hAnsi="Times New Roman" w:eastAsia="宋体" w:cs="宋体"/>
          <w:color w:val="FF0000"/>
          <w:kern w:val="2"/>
          <w:sz w:val="18"/>
          <w:szCs w:val="18"/>
          <w:lang w:val="zh-CN" w:eastAsia="zh-CN" w:bidi="ar-SA"/>
        </w:rPr>
        <w:t>（4）招标文件范本中“□”为可选项，“○”为多项选一项，编制过程中须删除未选中项。</w:t>
      </w:r>
    </w:p>
    <w:p w14:paraId="20FD05BA">
      <w:pPr>
        <w:spacing w:line="240" w:lineRule="auto"/>
        <w:ind w:hanging="4"/>
        <w:rPr>
          <w:rFonts w:hint="default" w:ascii="Times New Roman" w:hAnsi="Times New Roman" w:cs="宋体"/>
          <w:color w:val="FF0000"/>
          <w:sz w:val="18"/>
          <w:szCs w:val="18"/>
          <w:lang w:val="zh-CN" w:eastAsia="zh-CN"/>
        </w:rPr>
      </w:pPr>
      <w:r>
        <w:rPr>
          <w:rFonts w:hint="default" w:ascii="Times New Roman" w:hAnsi="Times New Roman" w:eastAsia="宋体" w:cs="宋体"/>
          <w:color w:val="FF0000"/>
          <w:kern w:val="2"/>
          <w:sz w:val="18"/>
          <w:szCs w:val="18"/>
          <w:lang w:val="zh-CN" w:eastAsia="zh-CN" w:bidi="ar-SA"/>
        </w:rPr>
        <w:t>（5）招标文件范本中字体为红色的均为对招标文件编制人员的提示内容，编制过程中须删除。</w:t>
      </w:r>
    </w:p>
    <w:p w14:paraId="0A451AC3">
      <w:pPr>
        <w:spacing w:line="240" w:lineRule="auto"/>
        <w:jc w:val="center"/>
        <w:rPr>
          <w:rFonts w:ascii="Times New Roman" w:hAnsi="Times New Roman" w:eastAsia="宋体"/>
          <w:color w:val="auto"/>
          <w:sz w:val="36"/>
          <w:szCs w:val="44"/>
          <w:highlight w:val="none"/>
        </w:rPr>
        <w:sectPr>
          <w:footerReference r:id="rId5" w:type="default"/>
          <w:pgSz w:w="12240" w:h="15840"/>
          <w:pgMar w:top="1134" w:right="1134" w:bottom="1134" w:left="1134" w:header="0" w:footer="921" w:gutter="0"/>
          <w:cols w:space="720" w:num="1"/>
        </w:sectPr>
      </w:pPr>
    </w:p>
    <w:p w14:paraId="2BF5A743">
      <w:pPr>
        <w:spacing w:line="240" w:lineRule="auto"/>
        <w:jc w:val="center"/>
        <w:rPr>
          <w:rFonts w:ascii="Times New Roman" w:hAnsi="Times New Roman" w:eastAsia="宋体"/>
          <w:color w:val="auto"/>
          <w:sz w:val="36"/>
          <w:szCs w:val="44"/>
          <w:highlight w:val="none"/>
        </w:rPr>
      </w:pPr>
      <w:r>
        <w:rPr>
          <w:rFonts w:ascii="Times New Roman" w:hAnsi="Times New Roman" w:eastAsia="宋体"/>
          <w:color w:val="auto"/>
          <w:sz w:val="36"/>
          <w:szCs w:val="44"/>
          <w:highlight w:val="none"/>
        </w:rPr>
        <w:t>目</w:t>
      </w:r>
      <w:r>
        <w:rPr>
          <w:rFonts w:hint="eastAsia" w:ascii="Times New Roman" w:hAnsi="Times New Roman"/>
          <w:color w:val="auto"/>
          <w:sz w:val="36"/>
          <w:szCs w:val="44"/>
          <w:highlight w:val="none"/>
          <w:lang w:val="en-US" w:eastAsia="zh-CN"/>
        </w:rPr>
        <w:t xml:space="preserve">   </w:t>
      </w:r>
      <w:r>
        <w:rPr>
          <w:rFonts w:ascii="Times New Roman" w:hAnsi="Times New Roman" w:eastAsia="宋体"/>
          <w:color w:val="auto"/>
          <w:sz w:val="36"/>
          <w:szCs w:val="44"/>
          <w:highlight w:val="none"/>
        </w:rPr>
        <w:t>录</w:t>
      </w:r>
    </w:p>
    <w:p w14:paraId="2DA3328E">
      <w:pPr>
        <w:spacing w:line="240" w:lineRule="auto"/>
        <w:jc w:val="center"/>
        <w:rPr>
          <w:rFonts w:ascii="Times New Roman" w:hAnsi="Times New Roman" w:eastAsia="宋体"/>
          <w:color w:val="auto"/>
          <w:sz w:val="36"/>
          <w:szCs w:val="44"/>
          <w:highlight w:val="none"/>
        </w:rPr>
      </w:pPr>
    </w:p>
    <w:p w14:paraId="7BF1E0B6">
      <w:pPr>
        <w:pStyle w:val="17"/>
        <w:tabs>
          <w:tab w:val="right" w:leader="dot" w:pos="9972"/>
        </w:tabs>
        <w:ind w:left="438" w:leftChars="199" w:firstLine="0" w:firstLineChars="0"/>
        <w:rPr>
          <w:sz w:val="28"/>
          <w:szCs w:val="28"/>
        </w:rPr>
      </w:pPr>
      <w:r>
        <w:rPr>
          <w:sz w:val="28"/>
          <w:szCs w:val="28"/>
        </w:rPr>
        <w:fldChar w:fldCharType="begin"/>
      </w:r>
      <w:r>
        <w:rPr>
          <w:sz w:val="28"/>
          <w:szCs w:val="28"/>
        </w:rPr>
        <w:instrText xml:space="preserve">TOC \o "1-2" \h \u </w:instrText>
      </w:r>
      <w:r>
        <w:rPr>
          <w:sz w:val="28"/>
          <w:szCs w:val="28"/>
        </w:rPr>
        <w:fldChar w:fldCharType="separate"/>
      </w:r>
      <w:r>
        <w:rPr>
          <w:rFonts w:hint="eastAsia"/>
          <w:sz w:val="28"/>
          <w:szCs w:val="28"/>
        </w:rPr>
        <w:fldChar w:fldCharType="begin"/>
      </w:r>
      <w:r>
        <w:rPr>
          <w:rFonts w:hint="eastAsia"/>
          <w:sz w:val="28"/>
          <w:szCs w:val="28"/>
        </w:rPr>
        <w:instrText xml:space="preserve"> HYPERLINK \l _Toc4229 </w:instrText>
      </w:r>
      <w:r>
        <w:rPr>
          <w:rFonts w:hint="eastAsia"/>
          <w:sz w:val="28"/>
          <w:szCs w:val="28"/>
        </w:rPr>
        <w:fldChar w:fldCharType="separate"/>
      </w:r>
      <w:r>
        <w:rPr>
          <w:rFonts w:hint="eastAsia" w:eastAsia="宋体" w:asciiTheme="minorAscii" w:hAnsiTheme="minorAscii" w:cstheme="minorBidi"/>
          <w:bCs w:val="0"/>
          <w:sz w:val="28"/>
          <w:szCs w:val="28"/>
          <w:lang w:val="en-US" w:eastAsia="zh-CN"/>
        </w:rPr>
        <w:t>○</w:t>
      </w:r>
      <w:r>
        <w:rPr>
          <w:rFonts w:hint="eastAsia"/>
          <w:sz w:val="28"/>
          <w:szCs w:val="28"/>
        </w:rPr>
        <w:t>第一章 招标公告</w:t>
      </w:r>
      <w:r>
        <w:rPr>
          <w:rFonts w:hint="eastAsia"/>
          <w:color w:val="FF0000"/>
          <w:sz w:val="28"/>
          <w:szCs w:val="28"/>
        </w:rPr>
        <w:t>（适用于公开招标）</w:t>
      </w:r>
      <w:r>
        <w:rPr>
          <w:sz w:val="28"/>
          <w:szCs w:val="28"/>
        </w:rPr>
        <w:tab/>
      </w:r>
      <w:r>
        <w:rPr>
          <w:sz w:val="28"/>
          <w:szCs w:val="28"/>
        </w:rPr>
        <w:fldChar w:fldCharType="begin"/>
      </w:r>
      <w:r>
        <w:rPr>
          <w:sz w:val="28"/>
          <w:szCs w:val="28"/>
        </w:rPr>
        <w:instrText xml:space="preserve"> PAGEREF _Toc4229 \h </w:instrText>
      </w:r>
      <w:r>
        <w:rPr>
          <w:sz w:val="28"/>
          <w:szCs w:val="28"/>
        </w:rPr>
        <w:fldChar w:fldCharType="separate"/>
      </w:r>
      <w:r>
        <w:rPr>
          <w:sz w:val="28"/>
          <w:szCs w:val="28"/>
        </w:rPr>
        <w:t>1</w:t>
      </w:r>
      <w:r>
        <w:rPr>
          <w:sz w:val="28"/>
          <w:szCs w:val="28"/>
        </w:rPr>
        <w:fldChar w:fldCharType="end"/>
      </w:r>
      <w:r>
        <w:rPr>
          <w:rFonts w:hint="eastAsia"/>
          <w:sz w:val="28"/>
          <w:szCs w:val="28"/>
        </w:rPr>
        <w:fldChar w:fldCharType="end"/>
      </w:r>
    </w:p>
    <w:p w14:paraId="60AB2074">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_Toc17999 </w:instrText>
      </w:r>
      <w:r>
        <w:rPr>
          <w:rFonts w:hint="eastAsia"/>
          <w:sz w:val="28"/>
          <w:szCs w:val="28"/>
        </w:rPr>
        <w:fldChar w:fldCharType="separate"/>
      </w:r>
      <w:r>
        <w:rPr>
          <w:rFonts w:hint="eastAsia" w:eastAsia="宋体" w:asciiTheme="minorAscii" w:hAnsiTheme="minorAscii" w:cstheme="minorBidi"/>
          <w:bCs w:val="0"/>
          <w:sz w:val="28"/>
          <w:szCs w:val="28"/>
          <w:lang w:val="en-US" w:eastAsia="zh-CN"/>
        </w:rPr>
        <w:t>○</w:t>
      </w:r>
      <w:r>
        <w:rPr>
          <w:rFonts w:hint="eastAsia" w:asciiTheme="minorAscii" w:hAnsiTheme="minorAscii"/>
          <w:sz w:val="28"/>
          <w:szCs w:val="28"/>
        </w:rPr>
        <w:t>第一章 投标邀请书</w:t>
      </w:r>
      <w:r>
        <w:rPr>
          <w:rFonts w:hint="eastAsia" w:asciiTheme="minorAscii" w:hAnsiTheme="minorAscii"/>
          <w:color w:val="FF0000"/>
          <w:sz w:val="28"/>
          <w:szCs w:val="28"/>
        </w:rPr>
        <w:t>（适用于邀请招标）</w:t>
      </w:r>
      <w:r>
        <w:rPr>
          <w:sz w:val="28"/>
          <w:szCs w:val="28"/>
        </w:rPr>
        <w:tab/>
      </w:r>
      <w:r>
        <w:rPr>
          <w:sz w:val="28"/>
          <w:szCs w:val="28"/>
        </w:rPr>
        <w:fldChar w:fldCharType="begin"/>
      </w:r>
      <w:r>
        <w:rPr>
          <w:sz w:val="28"/>
          <w:szCs w:val="28"/>
        </w:rPr>
        <w:instrText xml:space="preserve"> PAGEREF _Toc17999 \h </w:instrText>
      </w:r>
      <w:r>
        <w:rPr>
          <w:sz w:val="28"/>
          <w:szCs w:val="28"/>
        </w:rPr>
        <w:fldChar w:fldCharType="separate"/>
      </w:r>
      <w:r>
        <w:rPr>
          <w:sz w:val="28"/>
          <w:szCs w:val="28"/>
        </w:rPr>
        <w:t>5</w:t>
      </w:r>
      <w:r>
        <w:rPr>
          <w:sz w:val="28"/>
          <w:szCs w:val="28"/>
        </w:rPr>
        <w:fldChar w:fldCharType="end"/>
      </w:r>
      <w:r>
        <w:rPr>
          <w:rFonts w:hint="eastAsia"/>
          <w:sz w:val="28"/>
          <w:szCs w:val="28"/>
        </w:rPr>
        <w:fldChar w:fldCharType="end"/>
      </w:r>
    </w:p>
    <w:p w14:paraId="35EC52DE">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_Toc2875 </w:instrText>
      </w:r>
      <w:r>
        <w:rPr>
          <w:rFonts w:hint="eastAsia"/>
          <w:sz w:val="28"/>
          <w:szCs w:val="28"/>
        </w:rPr>
        <w:fldChar w:fldCharType="separate"/>
      </w:r>
      <w:r>
        <w:rPr>
          <w:rFonts w:hint="eastAsia"/>
          <w:sz w:val="28"/>
          <w:szCs w:val="28"/>
        </w:rPr>
        <w:t>第二章 投标人须知</w:t>
      </w:r>
      <w:r>
        <w:rPr>
          <w:sz w:val="28"/>
          <w:szCs w:val="28"/>
        </w:rPr>
        <w:tab/>
      </w:r>
      <w:r>
        <w:rPr>
          <w:sz w:val="28"/>
          <w:szCs w:val="28"/>
        </w:rPr>
        <w:fldChar w:fldCharType="begin"/>
      </w:r>
      <w:r>
        <w:rPr>
          <w:sz w:val="28"/>
          <w:szCs w:val="28"/>
        </w:rPr>
        <w:instrText xml:space="preserve"> PAGEREF _Toc2875 \h </w:instrText>
      </w:r>
      <w:r>
        <w:rPr>
          <w:sz w:val="28"/>
          <w:szCs w:val="28"/>
        </w:rPr>
        <w:fldChar w:fldCharType="separate"/>
      </w:r>
      <w:r>
        <w:rPr>
          <w:sz w:val="28"/>
          <w:szCs w:val="28"/>
        </w:rPr>
        <w:t>10</w:t>
      </w:r>
      <w:r>
        <w:rPr>
          <w:sz w:val="28"/>
          <w:szCs w:val="28"/>
        </w:rPr>
        <w:fldChar w:fldCharType="end"/>
      </w:r>
      <w:r>
        <w:rPr>
          <w:rFonts w:hint="eastAsia"/>
          <w:sz w:val="28"/>
          <w:szCs w:val="28"/>
        </w:rPr>
        <w:fldChar w:fldCharType="end"/>
      </w:r>
    </w:p>
    <w:p w14:paraId="787A12DB">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_Toc25986 </w:instrText>
      </w:r>
      <w:r>
        <w:rPr>
          <w:rFonts w:hint="eastAsia"/>
          <w:sz w:val="28"/>
          <w:szCs w:val="28"/>
        </w:rPr>
        <w:fldChar w:fldCharType="separate"/>
      </w:r>
      <w:r>
        <w:rPr>
          <w:rFonts w:hint="eastAsia" w:eastAsia="宋体" w:asciiTheme="minorAscii" w:hAnsiTheme="minorAscii" w:cstheme="minorBidi"/>
          <w:bCs w:val="0"/>
          <w:sz w:val="28"/>
          <w:szCs w:val="28"/>
          <w:lang w:val="en-US" w:eastAsia="zh-CN"/>
        </w:rPr>
        <w:t>○</w:t>
      </w:r>
      <w:r>
        <w:rPr>
          <w:rFonts w:hint="eastAsia"/>
          <w:sz w:val="28"/>
          <w:szCs w:val="28"/>
        </w:rPr>
        <w:t>第三章 评标办法</w:t>
      </w:r>
      <w:r>
        <w:rPr>
          <w:rFonts w:hint="eastAsia"/>
          <w:color w:val="FF0000"/>
          <w:sz w:val="28"/>
          <w:szCs w:val="28"/>
        </w:rPr>
        <w:t>（经评审的最低投标价法）</w:t>
      </w:r>
      <w:r>
        <w:rPr>
          <w:sz w:val="28"/>
          <w:szCs w:val="28"/>
        </w:rPr>
        <w:tab/>
      </w:r>
      <w:r>
        <w:rPr>
          <w:sz w:val="28"/>
          <w:szCs w:val="28"/>
        </w:rPr>
        <w:fldChar w:fldCharType="begin"/>
      </w:r>
      <w:r>
        <w:rPr>
          <w:sz w:val="28"/>
          <w:szCs w:val="28"/>
        </w:rPr>
        <w:instrText xml:space="preserve"> PAGEREF _Toc25986 \h </w:instrText>
      </w:r>
      <w:r>
        <w:rPr>
          <w:sz w:val="28"/>
          <w:szCs w:val="28"/>
        </w:rPr>
        <w:fldChar w:fldCharType="separate"/>
      </w:r>
      <w:r>
        <w:rPr>
          <w:sz w:val="28"/>
          <w:szCs w:val="28"/>
        </w:rPr>
        <w:t>38</w:t>
      </w:r>
      <w:r>
        <w:rPr>
          <w:sz w:val="28"/>
          <w:szCs w:val="28"/>
        </w:rPr>
        <w:fldChar w:fldCharType="end"/>
      </w:r>
      <w:r>
        <w:rPr>
          <w:rFonts w:hint="eastAsia"/>
          <w:sz w:val="28"/>
          <w:szCs w:val="28"/>
        </w:rPr>
        <w:fldChar w:fldCharType="end"/>
      </w:r>
    </w:p>
    <w:p w14:paraId="69EDF2B2">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_Toc9158 </w:instrText>
      </w:r>
      <w:r>
        <w:rPr>
          <w:rFonts w:hint="eastAsia"/>
          <w:sz w:val="28"/>
          <w:szCs w:val="28"/>
        </w:rPr>
        <w:fldChar w:fldCharType="separate"/>
      </w:r>
      <w:r>
        <w:rPr>
          <w:rFonts w:hint="eastAsia" w:eastAsia="宋体" w:asciiTheme="minorAscii" w:hAnsiTheme="minorAscii" w:cstheme="minorBidi"/>
          <w:bCs w:val="0"/>
          <w:sz w:val="28"/>
          <w:szCs w:val="28"/>
          <w:lang w:val="en-US" w:eastAsia="zh-CN"/>
        </w:rPr>
        <w:t>○</w:t>
      </w:r>
      <w:r>
        <w:rPr>
          <w:rFonts w:hint="eastAsia"/>
          <w:sz w:val="28"/>
          <w:szCs w:val="28"/>
        </w:rPr>
        <w:t>第三章 评标办法</w:t>
      </w:r>
      <w:r>
        <w:rPr>
          <w:rFonts w:hint="eastAsia"/>
          <w:color w:val="FF0000"/>
          <w:sz w:val="28"/>
          <w:szCs w:val="28"/>
        </w:rPr>
        <w:t>（综合评估法）</w:t>
      </w:r>
      <w:r>
        <w:rPr>
          <w:sz w:val="28"/>
          <w:szCs w:val="28"/>
        </w:rPr>
        <w:tab/>
      </w:r>
      <w:r>
        <w:rPr>
          <w:sz w:val="28"/>
          <w:szCs w:val="28"/>
        </w:rPr>
        <w:fldChar w:fldCharType="begin"/>
      </w:r>
      <w:r>
        <w:rPr>
          <w:sz w:val="28"/>
          <w:szCs w:val="28"/>
        </w:rPr>
        <w:instrText xml:space="preserve"> PAGEREF _Toc9158 \h </w:instrText>
      </w:r>
      <w:r>
        <w:rPr>
          <w:sz w:val="28"/>
          <w:szCs w:val="28"/>
        </w:rPr>
        <w:fldChar w:fldCharType="separate"/>
      </w:r>
      <w:r>
        <w:rPr>
          <w:sz w:val="28"/>
          <w:szCs w:val="28"/>
        </w:rPr>
        <w:t>55</w:t>
      </w:r>
      <w:r>
        <w:rPr>
          <w:sz w:val="28"/>
          <w:szCs w:val="28"/>
        </w:rPr>
        <w:fldChar w:fldCharType="end"/>
      </w:r>
      <w:r>
        <w:rPr>
          <w:rFonts w:hint="eastAsia"/>
          <w:sz w:val="28"/>
          <w:szCs w:val="28"/>
        </w:rPr>
        <w:fldChar w:fldCharType="end"/>
      </w:r>
    </w:p>
    <w:p w14:paraId="0F5D2323">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_Toc18125 </w:instrText>
      </w:r>
      <w:r>
        <w:rPr>
          <w:rFonts w:hint="eastAsia"/>
          <w:sz w:val="28"/>
          <w:szCs w:val="28"/>
        </w:rPr>
        <w:fldChar w:fldCharType="separate"/>
      </w:r>
      <w:r>
        <w:rPr>
          <w:rFonts w:hint="eastAsia"/>
          <w:sz w:val="28"/>
          <w:szCs w:val="28"/>
        </w:rPr>
        <w:t>第四章 合同条款及格式</w:t>
      </w:r>
      <w:r>
        <w:rPr>
          <w:sz w:val="28"/>
          <w:szCs w:val="28"/>
        </w:rPr>
        <w:tab/>
      </w:r>
      <w:r>
        <w:rPr>
          <w:sz w:val="28"/>
          <w:szCs w:val="28"/>
        </w:rPr>
        <w:fldChar w:fldCharType="begin"/>
      </w:r>
      <w:r>
        <w:rPr>
          <w:sz w:val="28"/>
          <w:szCs w:val="28"/>
        </w:rPr>
        <w:instrText xml:space="preserve"> PAGEREF _Toc18125 \h </w:instrText>
      </w:r>
      <w:r>
        <w:rPr>
          <w:sz w:val="28"/>
          <w:szCs w:val="28"/>
        </w:rPr>
        <w:fldChar w:fldCharType="separate"/>
      </w:r>
      <w:r>
        <w:rPr>
          <w:sz w:val="28"/>
          <w:szCs w:val="28"/>
        </w:rPr>
        <w:t>73</w:t>
      </w:r>
      <w:r>
        <w:rPr>
          <w:sz w:val="28"/>
          <w:szCs w:val="28"/>
        </w:rPr>
        <w:fldChar w:fldCharType="end"/>
      </w:r>
      <w:r>
        <w:rPr>
          <w:rFonts w:hint="eastAsia"/>
          <w:sz w:val="28"/>
          <w:szCs w:val="28"/>
        </w:rPr>
        <w:fldChar w:fldCharType="end"/>
      </w:r>
    </w:p>
    <w:p w14:paraId="0E8ABDF5">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_Toc9354 </w:instrText>
      </w:r>
      <w:r>
        <w:rPr>
          <w:rFonts w:hint="eastAsia"/>
          <w:sz w:val="28"/>
          <w:szCs w:val="28"/>
        </w:rPr>
        <w:fldChar w:fldCharType="separate"/>
      </w:r>
      <w:r>
        <w:rPr>
          <w:rFonts w:hint="eastAsia"/>
          <w:sz w:val="28"/>
          <w:szCs w:val="28"/>
        </w:rPr>
        <w:t>第五章 工程量清单（另册）</w:t>
      </w:r>
      <w:r>
        <w:rPr>
          <w:sz w:val="28"/>
          <w:szCs w:val="28"/>
        </w:rPr>
        <w:tab/>
      </w:r>
      <w:r>
        <w:rPr>
          <w:sz w:val="28"/>
          <w:szCs w:val="28"/>
        </w:rPr>
        <w:fldChar w:fldCharType="begin"/>
      </w:r>
      <w:r>
        <w:rPr>
          <w:sz w:val="28"/>
          <w:szCs w:val="28"/>
        </w:rPr>
        <w:instrText xml:space="preserve"> PAGEREF _Toc9354 \h </w:instrText>
      </w:r>
      <w:r>
        <w:rPr>
          <w:sz w:val="28"/>
          <w:szCs w:val="28"/>
        </w:rPr>
        <w:fldChar w:fldCharType="separate"/>
      </w:r>
      <w:r>
        <w:rPr>
          <w:sz w:val="28"/>
          <w:szCs w:val="28"/>
        </w:rPr>
        <w:t>74</w:t>
      </w:r>
      <w:r>
        <w:rPr>
          <w:sz w:val="28"/>
          <w:szCs w:val="28"/>
        </w:rPr>
        <w:fldChar w:fldCharType="end"/>
      </w:r>
      <w:r>
        <w:rPr>
          <w:rFonts w:hint="eastAsia"/>
          <w:sz w:val="28"/>
          <w:szCs w:val="28"/>
        </w:rPr>
        <w:fldChar w:fldCharType="end"/>
      </w:r>
    </w:p>
    <w:p w14:paraId="3FE2D804">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_Toc21672 </w:instrText>
      </w:r>
      <w:r>
        <w:rPr>
          <w:rFonts w:hint="eastAsia"/>
          <w:sz w:val="28"/>
          <w:szCs w:val="28"/>
        </w:rPr>
        <w:fldChar w:fldCharType="separate"/>
      </w:r>
      <w:r>
        <w:rPr>
          <w:rFonts w:hint="eastAsia"/>
          <w:sz w:val="28"/>
          <w:szCs w:val="28"/>
        </w:rPr>
        <w:t>第六章 图  纸（另册）</w:t>
      </w:r>
      <w:r>
        <w:rPr>
          <w:sz w:val="28"/>
          <w:szCs w:val="28"/>
        </w:rPr>
        <w:tab/>
      </w:r>
      <w:r>
        <w:rPr>
          <w:sz w:val="28"/>
          <w:szCs w:val="28"/>
        </w:rPr>
        <w:fldChar w:fldCharType="begin"/>
      </w:r>
      <w:r>
        <w:rPr>
          <w:sz w:val="28"/>
          <w:szCs w:val="28"/>
        </w:rPr>
        <w:instrText xml:space="preserve"> PAGEREF _Toc21672 \h </w:instrText>
      </w:r>
      <w:r>
        <w:rPr>
          <w:sz w:val="28"/>
          <w:szCs w:val="28"/>
        </w:rPr>
        <w:fldChar w:fldCharType="separate"/>
      </w:r>
      <w:r>
        <w:rPr>
          <w:sz w:val="28"/>
          <w:szCs w:val="28"/>
        </w:rPr>
        <w:t>75</w:t>
      </w:r>
      <w:r>
        <w:rPr>
          <w:sz w:val="28"/>
          <w:szCs w:val="28"/>
        </w:rPr>
        <w:fldChar w:fldCharType="end"/>
      </w:r>
      <w:r>
        <w:rPr>
          <w:rFonts w:hint="eastAsia"/>
          <w:sz w:val="28"/>
          <w:szCs w:val="28"/>
        </w:rPr>
        <w:fldChar w:fldCharType="end"/>
      </w:r>
    </w:p>
    <w:p w14:paraId="4772963D">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_Toc23105 </w:instrText>
      </w:r>
      <w:r>
        <w:rPr>
          <w:rFonts w:hint="eastAsia"/>
          <w:sz w:val="28"/>
          <w:szCs w:val="28"/>
        </w:rPr>
        <w:fldChar w:fldCharType="separate"/>
      </w:r>
      <w:r>
        <w:rPr>
          <w:rFonts w:hint="eastAsia"/>
          <w:sz w:val="28"/>
          <w:szCs w:val="28"/>
        </w:rPr>
        <w:t xml:space="preserve">第七章 </w:t>
      </w:r>
      <w:r>
        <w:rPr>
          <w:rFonts w:hint="eastAsia" w:asciiTheme="minorAscii" w:hAnsiTheme="minorAscii"/>
          <w:sz w:val="28"/>
          <w:szCs w:val="28"/>
        </w:rPr>
        <w:t>技术标准和要求</w:t>
      </w:r>
      <w:r>
        <w:rPr>
          <w:sz w:val="28"/>
          <w:szCs w:val="28"/>
        </w:rPr>
        <w:tab/>
      </w:r>
      <w:r>
        <w:rPr>
          <w:sz w:val="28"/>
          <w:szCs w:val="28"/>
        </w:rPr>
        <w:fldChar w:fldCharType="begin"/>
      </w:r>
      <w:r>
        <w:rPr>
          <w:sz w:val="28"/>
          <w:szCs w:val="28"/>
        </w:rPr>
        <w:instrText xml:space="preserve"> PAGEREF _Toc23105 \h </w:instrText>
      </w:r>
      <w:r>
        <w:rPr>
          <w:sz w:val="28"/>
          <w:szCs w:val="28"/>
        </w:rPr>
        <w:fldChar w:fldCharType="separate"/>
      </w:r>
      <w:r>
        <w:rPr>
          <w:sz w:val="28"/>
          <w:szCs w:val="28"/>
        </w:rPr>
        <w:t>76</w:t>
      </w:r>
      <w:r>
        <w:rPr>
          <w:sz w:val="28"/>
          <w:szCs w:val="28"/>
        </w:rPr>
        <w:fldChar w:fldCharType="end"/>
      </w:r>
      <w:r>
        <w:rPr>
          <w:rFonts w:hint="eastAsia"/>
          <w:sz w:val="28"/>
          <w:szCs w:val="28"/>
        </w:rPr>
        <w:fldChar w:fldCharType="end"/>
      </w:r>
    </w:p>
    <w:p w14:paraId="2F16F999">
      <w:pPr>
        <w:pStyle w:val="17"/>
        <w:tabs>
          <w:tab w:val="right" w:leader="dot" w:pos="9972"/>
        </w:tabs>
        <w:ind w:left="438" w:leftChars="199" w:firstLine="0" w:firstLineChars="0"/>
        <w:rPr>
          <w:sz w:val="28"/>
          <w:szCs w:val="28"/>
        </w:rPr>
      </w:pPr>
      <w:r>
        <w:rPr>
          <w:rFonts w:hint="eastAsia"/>
          <w:sz w:val="28"/>
          <w:szCs w:val="28"/>
        </w:rPr>
        <w:fldChar w:fldCharType="begin"/>
      </w:r>
      <w:r>
        <w:rPr>
          <w:rFonts w:hint="eastAsia"/>
          <w:sz w:val="28"/>
          <w:szCs w:val="28"/>
        </w:rPr>
        <w:instrText xml:space="preserve"> HYPERLINK \l _Toc29127 </w:instrText>
      </w:r>
      <w:r>
        <w:rPr>
          <w:rFonts w:hint="eastAsia"/>
          <w:sz w:val="28"/>
          <w:szCs w:val="28"/>
        </w:rPr>
        <w:fldChar w:fldCharType="separate"/>
      </w:r>
      <w:r>
        <w:rPr>
          <w:rFonts w:hint="eastAsia"/>
          <w:sz w:val="28"/>
          <w:szCs w:val="28"/>
        </w:rPr>
        <w:t xml:space="preserve">第八章 </w:t>
      </w:r>
      <w:r>
        <w:rPr>
          <w:rFonts w:hint="eastAsia" w:asciiTheme="minorAscii" w:hAnsiTheme="minorAscii"/>
          <w:sz w:val="28"/>
          <w:szCs w:val="28"/>
        </w:rPr>
        <w:t>投标文件格式</w:t>
      </w:r>
      <w:r>
        <w:rPr>
          <w:sz w:val="28"/>
          <w:szCs w:val="28"/>
        </w:rPr>
        <w:tab/>
      </w:r>
      <w:r>
        <w:rPr>
          <w:sz w:val="28"/>
          <w:szCs w:val="28"/>
        </w:rPr>
        <w:fldChar w:fldCharType="begin"/>
      </w:r>
      <w:r>
        <w:rPr>
          <w:sz w:val="28"/>
          <w:szCs w:val="28"/>
        </w:rPr>
        <w:instrText xml:space="preserve"> PAGEREF _Toc29127 \h </w:instrText>
      </w:r>
      <w:r>
        <w:rPr>
          <w:sz w:val="28"/>
          <w:szCs w:val="28"/>
        </w:rPr>
        <w:fldChar w:fldCharType="separate"/>
      </w:r>
      <w:r>
        <w:rPr>
          <w:sz w:val="28"/>
          <w:szCs w:val="28"/>
        </w:rPr>
        <w:t>77</w:t>
      </w:r>
      <w:r>
        <w:rPr>
          <w:sz w:val="28"/>
          <w:szCs w:val="28"/>
        </w:rPr>
        <w:fldChar w:fldCharType="end"/>
      </w:r>
      <w:r>
        <w:rPr>
          <w:rFonts w:hint="eastAsia"/>
          <w:sz w:val="28"/>
          <w:szCs w:val="28"/>
        </w:rPr>
        <w:fldChar w:fldCharType="end"/>
      </w:r>
    </w:p>
    <w:p w14:paraId="6D4C1095">
      <w:pPr>
        <w:pStyle w:val="17"/>
        <w:tabs>
          <w:tab w:val="right" w:leader="dot" w:pos="9972"/>
        </w:tabs>
        <w:ind w:left="438" w:leftChars="199" w:firstLine="0" w:firstLineChars="0"/>
      </w:pPr>
      <w:r>
        <w:rPr>
          <w:rFonts w:hint="eastAsia"/>
          <w:sz w:val="28"/>
          <w:szCs w:val="28"/>
        </w:rPr>
        <w:fldChar w:fldCharType="begin"/>
      </w:r>
      <w:r>
        <w:rPr>
          <w:rFonts w:hint="eastAsia"/>
          <w:sz w:val="28"/>
          <w:szCs w:val="28"/>
        </w:rPr>
        <w:instrText xml:space="preserve"> HYPERLINK \l _Toc13233 </w:instrText>
      </w:r>
      <w:r>
        <w:rPr>
          <w:rFonts w:hint="eastAsia"/>
          <w:sz w:val="28"/>
          <w:szCs w:val="28"/>
        </w:rPr>
        <w:fldChar w:fldCharType="separate"/>
      </w:r>
      <w:r>
        <w:rPr>
          <w:rFonts w:hint="eastAsia"/>
          <w:bCs w:val="0"/>
          <w:sz w:val="28"/>
          <w:szCs w:val="28"/>
        </w:rPr>
        <w:t>第九章 定标方案</w:t>
      </w:r>
      <w:r>
        <w:rPr>
          <w:sz w:val="28"/>
          <w:szCs w:val="28"/>
        </w:rPr>
        <w:tab/>
      </w:r>
      <w:r>
        <w:rPr>
          <w:sz w:val="28"/>
          <w:szCs w:val="28"/>
        </w:rPr>
        <w:fldChar w:fldCharType="begin"/>
      </w:r>
      <w:r>
        <w:rPr>
          <w:sz w:val="28"/>
          <w:szCs w:val="28"/>
        </w:rPr>
        <w:instrText xml:space="preserve"> PAGEREF _Toc13233 \h </w:instrText>
      </w:r>
      <w:r>
        <w:rPr>
          <w:sz w:val="28"/>
          <w:szCs w:val="28"/>
        </w:rPr>
        <w:fldChar w:fldCharType="separate"/>
      </w:r>
      <w:r>
        <w:rPr>
          <w:sz w:val="28"/>
          <w:szCs w:val="28"/>
        </w:rPr>
        <w:t>103</w:t>
      </w:r>
      <w:r>
        <w:rPr>
          <w:sz w:val="28"/>
          <w:szCs w:val="28"/>
        </w:rPr>
        <w:fldChar w:fldCharType="end"/>
      </w:r>
      <w:r>
        <w:rPr>
          <w:rFonts w:hint="eastAsia"/>
          <w:sz w:val="28"/>
          <w:szCs w:val="28"/>
        </w:rPr>
        <w:fldChar w:fldCharType="end"/>
      </w:r>
    </w:p>
    <w:p w14:paraId="0AC62B5B">
      <w:pPr>
        <w:tabs>
          <w:tab w:val="right" w:leader="dot" w:pos="9639"/>
        </w:tabs>
        <w:spacing w:line="480" w:lineRule="auto"/>
        <w:jc w:val="both"/>
        <w:rPr>
          <w:rFonts w:asciiTheme="minorEastAsia" w:hAnsiTheme="minorEastAsia" w:eastAsiaTheme="minorEastAsia"/>
          <w:spacing w:val="2"/>
        </w:rPr>
        <w:sectPr>
          <w:footerReference r:id="rId6" w:type="default"/>
          <w:pgSz w:w="12240" w:h="15840"/>
          <w:pgMar w:top="1134" w:right="1134" w:bottom="1134" w:left="1134" w:header="0" w:footer="921" w:gutter="0"/>
          <w:pgNumType w:start="1"/>
          <w:cols w:space="720" w:num="1"/>
        </w:sectPr>
      </w:pPr>
      <w:r>
        <w:rPr>
          <w:szCs w:val="28"/>
        </w:rPr>
        <w:fldChar w:fldCharType="end"/>
      </w:r>
    </w:p>
    <w:p w14:paraId="5099C767">
      <w:pPr>
        <w:pStyle w:val="3"/>
      </w:pPr>
      <w:bookmarkStart w:id="0" w:name="_Toc13978"/>
      <w:bookmarkEnd w:id="0"/>
      <w:bookmarkStart w:id="1" w:name="_Toc29416"/>
      <w:bookmarkEnd w:id="1"/>
      <w:bookmarkStart w:id="2" w:name="_Toc1480"/>
      <w:bookmarkEnd w:id="2"/>
      <w:bookmarkStart w:id="3" w:name="_Toc16118"/>
      <w:bookmarkStart w:id="4" w:name="_Toc4229"/>
      <w:bookmarkStart w:id="5" w:name="_Toc20832"/>
      <w:bookmarkStart w:id="6" w:name="_Toc5395"/>
      <w:bookmarkStart w:id="7" w:name="_Toc29214"/>
      <w:bookmarkStart w:id="8" w:name="_Toc13289"/>
      <w:bookmarkStart w:id="9" w:name="_Toc1184"/>
      <w:r>
        <w:rPr>
          <w:rFonts w:hint="eastAsia" w:ascii="Times New Roman" w:hAnsi="Times New Roman" w:eastAsia="宋体" w:cs="Times New Roman"/>
          <w:b/>
          <w:bCs/>
          <w:color w:val="auto"/>
          <w:sz w:val="36"/>
          <w:szCs w:val="44"/>
          <w:highlight w:val="none"/>
          <w:lang w:val="en-US" w:eastAsia="zh-CN"/>
        </w:rPr>
        <w:t>○</w:t>
      </w:r>
      <w:r>
        <w:rPr>
          <w:rFonts w:hint="eastAsia"/>
        </w:rPr>
        <w:t>第一章 招标公告</w:t>
      </w:r>
      <w:r>
        <w:rPr>
          <w:rFonts w:hint="eastAsia"/>
          <w:color w:val="FF0000"/>
        </w:rPr>
        <w:t>（适用于公开招标）</w:t>
      </w:r>
      <w:bookmarkEnd w:id="3"/>
      <w:bookmarkEnd w:id="4"/>
      <w:bookmarkEnd w:id="5"/>
      <w:bookmarkEnd w:id="6"/>
      <w:bookmarkEnd w:id="7"/>
      <w:bookmarkEnd w:id="8"/>
      <w:bookmarkEnd w:id="9"/>
    </w:p>
    <w:p w14:paraId="54CA4CAE">
      <w:pPr>
        <w:bidi w:val="0"/>
        <w:jc w:val="center"/>
        <w:rPr>
          <w:sz w:val="28"/>
          <w:szCs w:val="28"/>
        </w:rPr>
      </w:pPr>
      <w:r>
        <w:rPr>
          <w:rFonts w:hint="eastAsia"/>
          <w:sz w:val="28"/>
          <w:szCs w:val="28"/>
          <w:u w:val="single"/>
          <w:lang w:val="en-US" w:eastAsia="zh-CN"/>
        </w:rPr>
        <w:t xml:space="preserve">        </w:t>
      </w:r>
      <w:r>
        <w:rPr>
          <w:rFonts w:hint="eastAsia"/>
          <w:color w:val="FF0000"/>
          <w:sz w:val="28"/>
          <w:szCs w:val="28"/>
        </w:rPr>
        <w:t>（项目名称）</w:t>
      </w:r>
      <w:r>
        <w:rPr>
          <w:rFonts w:hint="eastAsia"/>
          <w:sz w:val="28"/>
          <w:szCs w:val="28"/>
          <w:lang w:eastAsia="zh-CN"/>
        </w:rPr>
        <w:t>施工</w:t>
      </w:r>
      <w:r>
        <w:rPr>
          <w:rFonts w:hint="eastAsia"/>
          <w:sz w:val="28"/>
          <w:szCs w:val="28"/>
          <w:u w:val="single"/>
        </w:rPr>
        <w:t xml:space="preserve">    </w:t>
      </w:r>
      <w:r>
        <w:rPr>
          <w:rFonts w:hint="eastAsia"/>
          <w:sz w:val="28"/>
          <w:szCs w:val="28"/>
        </w:rPr>
        <w:t>标段招标公告</w:t>
      </w:r>
    </w:p>
    <w:p w14:paraId="56CB487E">
      <w:pPr>
        <w:pStyle w:val="4"/>
        <w:numPr>
          <w:ilvl w:val="0"/>
          <w:numId w:val="0"/>
        </w:numPr>
      </w:pPr>
      <w:bookmarkStart w:id="10" w:name="_Toc7151"/>
      <w:r>
        <w:rPr>
          <w:rFonts w:eastAsia="宋体" w:asciiTheme="minorAscii" w:hAnsiTheme="minorAscii" w:cstheme="minorBidi"/>
          <w:b/>
          <w:kern w:val="2"/>
          <w:sz w:val="24"/>
          <w:szCs w:val="24"/>
          <w:lang w:val="en-US" w:eastAsia="zh-CN" w:bidi="ar-SA"/>
        </w:rPr>
        <w:t>1.</w:t>
      </w:r>
      <w:r>
        <w:rPr>
          <w:rFonts w:hint="eastAsia"/>
        </w:rPr>
        <w:t>招标条件</w:t>
      </w:r>
      <w:bookmarkEnd w:id="10"/>
    </w:p>
    <w:p w14:paraId="366F0AD5">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asciiTheme="minorEastAsia" w:hAnsiTheme="minorEastAsia"/>
          <w:sz w:val="22"/>
          <w:szCs w:val="22"/>
        </w:rPr>
      </w:pPr>
      <w:r>
        <w:rPr>
          <w:rFonts w:hint="eastAsia" w:asciiTheme="minorEastAsia" w:hAnsiTheme="minorEastAsia"/>
          <w:sz w:val="22"/>
          <w:szCs w:val="22"/>
        </w:rPr>
        <w:t>1.1 本招标项目</w:t>
      </w:r>
      <w:r>
        <w:rPr>
          <w:rFonts w:hint="eastAsia" w:asciiTheme="minorEastAsia" w:hAnsiTheme="minorEastAsia"/>
          <w:sz w:val="22"/>
          <w:szCs w:val="22"/>
          <w:u w:val="single"/>
        </w:rPr>
        <w:t xml:space="preserve">    </w:t>
      </w:r>
      <w:r>
        <w:rPr>
          <w:rFonts w:hint="eastAsia" w:asciiTheme="minorEastAsia" w:hAnsiTheme="minorEastAsia"/>
          <w:sz w:val="22"/>
          <w:szCs w:val="22"/>
          <w:u w:val="single"/>
          <w:lang w:val="en-US" w:eastAsia="zh-CN"/>
        </w:rPr>
        <w:t xml:space="preserve">   </w:t>
      </w:r>
      <w:r>
        <w:rPr>
          <w:rFonts w:hint="eastAsia" w:asciiTheme="minorEastAsia" w:hAnsiTheme="minorEastAsia"/>
          <w:sz w:val="22"/>
          <w:szCs w:val="22"/>
          <w:u w:val="single"/>
        </w:rPr>
        <w:t xml:space="preserve">  </w:t>
      </w:r>
      <w:r>
        <w:rPr>
          <w:rFonts w:hint="eastAsia" w:asciiTheme="minorEastAsia" w:hAnsiTheme="minorEastAsia"/>
          <w:color w:val="FF0000"/>
          <w:sz w:val="22"/>
          <w:szCs w:val="22"/>
        </w:rPr>
        <w:t>（项目名称）</w:t>
      </w:r>
      <w:r>
        <w:rPr>
          <w:rFonts w:hint="eastAsia" w:asciiTheme="minorEastAsia" w:hAnsiTheme="minorEastAsia"/>
          <w:sz w:val="22"/>
          <w:szCs w:val="22"/>
          <w:lang w:eastAsia="zh-CN"/>
        </w:rPr>
        <w:t>施工</w:t>
      </w:r>
      <w:r>
        <w:rPr>
          <w:rFonts w:hint="eastAsia" w:asciiTheme="minorEastAsia" w:hAnsiTheme="minorEastAsia"/>
          <w:sz w:val="22"/>
          <w:szCs w:val="22"/>
          <w:u w:val="single"/>
          <w:lang w:val="en-US" w:eastAsia="zh-CN"/>
        </w:rPr>
        <w:t xml:space="preserve">   </w:t>
      </w:r>
      <w:r>
        <w:rPr>
          <w:rFonts w:hint="eastAsia" w:asciiTheme="minorEastAsia" w:hAnsiTheme="minorEastAsia"/>
          <w:sz w:val="22"/>
          <w:szCs w:val="22"/>
          <w:lang w:val="en-US" w:eastAsia="zh-CN"/>
        </w:rPr>
        <w:t>标段</w:t>
      </w:r>
      <w:r>
        <w:rPr>
          <w:rFonts w:hint="eastAsia" w:asciiTheme="minorEastAsia" w:hAnsiTheme="minorEastAsia"/>
          <w:sz w:val="22"/>
          <w:szCs w:val="22"/>
        </w:rPr>
        <w:t>已由</w:t>
      </w:r>
      <w:r>
        <w:rPr>
          <w:rFonts w:hint="eastAsia" w:asciiTheme="minorEastAsia" w:hAnsiTheme="minorEastAsia"/>
          <w:sz w:val="22"/>
          <w:szCs w:val="22"/>
          <w:u w:val="single"/>
        </w:rPr>
        <w:t xml:space="preserve">  </w:t>
      </w:r>
      <w:r>
        <w:rPr>
          <w:rFonts w:hint="eastAsia" w:asciiTheme="minorEastAsia" w:hAnsiTheme="minorEastAsia"/>
          <w:sz w:val="22"/>
          <w:szCs w:val="22"/>
          <w:u w:val="single"/>
          <w:lang w:val="en-US" w:eastAsia="zh-CN"/>
        </w:rPr>
        <w:t xml:space="preserve">       </w:t>
      </w:r>
      <w:r>
        <w:rPr>
          <w:rFonts w:hint="eastAsia" w:asciiTheme="minorEastAsia" w:hAnsiTheme="minorEastAsia"/>
          <w:sz w:val="22"/>
          <w:szCs w:val="22"/>
          <w:u w:val="single"/>
        </w:rPr>
        <w:t xml:space="preserve">    </w:t>
      </w:r>
      <w:r>
        <w:rPr>
          <w:rFonts w:hint="eastAsia" w:asciiTheme="minorEastAsia" w:hAnsiTheme="minorEastAsia"/>
          <w:color w:val="FF0000"/>
          <w:sz w:val="22"/>
          <w:szCs w:val="22"/>
        </w:rPr>
        <w:t>（项目审批、核准或备案机关名称）</w:t>
      </w:r>
      <w:r>
        <w:rPr>
          <w:rFonts w:hint="eastAsia" w:asciiTheme="minorEastAsia" w:hAnsiTheme="minorEastAsia"/>
          <w:sz w:val="22"/>
          <w:szCs w:val="22"/>
        </w:rPr>
        <w:t>以</w:t>
      </w:r>
      <w:r>
        <w:rPr>
          <w:rFonts w:hint="eastAsia" w:asciiTheme="minorEastAsia" w:hAnsiTheme="minorEastAsia"/>
          <w:sz w:val="22"/>
          <w:szCs w:val="22"/>
          <w:u w:val="single"/>
        </w:rPr>
        <w:t xml:space="preserve">      </w:t>
      </w:r>
      <w:r>
        <w:rPr>
          <w:rFonts w:hint="eastAsia" w:asciiTheme="minorEastAsia" w:hAnsiTheme="minorEastAsia"/>
          <w:color w:val="FF0000"/>
          <w:sz w:val="22"/>
          <w:szCs w:val="22"/>
        </w:rPr>
        <w:t>（批文名称及编号）</w:t>
      </w:r>
      <w:r>
        <w:rPr>
          <w:rFonts w:hint="eastAsia" w:asciiTheme="minorEastAsia" w:hAnsiTheme="minorEastAsia"/>
          <w:sz w:val="22"/>
          <w:szCs w:val="22"/>
        </w:rPr>
        <w:t>批准建设，项目业主为</w:t>
      </w:r>
      <w:r>
        <w:rPr>
          <w:rFonts w:hint="eastAsia" w:asciiTheme="minorEastAsia" w:hAnsiTheme="minorEastAsia"/>
          <w:sz w:val="22"/>
          <w:szCs w:val="22"/>
          <w:u w:val="single"/>
        </w:rPr>
        <w:t xml:space="preserve">        </w:t>
      </w:r>
      <w:r>
        <w:rPr>
          <w:rFonts w:hint="eastAsia" w:asciiTheme="minorEastAsia" w:hAnsiTheme="minorEastAsia"/>
          <w:sz w:val="22"/>
          <w:szCs w:val="22"/>
        </w:rPr>
        <w:t>，建设资金来自</w:t>
      </w:r>
      <w:r>
        <w:rPr>
          <w:rFonts w:hint="eastAsia" w:asciiTheme="minorEastAsia" w:hAnsiTheme="minorEastAsia"/>
          <w:sz w:val="22"/>
          <w:szCs w:val="22"/>
          <w:u w:val="single"/>
        </w:rPr>
        <w:t xml:space="preserve">   </w:t>
      </w:r>
      <w:r>
        <w:rPr>
          <w:rFonts w:hint="eastAsia" w:asciiTheme="minorEastAsia" w:hAnsiTheme="minorEastAsia"/>
          <w:sz w:val="22"/>
          <w:szCs w:val="22"/>
          <w:u w:val="single"/>
          <w:lang w:val="en-US" w:eastAsia="zh-CN"/>
        </w:rPr>
        <w:t xml:space="preserve"> </w:t>
      </w:r>
      <w:r>
        <w:rPr>
          <w:rFonts w:hint="eastAsia" w:asciiTheme="minorEastAsia" w:hAnsiTheme="minorEastAsia"/>
          <w:sz w:val="22"/>
          <w:szCs w:val="22"/>
          <w:u w:val="single"/>
        </w:rPr>
        <w:t xml:space="preserve">     </w:t>
      </w:r>
      <w:r>
        <w:rPr>
          <w:rFonts w:hint="eastAsia" w:asciiTheme="minorEastAsia" w:hAnsiTheme="minorEastAsia"/>
          <w:color w:val="FF0000"/>
          <w:sz w:val="22"/>
          <w:szCs w:val="22"/>
        </w:rPr>
        <w:t>（资金来源）</w:t>
      </w:r>
      <w:r>
        <w:rPr>
          <w:rFonts w:hint="eastAsia" w:asciiTheme="minorEastAsia" w:hAnsiTheme="minorEastAsia"/>
          <w:sz w:val="22"/>
          <w:szCs w:val="22"/>
        </w:rPr>
        <w:t>，项目出资比例为</w:t>
      </w:r>
      <w:r>
        <w:rPr>
          <w:rFonts w:hint="eastAsia" w:asciiTheme="minorEastAsia" w:hAnsiTheme="minorEastAsia"/>
          <w:sz w:val="22"/>
          <w:szCs w:val="22"/>
          <w:u w:val="single"/>
        </w:rPr>
        <w:t xml:space="preserve">    </w:t>
      </w:r>
      <w:r>
        <w:rPr>
          <w:rFonts w:hint="eastAsia" w:asciiTheme="minorEastAsia" w:hAnsiTheme="minorEastAsia"/>
          <w:sz w:val="22"/>
          <w:szCs w:val="22"/>
        </w:rPr>
        <w:t>，招标人为</w:t>
      </w:r>
      <w:r>
        <w:rPr>
          <w:rFonts w:hint="eastAsia" w:asciiTheme="minorEastAsia" w:hAnsiTheme="minorEastAsia"/>
          <w:sz w:val="22"/>
          <w:szCs w:val="22"/>
          <w:u w:val="single"/>
        </w:rPr>
        <w:t xml:space="preserve">          </w:t>
      </w:r>
      <w:r>
        <w:rPr>
          <w:rFonts w:hint="eastAsia" w:asciiTheme="minorEastAsia" w:hAnsiTheme="minorEastAsia"/>
          <w:sz w:val="22"/>
          <w:szCs w:val="22"/>
        </w:rPr>
        <w:t>。项目已具备招标条件，现对该项目进行公开招标。</w:t>
      </w:r>
    </w:p>
    <w:p w14:paraId="0D410B75">
      <w:pPr>
        <w:pStyle w:val="10"/>
        <w:keepNext w:val="0"/>
        <w:keepLines w:val="0"/>
        <w:pageBreakBefore w:val="0"/>
        <w:widowControl w:val="0"/>
        <w:tabs>
          <w:tab w:val="left" w:pos="0"/>
        </w:tabs>
        <w:kinsoku/>
        <w:wordWrap/>
        <w:overflowPunct/>
        <w:topLinePunct w:val="0"/>
        <w:autoSpaceDE/>
        <w:autoSpaceDN/>
        <w:bidi w:val="0"/>
        <w:adjustRightInd/>
        <w:snapToGrid/>
        <w:spacing w:before="0" w:after="0" w:line="360" w:lineRule="auto"/>
        <w:ind w:left="0" w:leftChars="0" w:firstLine="220" w:firstLineChars="100"/>
        <w:textAlignment w:val="auto"/>
        <w:rPr>
          <w:rFonts w:asciiTheme="minorEastAsia" w:hAnsiTheme="minorEastAsia"/>
          <w:sz w:val="22"/>
          <w:szCs w:val="22"/>
        </w:rPr>
      </w:pPr>
      <w:r>
        <w:rPr>
          <w:rFonts w:hint="eastAsia" w:asciiTheme="minorEastAsia" w:hAnsiTheme="minorEastAsia"/>
          <w:sz w:val="22"/>
          <w:szCs w:val="22"/>
        </w:rPr>
        <w:t>1.2 本招标项目由</w:t>
      </w:r>
      <w:r>
        <w:rPr>
          <w:rFonts w:hint="eastAsia" w:asciiTheme="minorEastAsia" w:hAnsiTheme="minorEastAsia"/>
          <w:sz w:val="22"/>
          <w:szCs w:val="22"/>
          <w:u w:val="single"/>
        </w:rPr>
        <w:t xml:space="preserve">           </w:t>
      </w:r>
      <w:r>
        <w:rPr>
          <w:rFonts w:hint="eastAsia" w:asciiTheme="minorEastAsia" w:hAnsiTheme="minorEastAsia"/>
          <w:color w:val="FF0000"/>
          <w:sz w:val="22"/>
          <w:szCs w:val="22"/>
        </w:rPr>
        <w:t>（核准机关名称）</w:t>
      </w:r>
      <w:r>
        <w:rPr>
          <w:rFonts w:hint="eastAsia" w:asciiTheme="minorEastAsia" w:hAnsiTheme="minorEastAsia"/>
          <w:sz w:val="22"/>
          <w:szCs w:val="22"/>
        </w:rPr>
        <w:t>核准（招标事项核准文号为</w:t>
      </w:r>
      <w:r>
        <w:rPr>
          <w:rFonts w:hint="eastAsia" w:asciiTheme="minorEastAsia" w:hAnsiTheme="minorEastAsia"/>
          <w:sz w:val="22"/>
          <w:szCs w:val="22"/>
          <w:u w:val="single"/>
        </w:rPr>
        <w:t xml:space="preserve">          </w:t>
      </w:r>
      <w:r>
        <w:rPr>
          <w:rFonts w:hint="eastAsia" w:asciiTheme="minorEastAsia" w:hAnsiTheme="minorEastAsia"/>
          <w:sz w:val="22"/>
          <w:szCs w:val="22"/>
        </w:rPr>
        <w:t>）的招标</w:t>
      </w:r>
    </w:p>
    <w:p w14:paraId="07F8BF06">
      <w:pPr>
        <w:pStyle w:val="10"/>
        <w:keepNext w:val="0"/>
        <w:keepLines w:val="0"/>
        <w:pageBreakBefore w:val="0"/>
        <w:widowControl w:val="0"/>
        <w:tabs>
          <w:tab w:val="left" w:pos="0"/>
        </w:tabs>
        <w:kinsoku/>
        <w:wordWrap/>
        <w:overflowPunct/>
        <w:topLinePunct w:val="0"/>
        <w:autoSpaceDE/>
        <w:autoSpaceDN/>
        <w:bidi w:val="0"/>
        <w:adjustRightInd/>
        <w:snapToGrid/>
        <w:spacing w:before="0" w:after="0" w:line="360" w:lineRule="auto"/>
        <w:ind w:left="0" w:firstLine="0" w:firstLineChars="0"/>
        <w:textAlignment w:val="auto"/>
        <w:rPr>
          <w:rFonts w:asciiTheme="minorEastAsia" w:hAnsiTheme="minorEastAsia"/>
          <w:sz w:val="22"/>
          <w:szCs w:val="22"/>
        </w:rPr>
      </w:pPr>
      <w:r>
        <w:rPr>
          <w:rFonts w:hint="eastAsia" w:asciiTheme="minorEastAsia" w:hAnsiTheme="minorEastAsia"/>
          <w:sz w:val="22"/>
          <w:szCs w:val="22"/>
        </w:rPr>
        <w:t>组织形式为</w:t>
      </w:r>
      <w:r>
        <w:rPr>
          <w:rFonts w:hint="eastAsia"/>
          <w:sz w:val="22"/>
          <w:szCs w:val="22"/>
        </w:rPr>
        <w:t>○自行招标○委托招标</w:t>
      </w:r>
      <w:r>
        <w:rPr>
          <w:rFonts w:hint="eastAsia" w:asciiTheme="minorEastAsia" w:hAnsiTheme="minorEastAsia"/>
          <w:sz w:val="22"/>
          <w:szCs w:val="22"/>
        </w:rPr>
        <w:t>。招标人选择的招标代理机构是</w:t>
      </w:r>
      <w:r>
        <w:rPr>
          <w:rFonts w:hint="eastAsia" w:asciiTheme="minorEastAsia" w:hAnsiTheme="minorEastAsia"/>
          <w:sz w:val="22"/>
          <w:szCs w:val="22"/>
          <w:u w:val="single"/>
        </w:rPr>
        <w:t xml:space="preserve">           </w:t>
      </w:r>
      <w:r>
        <w:rPr>
          <w:rFonts w:hint="eastAsia" w:asciiTheme="minorEastAsia" w:hAnsiTheme="minorEastAsia"/>
          <w:sz w:val="22"/>
          <w:szCs w:val="22"/>
        </w:rPr>
        <w:t>。</w:t>
      </w:r>
      <w:r>
        <w:rPr>
          <w:rFonts w:hint="eastAsia" w:asciiTheme="minorEastAsia" w:hAnsiTheme="minorEastAsia"/>
          <w:color w:val="FF0000"/>
          <w:sz w:val="22"/>
          <w:szCs w:val="22"/>
        </w:rPr>
        <w:t>注：若为自行招标则代理机构填"/"。</w:t>
      </w:r>
    </w:p>
    <w:p w14:paraId="1100A245">
      <w:pPr>
        <w:keepNext w:val="0"/>
        <w:keepLines w:val="0"/>
        <w:pageBreakBefore w:val="0"/>
        <w:widowControl w:val="0"/>
        <w:kinsoku/>
        <w:wordWrap/>
        <w:overflowPunct/>
        <w:topLinePunct w:val="0"/>
        <w:autoSpaceDE/>
        <w:autoSpaceDN/>
        <w:bidi w:val="0"/>
        <w:adjustRightInd/>
        <w:snapToGrid/>
        <w:spacing w:before="0" w:after="0"/>
        <w:ind w:left="0" w:leftChars="0" w:firstLine="220" w:firstLineChars="100"/>
        <w:textAlignment w:val="auto"/>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1.3</w:t>
      </w:r>
      <w:r>
        <w:rPr>
          <w:rFonts w:hint="eastAsia" w:ascii="宋体" w:hAnsi="宋体" w:cs="Times New Roman"/>
          <w:kern w:val="2"/>
          <w:sz w:val="22"/>
          <w:szCs w:val="22"/>
          <w:lang w:val="en-US" w:eastAsia="zh-CN" w:bidi="ar-SA"/>
        </w:rPr>
        <w:t xml:space="preserve"> </w:t>
      </w:r>
      <w:r>
        <w:rPr>
          <w:rFonts w:hint="eastAsia" w:ascii="宋体" w:hAnsi="宋体" w:eastAsia="宋体" w:cs="Times New Roman"/>
          <w:kern w:val="2"/>
          <w:sz w:val="22"/>
          <w:szCs w:val="22"/>
          <w:lang w:val="en-US" w:eastAsia="zh-CN" w:bidi="ar-SA"/>
        </w:rPr>
        <w:t>本标段行政监督部门为</w:t>
      </w:r>
      <w:r>
        <w:rPr>
          <w:rFonts w:hint="eastAsia" w:ascii="宋体" w:hAnsi="宋体" w:eastAsia="宋体" w:cs="Times New Roman"/>
          <w:kern w:val="2"/>
          <w:sz w:val="22"/>
          <w:szCs w:val="22"/>
          <w:u w:val="single"/>
          <w:lang w:val="en-US" w:eastAsia="zh-CN" w:bidi="ar-SA"/>
        </w:rPr>
        <w:t xml:space="preserve">            </w:t>
      </w:r>
      <w:r>
        <w:rPr>
          <w:rFonts w:hint="eastAsia" w:ascii="宋体" w:hAnsi="宋体" w:eastAsia="宋体" w:cs="Times New Roman"/>
          <w:kern w:val="2"/>
          <w:sz w:val="22"/>
          <w:szCs w:val="22"/>
          <w:lang w:val="en-US" w:eastAsia="zh-CN" w:bidi="ar-SA"/>
        </w:rPr>
        <w:t>，采用“评定分离”方式进行评标定标。</w:t>
      </w:r>
    </w:p>
    <w:p w14:paraId="73C7A063">
      <w:pPr>
        <w:keepNext w:val="0"/>
        <w:keepLines w:val="0"/>
        <w:pageBreakBefore w:val="0"/>
        <w:widowControl w:val="0"/>
        <w:kinsoku/>
        <w:wordWrap/>
        <w:overflowPunct/>
        <w:topLinePunct w:val="0"/>
        <w:autoSpaceDE/>
        <w:autoSpaceDN/>
        <w:bidi w:val="0"/>
        <w:adjustRightInd/>
        <w:snapToGrid/>
        <w:spacing w:before="120" w:after="120"/>
        <w:ind w:left="0" w:leftChars="0" w:firstLine="220" w:firstLineChars="100"/>
        <w:textAlignment w:val="auto"/>
        <w:rPr>
          <w:rFonts w:hint="eastAsia"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w:t>
      </w:r>
      <w:r>
        <w:rPr>
          <w:rFonts w:hint="eastAsia" w:ascii="宋体" w:hAnsi="宋体" w:eastAsia="宋体" w:cs="Times New Roman"/>
          <w:kern w:val="2"/>
          <w:sz w:val="22"/>
          <w:szCs w:val="22"/>
          <w:lang w:val="en-US" w:eastAsia="zh-CN" w:bidi="ar-SA"/>
        </w:rPr>
        <w:t>1.4 本标段技术标采用“暗标盲评”方式进行评审</w:t>
      </w:r>
      <w:r>
        <w:rPr>
          <w:rFonts w:hint="eastAsia" w:ascii="宋体" w:hAnsi="宋体" w:cs="Times New Roman"/>
          <w:color w:val="FF0000"/>
          <w:kern w:val="2"/>
          <w:sz w:val="22"/>
          <w:szCs w:val="22"/>
          <w:lang w:val="en-US" w:eastAsia="zh-CN" w:bidi="ar-SA"/>
        </w:rPr>
        <w:t>（仅适用于综合评分法）</w:t>
      </w:r>
      <w:r>
        <w:rPr>
          <w:rFonts w:hint="eastAsia" w:ascii="宋体" w:hAnsi="宋体" w:eastAsia="宋体" w:cs="Times New Roman"/>
          <w:kern w:val="2"/>
          <w:sz w:val="22"/>
          <w:szCs w:val="22"/>
          <w:lang w:val="en-US" w:eastAsia="zh-CN" w:bidi="ar-SA"/>
        </w:rPr>
        <w:t>。</w:t>
      </w:r>
    </w:p>
    <w:p w14:paraId="1F237A2A">
      <w:pPr>
        <w:pStyle w:val="4"/>
        <w:numPr>
          <w:ilvl w:val="0"/>
          <w:numId w:val="0"/>
        </w:numPr>
      </w:pPr>
      <w:r>
        <w:rPr>
          <w:rFonts w:eastAsia="宋体" w:asciiTheme="minorAscii" w:hAnsiTheme="minorAscii" w:cstheme="minorBidi"/>
          <w:b/>
          <w:kern w:val="2"/>
          <w:sz w:val="24"/>
          <w:szCs w:val="24"/>
          <w:lang w:val="en-US" w:eastAsia="zh-CN" w:bidi="ar-SA"/>
        </w:rPr>
        <w:t>2.</w:t>
      </w:r>
      <w:r>
        <w:rPr>
          <w:rFonts w:hint="eastAsia"/>
        </w:rPr>
        <w:t>项目概况与招标范围</w:t>
      </w:r>
    </w:p>
    <w:p w14:paraId="0247DC93">
      <w:pPr>
        <w:bidi w:val="0"/>
        <w:ind w:left="220" w:leftChars="100" w:firstLine="0" w:firstLineChars="0"/>
        <w:rPr>
          <w:rFonts w:hint="eastAsia"/>
          <w:sz w:val="22"/>
          <w:szCs w:val="22"/>
        </w:rPr>
      </w:pPr>
      <w:r>
        <w:rPr>
          <w:rFonts w:hint="eastAsia"/>
          <w:sz w:val="22"/>
          <w:szCs w:val="22"/>
        </w:rPr>
        <w:t>2.1 建设地点：</w:t>
      </w:r>
      <w:r>
        <w:rPr>
          <w:rFonts w:hint="eastAsia"/>
          <w:sz w:val="22"/>
          <w:szCs w:val="22"/>
          <w:u w:val="single"/>
        </w:rPr>
        <w:t xml:space="preserve">                                        </w:t>
      </w:r>
    </w:p>
    <w:p w14:paraId="4710E0DB">
      <w:pPr>
        <w:bidi w:val="0"/>
        <w:ind w:left="220" w:leftChars="100" w:firstLine="0" w:firstLineChars="0"/>
        <w:rPr>
          <w:rFonts w:hint="eastAsia"/>
          <w:sz w:val="22"/>
          <w:szCs w:val="22"/>
        </w:rPr>
      </w:pPr>
      <w:r>
        <w:rPr>
          <w:rFonts w:hint="eastAsia"/>
          <w:sz w:val="22"/>
          <w:szCs w:val="22"/>
        </w:rPr>
        <w:t>2.2 建设内容及规模：</w:t>
      </w:r>
      <w:r>
        <w:rPr>
          <w:rFonts w:hint="eastAsia"/>
          <w:sz w:val="22"/>
          <w:szCs w:val="22"/>
          <w:u w:val="single"/>
        </w:rPr>
        <w:t xml:space="preserve">                                  </w:t>
      </w:r>
    </w:p>
    <w:p w14:paraId="4E0E4AF3">
      <w:pPr>
        <w:bidi w:val="0"/>
        <w:ind w:left="220" w:leftChars="100" w:firstLine="0" w:firstLineChars="0"/>
        <w:rPr>
          <w:rFonts w:hint="eastAsia"/>
          <w:sz w:val="22"/>
          <w:szCs w:val="22"/>
        </w:rPr>
      </w:pPr>
      <w:r>
        <w:rPr>
          <w:rFonts w:hint="eastAsia"/>
          <w:sz w:val="22"/>
          <w:szCs w:val="22"/>
        </w:rPr>
        <w:t>2.3 招标范围：</w:t>
      </w:r>
      <w:r>
        <w:rPr>
          <w:rFonts w:hint="eastAsia"/>
          <w:sz w:val="22"/>
          <w:szCs w:val="22"/>
          <w:u w:val="single"/>
        </w:rPr>
        <w:t xml:space="preserve">                                        </w:t>
      </w:r>
    </w:p>
    <w:p w14:paraId="6B4D412C">
      <w:pPr>
        <w:bidi w:val="0"/>
        <w:ind w:left="220" w:leftChars="100" w:firstLine="0" w:firstLineChars="0"/>
        <w:rPr>
          <w:rFonts w:hint="eastAsia"/>
          <w:sz w:val="22"/>
          <w:szCs w:val="22"/>
        </w:rPr>
      </w:pPr>
      <w:r>
        <w:rPr>
          <w:rFonts w:hint="eastAsia"/>
          <w:sz w:val="22"/>
          <w:szCs w:val="22"/>
        </w:rPr>
        <w:t>2.4 计划工期：</w:t>
      </w:r>
      <w:r>
        <w:rPr>
          <w:rFonts w:hint="eastAsia"/>
          <w:sz w:val="22"/>
          <w:szCs w:val="22"/>
          <w:u w:val="single"/>
        </w:rPr>
        <w:t xml:space="preserve">                                        </w:t>
      </w:r>
    </w:p>
    <w:p w14:paraId="69503A47">
      <w:pPr>
        <w:bidi w:val="0"/>
        <w:ind w:left="220" w:leftChars="100" w:firstLine="0" w:firstLineChars="0"/>
        <w:rPr>
          <w:rFonts w:hint="eastAsia"/>
          <w:sz w:val="22"/>
          <w:szCs w:val="22"/>
        </w:rPr>
      </w:pPr>
      <w:r>
        <w:rPr>
          <w:rFonts w:hint="eastAsia"/>
          <w:sz w:val="22"/>
          <w:szCs w:val="22"/>
        </w:rPr>
        <w:t>2.5 质量目标：</w:t>
      </w:r>
      <w:r>
        <w:rPr>
          <w:rFonts w:hint="eastAsia"/>
          <w:sz w:val="22"/>
          <w:szCs w:val="22"/>
          <w:u w:val="single"/>
        </w:rPr>
        <w:t xml:space="preserve">                                        </w:t>
      </w:r>
    </w:p>
    <w:p w14:paraId="68D34A48">
      <w:pPr>
        <w:bidi w:val="0"/>
        <w:ind w:left="220" w:leftChars="100" w:firstLine="0" w:firstLineChars="0"/>
        <w:rPr>
          <w:rFonts w:hint="eastAsia"/>
        </w:rPr>
      </w:pPr>
      <w:r>
        <w:rPr>
          <w:rFonts w:hint="eastAsia"/>
          <w:sz w:val="22"/>
          <w:szCs w:val="22"/>
        </w:rPr>
        <w:t>2.6 标段划分：</w:t>
      </w:r>
      <w:r>
        <w:rPr>
          <w:rFonts w:hint="eastAsia"/>
          <w:sz w:val="22"/>
          <w:szCs w:val="22"/>
          <w:u w:val="single"/>
        </w:rPr>
        <w:t xml:space="preserve">                                        </w:t>
      </w:r>
    </w:p>
    <w:p w14:paraId="222E162E">
      <w:pPr>
        <w:bidi w:val="0"/>
        <w:ind w:left="220" w:leftChars="100" w:firstLine="180" w:firstLineChars="100"/>
        <w:rPr>
          <w:rFonts w:hint="eastAsia"/>
          <w:color w:val="FF0000"/>
        </w:rPr>
      </w:pPr>
      <w:r>
        <w:rPr>
          <w:rFonts w:hint="eastAsia"/>
          <w:color w:val="FF0000"/>
          <w:sz w:val="18"/>
          <w:szCs w:val="18"/>
          <w:lang w:val="en-US" w:eastAsia="zh-CN"/>
        </w:rPr>
        <w:t>注：</w:t>
      </w:r>
      <w:r>
        <w:rPr>
          <w:rFonts w:hint="eastAsia"/>
          <w:color w:val="FF0000"/>
          <w:sz w:val="18"/>
          <w:szCs w:val="18"/>
        </w:rPr>
        <w:t>说明本次招标项目的建设地点、规模、招标范围、计划工期、质量标准、标段划分(如果有)等。</w:t>
      </w:r>
    </w:p>
    <w:p w14:paraId="045E1FEB">
      <w:pPr>
        <w:pStyle w:val="4"/>
        <w:numPr>
          <w:ilvl w:val="0"/>
          <w:numId w:val="0"/>
        </w:numPr>
      </w:pPr>
      <w:r>
        <w:rPr>
          <w:rFonts w:eastAsia="宋体" w:asciiTheme="minorAscii" w:hAnsiTheme="minorAscii" w:cstheme="minorBidi"/>
          <w:b/>
          <w:kern w:val="2"/>
          <w:sz w:val="24"/>
          <w:szCs w:val="24"/>
          <w:lang w:val="en-US" w:eastAsia="zh-CN" w:bidi="ar-SA"/>
        </w:rPr>
        <w:t>3.</w:t>
      </w:r>
      <w:r>
        <w:rPr>
          <w:rFonts w:hint="eastAsia"/>
        </w:rPr>
        <w:t>投标人资格要求</w:t>
      </w:r>
    </w:p>
    <w:p w14:paraId="5F06A5FF">
      <w:pPr>
        <w:bidi w:val="0"/>
        <w:spacing w:line="360" w:lineRule="auto"/>
        <w:ind w:left="220" w:leftChars="100" w:firstLine="0" w:firstLineChars="0"/>
        <w:rPr>
          <w:rFonts w:hint="eastAsia"/>
          <w:sz w:val="22"/>
          <w:szCs w:val="22"/>
        </w:rPr>
      </w:pPr>
      <w:r>
        <w:rPr>
          <w:rFonts w:hint="eastAsia"/>
          <w:sz w:val="22"/>
          <w:szCs w:val="22"/>
        </w:rPr>
        <w:t xml:space="preserve">3.1 本次招标要求投标人： </w:t>
      </w:r>
    </w:p>
    <w:p w14:paraId="10C445D7">
      <w:pPr>
        <w:bidi w:val="0"/>
        <w:spacing w:line="360" w:lineRule="auto"/>
        <w:ind w:left="440" w:leftChars="200" w:firstLine="440" w:firstLineChars="200"/>
        <w:rPr>
          <w:rFonts w:hint="eastAsia"/>
          <w:sz w:val="22"/>
          <w:szCs w:val="22"/>
        </w:rPr>
      </w:pPr>
      <w:r>
        <w:rPr>
          <w:rFonts w:hint="eastAsia"/>
          <w:sz w:val="22"/>
          <w:szCs w:val="22"/>
        </w:rPr>
        <w:t>3.1.</w:t>
      </w:r>
      <w:r>
        <w:rPr>
          <w:rFonts w:hint="eastAsia"/>
          <w:sz w:val="22"/>
          <w:szCs w:val="22"/>
          <w:lang w:val="en-US" w:eastAsia="zh-CN"/>
        </w:rPr>
        <w:t>1</w:t>
      </w:r>
      <w:r>
        <w:rPr>
          <w:rFonts w:hint="eastAsia"/>
          <w:sz w:val="22"/>
          <w:szCs w:val="22"/>
        </w:rPr>
        <w:t>须具有</w:t>
      </w:r>
      <w:r>
        <w:rPr>
          <w:rFonts w:hint="eastAsia"/>
          <w:sz w:val="22"/>
          <w:szCs w:val="22"/>
          <w:u w:val="single"/>
        </w:rPr>
        <w:t xml:space="preserve">           </w:t>
      </w:r>
      <w:r>
        <w:rPr>
          <w:rFonts w:hint="eastAsia"/>
          <w:sz w:val="22"/>
          <w:szCs w:val="22"/>
          <w:u w:val="single"/>
          <w:lang w:val="en-US" w:eastAsia="zh-CN"/>
        </w:rPr>
        <w:t xml:space="preserve">      </w:t>
      </w:r>
      <w:r>
        <w:rPr>
          <w:rFonts w:hint="eastAsia"/>
          <w:sz w:val="22"/>
          <w:szCs w:val="22"/>
          <w:u w:val="none"/>
          <w:lang w:val="en-US" w:eastAsia="zh-CN"/>
        </w:rPr>
        <w:t>资质；</w:t>
      </w:r>
    </w:p>
    <w:p w14:paraId="49B8050A">
      <w:pPr>
        <w:bidi w:val="0"/>
        <w:spacing w:line="360" w:lineRule="auto"/>
        <w:ind w:left="440" w:leftChars="200" w:firstLine="440" w:firstLineChars="200"/>
        <w:rPr>
          <w:rFonts w:hint="eastAsia"/>
          <w:sz w:val="22"/>
          <w:szCs w:val="22"/>
        </w:rPr>
      </w:pPr>
      <w:r>
        <w:rPr>
          <w:rFonts w:hint="eastAsia"/>
          <w:sz w:val="22"/>
          <w:szCs w:val="22"/>
        </w:rPr>
        <w:t>3.1.</w:t>
      </w:r>
      <w:r>
        <w:rPr>
          <w:rFonts w:hint="eastAsia"/>
          <w:sz w:val="22"/>
          <w:szCs w:val="22"/>
          <w:lang w:val="en-US" w:eastAsia="zh-CN"/>
        </w:rPr>
        <w:t>2</w:t>
      </w:r>
      <w:r>
        <w:rPr>
          <w:rFonts w:hint="eastAsia"/>
          <w:sz w:val="22"/>
          <w:szCs w:val="22"/>
        </w:rPr>
        <w:t xml:space="preserve"> </w:t>
      </w:r>
      <w:r>
        <w:rPr>
          <w:rFonts w:hint="eastAsia"/>
          <w:sz w:val="22"/>
          <w:szCs w:val="22"/>
          <w:lang w:val="en-US" w:eastAsia="zh-CN"/>
        </w:rPr>
        <w:t>信誉要求：</w:t>
      </w:r>
      <w:r>
        <w:rPr>
          <w:rFonts w:hint="eastAsia" w:eastAsia="宋体" w:asciiTheme="minorAscii" w:hAnsiTheme="minorAscii" w:cstheme="minorBidi"/>
          <w:sz w:val="22"/>
          <w:szCs w:val="22"/>
        </w:rPr>
        <w:t>不存在投标人须知第1.4.3项规定的限制投标的情形；</w:t>
      </w:r>
    </w:p>
    <w:p w14:paraId="0A2A7588">
      <w:pPr>
        <w:pStyle w:val="11"/>
        <w:spacing w:line="360" w:lineRule="auto"/>
        <w:ind w:left="440" w:leftChars="200" w:firstLine="440" w:firstLineChars="200"/>
        <w:rPr>
          <w:rFonts w:hint="eastAsia" w:eastAsia="宋体" w:asciiTheme="minorAscii" w:hAnsiTheme="minorAscii" w:cstheme="minorBidi"/>
          <w:i w:val="0"/>
          <w:iCs w:val="0"/>
          <w:caps w:val="0"/>
          <w:spacing w:val="0"/>
          <w:sz w:val="22"/>
          <w:szCs w:val="22"/>
          <w:shd w:val="clear"/>
        </w:rPr>
      </w:pPr>
      <w:r>
        <w:rPr>
          <w:rFonts w:hint="eastAsia"/>
          <w:sz w:val="22"/>
          <w:szCs w:val="22"/>
          <w:lang w:val="en-US" w:eastAsia="zh-CN"/>
        </w:rPr>
        <w:t xml:space="preserve">3.1.3 </w:t>
      </w:r>
      <w:r>
        <w:rPr>
          <w:rFonts w:hint="eastAsia" w:eastAsia="宋体" w:asciiTheme="minorAscii" w:hAnsiTheme="minorAscii" w:cstheme="minorBidi"/>
          <w:i w:val="0"/>
          <w:iCs w:val="0"/>
          <w:caps w:val="0"/>
          <w:spacing w:val="0"/>
          <w:sz w:val="22"/>
          <w:szCs w:val="22"/>
          <w:shd w:val="clear"/>
        </w:rPr>
        <w:t>拟派项目经理（项目负责人）具有</w:t>
      </w:r>
      <w:r>
        <w:rPr>
          <w:rFonts w:hint="eastAsia" w:eastAsia="宋体" w:asciiTheme="minorAscii" w:hAnsiTheme="minorAscii" w:cstheme="minorBidi"/>
          <w:i w:val="0"/>
          <w:iCs w:val="0"/>
          <w:caps w:val="0"/>
          <w:spacing w:val="0"/>
          <w:sz w:val="22"/>
          <w:szCs w:val="22"/>
          <w:u w:val="single"/>
          <w:shd w:val="clear"/>
          <w:lang w:val="en-US" w:eastAsia="zh-CN"/>
        </w:rPr>
        <w:t xml:space="preserve">      </w:t>
      </w:r>
      <w:r>
        <w:rPr>
          <w:rFonts w:hint="eastAsia" w:eastAsia="宋体" w:asciiTheme="minorAscii" w:hAnsiTheme="minorAscii" w:cstheme="minorBidi"/>
          <w:i w:val="0"/>
          <w:iCs w:val="0"/>
          <w:caps w:val="0"/>
          <w:spacing w:val="0"/>
          <w:sz w:val="22"/>
          <w:szCs w:val="22"/>
          <w:shd w:val="clear"/>
        </w:rPr>
        <w:t>专业</w:t>
      </w:r>
      <w:r>
        <w:rPr>
          <w:rFonts w:hint="eastAsia" w:eastAsia="宋体" w:asciiTheme="minorAscii" w:hAnsiTheme="minorAscii" w:cstheme="minorBidi"/>
          <w:i w:val="0"/>
          <w:iCs w:val="0"/>
          <w:caps w:val="0"/>
          <w:spacing w:val="0"/>
          <w:sz w:val="22"/>
          <w:szCs w:val="22"/>
          <w:u w:val="single"/>
          <w:shd w:val="clear"/>
          <w:lang w:val="en-US" w:eastAsia="zh-CN"/>
        </w:rPr>
        <w:t xml:space="preserve">   </w:t>
      </w:r>
      <w:r>
        <w:rPr>
          <w:rFonts w:hint="eastAsia" w:eastAsia="宋体" w:asciiTheme="minorAscii" w:hAnsiTheme="minorAscii" w:cstheme="minorBidi"/>
          <w:i w:val="0"/>
          <w:iCs w:val="0"/>
          <w:caps w:val="0"/>
          <w:spacing w:val="0"/>
          <w:sz w:val="22"/>
          <w:szCs w:val="22"/>
          <w:shd w:val="clear"/>
        </w:rPr>
        <w:t>级或以上注册建造师证书，须具备有效的安全生产考核合格B证，</w:t>
      </w:r>
      <w:r>
        <w:rPr>
          <w:rFonts w:hint="eastAsia" w:cstheme="minorBidi"/>
          <w:i w:val="0"/>
          <w:iCs w:val="0"/>
          <w:caps w:val="0"/>
          <w:spacing w:val="0"/>
          <w:sz w:val="22"/>
          <w:szCs w:val="22"/>
          <w:u w:val="single"/>
          <w:shd w:val="clear"/>
          <w:lang w:eastAsia="zh-CN"/>
        </w:rPr>
        <w:t xml:space="preserve"> </w:t>
      </w:r>
      <w:r>
        <w:rPr>
          <w:rFonts w:hint="eastAsia" w:cstheme="minorBidi"/>
          <w:i w:val="0"/>
          <w:iCs w:val="0"/>
          <w:caps w:val="0"/>
          <w:spacing w:val="0"/>
          <w:sz w:val="22"/>
          <w:szCs w:val="22"/>
          <w:u w:val="single"/>
          <w:shd w:val="clear"/>
          <w:lang w:val="en-US" w:eastAsia="zh-CN"/>
        </w:rPr>
        <w:t xml:space="preserve">                </w:t>
      </w:r>
      <w:r>
        <w:rPr>
          <w:rFonts w:hint="eastAsia" w:eastAsia="宋体" w:asciiTheme="minorAscii" w:hAnsiTheme="minorAscii" w:cstheme="minorBidi"/>
          <w:i w:val="0"/>
          <w:iCs w:val="0"/>
          <w:caps w:val="0"/>
          <w:color w:val="FF0000"/>
          <w:spacing w:val="0"/>
          <w:sz w:val="22"/>
          <w:szCs w:val="22"/>
          <w:shd w:val="clear"/>
        </w:rPr>
        <w:t>（业绩要求）</w:t>
      </w:r>
      <w:r>
        <w:rPr>
          <w:rFonts w:hint="eastAsia" w:eastAsia="宋体" w:asciiTheme="minorAscii" w:hAnsiTheme="minorAscii" w:cstheme="minorBidi"/>
          <w:i w:val="0"/>
          <w:iCs w:val="0"/>
          <w:caps w:val="0"/>
          <w:spacing w:val="0"/>
          <w:sz w:val="22"/>
          <w:szCs w:val="22"/>
          <w:shd w:val="clear"/>
        </w:rPr>
        <w:t>，须为本单位人员（若为联合体投标，须为联合体牵头人人员）。</w:t>
      </w:r>
    </w:p>
    <w:p w14:paraId="432F1F70">
      <w:pPr>
        <w:pStyle w:val="11"/>
        <w:spacing w:line="360" w:lineRule="auto"/>
        <w:ind w:left="440" w:leftChars="200" w:firstLine="440" w:firstLineChars="200"/>
        <w:rPr>
          <w:rFonts w:hint="eastAsia" w:cstheme="minorBidi"/>
          <w:sz w:val="22"/>
          <w:szCs w:val="22"/>
          <w:lang w:eastAsia="zh-CN"/>
        </w:rPr>
      </w:pPr>
      <w:r>
        <w:rPr>
          <w:rFonts w:hint="eastAsia"/>
          <w:sz w:val="22"/>
          <w:szCs w:val="22"/>
          <w:lang w:val="en-US" w:eastAsia="zh-CN"/>
        </w:rPr>
        <w:t xml:space="preserve">3.1.4 </w:t>
      </w:r>
      <w:r>
        <w:rPr>
          <w:rFonts w:hint="eastAsia" w:eastAsia="宋体" w:asciiTheme="minorAscii" w:hAnsiTheme="minorAscii" w:cstheme="minorBidi"/>
          <w:sz w:val="22"/>
          <w:szCs w:val="22"/>
        </w:rPr>
        <w:t>财务要求</w:t>
      </w:r>
      <w:r>
        <w:rPr>
          <w:rFonts w:hint="eastAsia" w:cstheme="minorBidi"/>
          <w:sz w:val="22"/>
          <w:szCs w:val="22"/>
          <w:lang w:eastAsia="zh-CN"/>
        </w:rPr>
        <w:t>：</w:t>
      </w:r>
    </w:p>
    <w:p w14:paraId="000BD540">
      <w:pPr>
        <w:pStyle w:val="11"/>
        <w:spacing w:after="0" w:line="360" w:lineRule="auto"/>
        <w:ind w:left="440" w:leftChars="200" w:firstLine="440" w:firstLineChars="200"/>
        <w:rPr>
          <w:rFonts w:hint="eastAsia" w:asciiTheme="minorAscii" w:hAnsiTheme="minorAscii"/>
          <w:sz w:val="22"/>
          <w:szCs w:val="22"/>
          <w:lang w:val="en-US" w:eastAsia="zh-CN"/>
        </w:rPr>
      </w:pPr>
      <w:r>
        <w:rPr>
          <w:rFonts w:hint="eastAsia" w:asciiTheme="minorAscii" w:hAnsiTheme="minorAscii"/>
          <w:sz w:val="22"/>
          <w:szCs w:val="22"/>
          <w:lang w:val="en-US" w:eastAsia="zh-CN"/>
        </w:rPr>
        <w:t>○无财务要求；</w:t>
      </w:r>
    </w:p>
    <w:p w14:paraId="607CBB9A">
      <w:pPr>
        <w:pStyle w:val="11"/>
        <w:spacing w:after="0" w:line="360" w:lineRule="auto"/>
        <w:ind w:left="440" w:leftChars="200" w:firstLine="440" w:firstLineChars="200"/>
        <w:rPr>
          <w:rFonts w:hint="eastAsia" w:asciiTheme="minorAscii" w:hAnsiTheme="minorAscii"/>
          <w:sz w:val="22"/>
          <w:szCs w:val="22"/>
          <w:lang w:val="en-US" w:eastAsia="zh-CN"/>
        </w:rPr>
      </w:pPr>
      <w:r>
        <w:rPr>
          <w:rFonts w:hint="eastAsia" w:asciiTheme="minorAscii" w:hAnsiTheme="minorAscii"/>
          <w:sz w:val="22"/>
          <w:szCs w:val="22"/>
          <w:lang w:val="en-US" w:eastAsia="zh-CN"/>
        </w:rPr>
        <w:t>○近</w:t>
      </w:r>
      <w:r>
        <w:rPr>
          <w:rFonts w:hint="eastAsia" w:asciiTheme="minorAscii" w:hAnsiTheme="minorAscii"/>
          <w:sz w:val="22"/>
          <w:szCs w:val="22"/>
          <w:u w:val="single"/>
          <w:lang w:val="en-US" w:eastAsia="zh-CN"/>
        </w:rPr>
        <w:t xml:space="preserve">   </w:t>
      </w:r>
      <w:r>
        <w:rPr>
          <w:rFonts w:hint="eastAsia" w:asciiTheme="minorAscii" w:hAnsiTheme="minorAscii"/>
          <w:sz w:val="22"/>
          <w:szCs w:val="22"/>
          <w:lang w:val="en-US" w:eastAsia="zh-CN"/>
        </w:rPr>
        <w:t>年</w:t>
      </w:r>
      <w:r>
        <w:rPr>
          <w:rFonts w:hint="eastAsia" w:asciiTheme="minorAscii" w:hAnsiTheme="minorAscii"/>
          <w:color w:val="FF0000"/>
          <w:sz w:val="22"/>
          <w:szCs w:val="22"/>
          <w:lang w:val="en-US" w:eastAsia="zh-CN"/>
        </w:rPr>
        <w:t>（限定在3年以内）</w:t>
      </w:r>
      <w:r>
        <w:rPr>
          <w:rFonts w:hint="eastAsia" w:asciiTheme="minorAscii" w:hAnsiTheme="minorAscii"/>
          <w:sz w:val="22"/>
          <w:szCs w:val="22"/>
          <w:lang w:val="en-US" w:eastAsia="zh-CN"/>
        </w:rPr>
        <w:t>无亏损。</w:t>
      </w:r>
    </w:p>
    <w:p w14:paraId="16E0158B">
      <w:pPr>
        <w:pStyle w:val="11"/>
        <w:spacing w:line="360" w:lineRule="auto"/>
        <w:ind w:left="440" w:leftChars="200" w:firstLine="440" w:firstLineChars="200"/>
        <w:rPr>
          <w:rFonts w:hint="eastAsia"/>
          <w:sz w:val="22"/>
          <w:szCs w:val="22"/>
          <w:lang w:val="en-US" w:eastAsia="zh-CN"/>
        </w:rPr>
      </w:pPr>
      <w:r>
        <w:rPr>
          <w:rFonts w:hint="eastAsia" w:asciiTheme="minorAscii" w:hAnsiTheme="minorAscii"/>
          <w:sz w:val="22"/>
          <w:szCs w:val="22"/>
          <w:lang w:val="en-US" w:eastAsia="zh-CN"/>
        </w:rPr>
        <w:t>3.1.</w:t>
      </w:r>
      <w:r>
        <w:rPr>
          <w:rFonts w:hint="eastAsia"/>
          <w:sz w:val="22"/>
          <w:szCs w:val="22"/>
          <w:lang w:val="en-US" w:eastAsia="zh-CN"/>
        </w:rPr>
        <w:t>5</w:t>
      </w:r>
      <w:r>
        <w:rPr>
          <w:rFonts w:hint="eastAsia" w:asciiTheme="minorAscii" w:hAnsiTheme="minorAscii"/>
          <w:sz w:val="22"/>
          <w:szCs w:val="22"/>
          <w:lang w:val="en-US" w:eastAsia="zh-CN"/>
        </w:rPr>
        <w:t xml:space="preserve"> 类似工程业绩要求</w:t>
      </w:r>
      <w:r>
        <w:rPr>
          <w:rFonts w:hint="eastAsia"/>
          <w:sz w:val="22"/>
          <w:szCs w:val="22"/>
          <w:lang w:val="en-US" w:eastAsia="zh-CN"/>
        </w:rPr>
        <w:t>：</w:t>
      </w:r>
    </w:p>
    <w:p w14:paraId="1B1B147A">
      <w:pPr>
        <w:pStyle w:val="11"/>
        <w:spacing w:after="0" w:line="360" w:lineRule="auto"/>
        <w:ind w:left="440" w:leftChars="200" w:firstLine="440" w:firstLineChars="200"/>
        <w:rPr>
          <w:rFonts w:hint="eastAsia"/>
          <w:sz w:val="22"/>
          <w:szCs w:val="22"/>
          <w:lang w:val="en-US" w:eastAsia="zh-CN"/>
        </w:rPr>
      </w:pPr>
      <w:r>
        <w:rPr>
          <w:rFonts w:hint="eastAsia"/>
          <w:sz w:val="22"/>
          <w:szCs w:val="22"/>
        </w:rPr>
        <w:t>○</w:t>
      </w:r>
      <w:r>
        <w:rPr>
          <w:rFonts w:hint="eastAsia"/>
          <w:sz w:val="22"/>
          <w:szCs w:val="22"/>
          <w:lang w:val="en-US" w:eastAsia="zh-CN"/>
        </w:rPr>
        <w:t>无；</w:t>
      </w:r>
    </w:p>
    <w:p w14:paraId="1F29DBB9">
      <w:pPr>
        <w:pStyle w:val="11"/>
        <w:spacing w:after="0" w:line="360" w:lineRule="auto"/>
        <w:ind w:left="440" w:leftChars="200" w:firstLine="440" w:firstLineChars="200"/>
        <w:rPr>
          <w:rFonts w:hint="eastAsia" w:ascii="宋体" w:hAnsi="宋体"/>
          <w:color w:val="auto"/>
          <w:sz w:val="22"/>
          <w:szCs w:val="22"/>
          <w:highlight w:val="none"/>
        </w:rPr>
      </w:pPr>
      <w:r>
        <w:rPr>
          <w:rFonts w:hint="eastAsia"/>
          <w:sz w:val="22"/>
          <w:szCs w:val="22"/>
        </w:rPr>
        <w:t>○提供类似业绩</w:t>
      </w:r>
      <w:r>
        <w:rPr>
          <w:rFonts w:hint="eastAsia"/>
          <w:sz w:val="22"/>
          <w:szCs w:val="22"/>
          <w:lang w:eastAsia="zh-CN"/>
        </w:rPr>
        <w:t>，</w:t>
      </w:r>
      <w:r>
        <w:rPr>
          <w:rFonts w:hint="eastAsia" w:ascii="宋体" w:hAnsi="宋体"/>
          <w:color w:val="auto"/>
          <w:sz w:val="22"/>
          <w:szCs w:val="22"/>
          <w:highlight w:val="none"/>
        </w:rPr>
        <w:t>○</w:t>
      </w:r>
      <w:r>
        <w:rPr>
          <w:rFonts w:hint="eastAsia" w:hAnsi="宋体"/>
          <w:color w:val="auto"/>
          <w:sz w:val="22"/>
          <w:szCs w:val="22"/>
          <w:highlight w:val="none"/>
        </w:rPr>
        <w:t>近年</w:t>
      </w:r>
      <w:r>
        <w:rPr>
          <w:rFonts w:hint="eastAsia" w:hAnsiTheme="minorAscii"/>
          <w:sz w:val="22"/>
          <w:szCs w:val="22"/>
          <w:lang w:eastAsia="zh-CN"/>
        </w:rPr>
        <w:t>（</w:t>
      </w:r>
      <w:r>
        <w:rPr>
          <w:rFonts w:hint="eastAsia" w:hAnsiTheme="minorAscii"/>
          <w:sz w:val="22"/>
          <w:szCs w:val="22"/>
          <w:u w:val="single"/>
          <w:lang w:val="en-US" w:eastAsia="zh-CN"/>
        </w:rPr>
        <w:t xml:space="preserve">    </w:t>
      </w:r>
      <w:r>
        <w:rPr>
          <w:rFonts w:hint="eastAsia" w:eastAsia="宋体" w:asciiTheme="minorAscii" w:hAnsiTheme="minorAscii" w:cstheme="minorBidi"/>
          <w:sz w:val="22"/>
          <w:szCs w:val="22"/>
        </w:rPr>
        <w:t>至投标截止时间，不少于3年）</w:t>
      </w:r>
      <w:r>
        <w:rPr>
          <w:rFonts w:hint="eastAsia" w:ascii="宋体" w:hAnsi="宋体"/>
          <w:color w:val="auto"/>
          <w:sz w:val="22"/>
          <w:szCs w:val="22"/>
          <w:highlight w:val="none"/>
        </w:rPr>
        <w:t>○</w:t>
      </w:r>
      <w:r>
        <w:rPr>
          <w:rFonts w:hint="eastAsia" w:ascii="宋体" w:hAnsi="宋体"/>
          <w:color w:val="auto"/>
          <w:sz w:val="22"/>
          <w:szCs w:val="22"/>
          <w:highlight w:val="none"/>
          <w:u w:val="none"/>
        </w:rPr>
        <w:t>已完成</w:t>
      </w:r>
      <w:r>
        <w:rPr>
          <w:rFonts w:hint="eastAsia" w:ascii="宋体" w:hAnsi="宋体"/>
          <w:color w:val="auto"/>
          <w:sz w:val="22"/>
          <w:szCs w:val="22"/>
          <w:highlight w:val="none"/>
        </w:rPr>
        <w:t>○已完成或正在施工或新承接的项目共不少于</w:t>
      </w: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个</w:t>
      </w:r>
      <w:r>
        <w:rPr>
          <w:rFonts w:hint="eastAsia" w:ascii="宋体" w:hAnsi="宋体"/>
          <w:color w:val="FF0000"/>
          <w:sz w:val="22"/>
          <w:szCs w:val="22"/>
          <w:highlight w:val="none"/>
        </w:rPr>
        <w:t>（1至3个）</w:t>
      </w:r>
      <w:r>
        <w:rPr>
          <w:rFonts w:hint="eastAsia" w:ascii="宋体" w:hAnsi="宋体"/>
          <w:color w:val="auto"/>
          <w:sz w:val="22"/>
          <w:szCs w:val="22"/>
          <w:highlight w:val="none"/>
        </w:rPr>
        <w:t>类似</w:t>
      </w:r>
      <w:r>
        <w:rPr>
          <w:rFonts w:hint="eastAsia" w:ascii="宋体" w:hAnsi="宋体"/>
          <w:color w:val="auto"/>
          <w:sz w:val="22"/>
          <w:szCs w:val="22"/>
          <w:highlight w:val="none"/>
          <w:lang w:val="en-US" w:eastAsia="zh-CN"/>
        </w:rPr>
        <w:t>工程</w:t>
      </w:r>
      <w:r>
        <w:rPr>
          <w:rFonts w:hint="eastAsia" w:ascii="宋体" w:hAnsi="宋体"/>
          <w:color w:val="auto"/>
          <w:sz w:val="22"/>
          <w:szCs w:val="22"/>
          <w:highlight w:val="none"/>
        </w:rPr>
        <w:t>业绩。</w:t>
      </w:r>
    </w:p>
    <w:p w14:paraId="1F97D4BC">
      <w:pPr>
        <w:pStyle w:val="11"/>
        <w:spacing w:after="0" w:line="360" w:lineRule="auto"/>
        <w:ind w:left="440" w:leftChars="200" w:firstLine="440" w:firstLineChars="200"/>
        <w:rPr>
          <w:rFonts w:hint="eastAsia" w:eastAsia="宋体"/>
          <w:sz w:val="22"/>
          <w:szCs w:val="22"/>
          <w:lang w:val="en-US" w:eastAsia="zh-CN"/>
        </w:rPr>
      </w:pPr>
      <w:r>
        <w:rPr>
          <w:rFonts w:hint="eastAsia" w:eastAsia="宋体" w:asciiTheme="minorAscii" w:hAnsiTheme="minorAscii" w:cstheme="minorBidi"/>
          <w:sz w:val="22"/>
          <w:szCs w:val="22"/>
        </w:rPr>
        <w:t>类似工程业绩是指:</w:t>
      </w:r>
      <w:r>
        <w:rPr>
          <w:rFonts w:hint="eastAsia" w:cstheme="minorBidi"/>
          <w:sz w:val="22"/>
          <w:szCs w:val="22"/>
          <w:u w:val="single"/>
          <w:lang w:val="en-US" w:eastAsia="zh-CN"/>
        </w:rPr>
        <w:t xml:space="preserve">                                  。</w:t>
      </w:r>
    </w:p>
    <w:p w14:paraId="2312DB01">
      <w:pPr>
        <w:bidi w:val="0"/>
        <w:spacing w:line="360" w:lineRule="auto"/>
        <w:ind w:left="220" w:leftChars="100" w:firstLine="0" w:firstLineChars="0"/>
        <w:rPr>
          <w:rFonts w:hint="eastAsia"/>
          <w:sz w:val="22"/>
          <w:szCs w:val="22"/>
        </w:rPr>
      </w:pPr>
      <w:r>
        <w:rPr>
          <w:rFonts w:hint="eastAsia"/>
          <w:sz w:val="22"/>
          <w:szCs w:val="22"/>
        </w:rPr>
        <w:t>○3.2 本次招标不</w:t>
      </w:r>
      <w:r>
        <w:rPr>
          <w:rFonts w:hint="eastAsia"/>
          <w:sz w:val="22"/>
          <w:szCs w:val="22"/>
          <w:lang w:val="en-US" w:eastAsia="zh-CN"/>
        </w:rPr>
        <w:t>允许</w:t>
      </w:r>
      <w:r>
        <w:rPr>
          <w:rFonts w:hint="eastAsia"/>
          <w:sz w:val="22"/>
          <w:szCs w:val="22"/>
        </w:rPr>
        <w:t>联合体投标。</w:t>
      </w:r>
    </w:p>
    <w:p w14:paraId="2E07C874">
      <w:pPr>
        <w:bidi w:val="0"/>
        <w:spacing w:line="360" w:lineRule="auto"/>
        <w:ind w:left="0" w:leftChars="0" w:firstLine="220" w:firstLineChars="100"/>
        <w:rPr>
          <w:rFonts w:hint="eastAsia"/>
          <w:sz w:val="22"/>
          <w:szCs w:val="22"/>
        </w:rPr>
      </w:pPr>
      <w:r>
        <w:rPr>
          <w:rFonts w:hint="eastAsia"/>
          <w:sz w:val="22"/>
          <w:szCs w:val="22"/>
        </w:rPr>
        <w:t>○3.2 本次招标</w:t>
      </w:r>
      <w:r>
        <w:rPr>
          <w:rFonts w:hint="eastAsia"/>
          <w:sz w:val="22"/>
          <w:szCs w:val="22"/>
          <w:lang w:val="en-US" w:eastAsia="zh-CN"/>
        </w:rPr>
        <w:t>允许联合体投标的</w:t>
      </w:r>
      <w:r>
        <w:rPr>
          <w:rFonts w:hint="eastAsia"/>
          <w:sz w:val="22"/>
          <w:szCs w:val="22"/>
        </w:rPr>
        <w:t>，应满足下列要求：须具有</w:t>
      </w:r>
      <w:r>
        <w:rPr>
          <w:rFonts w:hint="eastAsia"/>
          <w:sz w:val="22"/>
          <w:szCs w:val="22"/>
          <w:u w:val="single"/>
        </w:rPr>
        <w:t xml:space="preserve">  </w:t>
      </w:r>
      <w:r>
        <w:rPr>
          <w:rFonts w:hint="eastAsia"/>
          <w:sz w:val="22"/>
          <w:szCs w:val="22"/>
          <w:u w:val="single"/>
          <w:lang w:val="en-US" w:eastAsia="zh-CN"/>
        </w:rPr>
        <w:t xml:space="preserve">  </w:t>
      </w:r>
      <w:r>
        <w:rPr>
          <w:rFonts w:hint="eastAsia"/>
          <w:sz w:val="22"/>
          <w:szCs w:val="22"/>
          <w:u w:val="single"/>
        </w:rPr>
        <w:t xml:space="preserve">  </w:t>
      </w:r>
      <w:r>
        <w:rPr>
          <w:rFonts w:hint="eastAsia"/>
          <w:sz w:val="22"/>
          <w:szCs w:val="22"/>
        </w:rPr>
        <w:t>的单位作为联合体牵头人。联合体成员家数（含联合体牵头人）须不超过</w:t>
      </w:r>
      <w:r>
        <w:rPr>
          <w:rFonts w:hint="eastAsia"/>
          <w:sz w:val="22"/>
          <w:szCs w:val="22"/>
          <w:u w:val="single"/>
        </w:rPr>
        <w:t xml:space="preserve">   </w:t>
      </w:r>
      <w:r>
        <w:rPr>
          <w:rFonts w:hint="eastAsia"/>
          <w:sz w:val="22"/>
          <w:szCs w:val="22"/>
        </w:rPr>
        <w:t xml:space="preserve">家。联合体需符合有关联合体投标的规定和要求，并提交了联合体协议，明确联合体牵头人和各方权利义务。 </w:t>
      </w:r>
    </w:p>
    <w:p w14:paraId="3C277BB8">
      <w:pPr>
        <w:bidi w:val="0"/>
        <w:spacing w:line="360" w:lineRule="auto"/>
        <w:ind w:left="220" w:leftChars="100" w:firstLine="0" w:firstLineChars="0"/>
        <w:rPr>
          <w:rFonts w:hint="eastAsia"/>
          <w:sz w:val="22"/>
          <w:szCs w:val="22"/>
        </w:rPr>
      </w:pPr>
      <w:r>
        <w:rPr>
          <w:rFonts w:hint="eastAsia"/>
          <w:sz w:val="22"/>
          <w:szCs w:val="22"/>
        </w:rPr>
        <w:t>3.3 各投标人均可就上述</w:t>
      </w:r>
      <w:r>
        <w:rPr>
          <w:rFonts w:hint="eastAsia"/>
          <w:sz w:val="22"/>
          <w:szCs w:val="22"/>
          <w:u w:val="single"/>
        </w:rPr>
        <w:t xml:space="preserve">   </w:t>
      </w:r>
      <w:r>
        <w:rPr>
          <w:rFonts w:hint="eastAsia"/>
          <w:color w:val="FF0000"/>
          <w:sz w:val="22"/>
          <w:szCs w:val="22"/>
        </w:rPr>
        <w:t>（具体数量）</w:t>
      </w:r>
      <w:r>
        <w:rPr>
          <w:rFonts w:hint="eastAsia"/>
          <w:sz w:val="22"/>
          <w:szCs w:val="22"/>
        </w:rPr>
        <w:t>个标段投标，可中标的标段数量为</w:t>
      </w:r>
      <w:r>
        <w:rPr>
          <w:rFonts w:hint="eastAsia"/>
          <w:sz w:val="22"/>
          <w:szCs w:val="22"/>
          <w:u w:val="single"/>
        </w:rPr>
        <w:t xml:space="preserve">   </w:t>
      </w:r>
      <w:r>
        <w:rPr>
          <w:rFonts w:hint="eastAsia"/>
          <w:color w:val="FF0000"/>
          <w:sz w:val="22"/>
          <w:szCs w:val="22"/>
        </w:rPr>
        <w:t>（具体数量）</w:t>
      </w:r>
      <w:r>
        <w:rPr>
          <w:rFonts w:hint="eastAsia"/>
          <w:sz w:val="22"/>
          <w:szCs w:val="22"/>
        </w:rPr>
        <w:t xml:space="preserve">个。 </w:t>
      </w:r>
    </w:p>
    <w:p w14:paraId="03A489A3">
      <w:pPr>
        <w:spacing w:line="360" w:lineRule="auto"/>
        <w:ind w:left="220" w:leftChars="100"/>
        <w:rPr>
          <w:rFonts w:hint="eastAsia"/>
        </w:rPr>
      </w:pPr>
      <w:r>
        <w:rPr>
          <w:rFonts w:hint="eastAsia"/>
        </w:rPr>
        <w:t>□</w:t>
      </w:r>
      <w:bookmarkStart w:id="11" w:name="OLE_LINK3"/>
      <w:r>
        <w:rPr>
          <w:rFonts w:hint="eastAsia"/>
        </w:rPr>
        <w:t>3.4</w:t>
      </w:r>
      <w:bookmarkEnd w:id="11"/>
      <w:r>
        <w:rPr>
          <w:rFonts w:hint="eastAsia"/>
        </w:rPr>
        <w:t>支持中小企业参与。</w:t>
      </w:r>
    </w:p>
    <w:p w14:paraId="0755D4CE">
      <w:pPr>
        <w:ind w:left="220" w:leftChars="100" w:firstLine="440" w:firstLineChars="200"/>
        <w:rPr>
          <w:rFonts w:hint="eastAsia"/>
        </w:rPr>
      </w:pPr>
      <w:r>
        <w:rPr>
          <w:rFonts w:hint="eastAsia"/>
        </w:rPr>
        <w:t>○本次招标仅面向中小企业发包（其中属于大企业的分支机构、存在控股股东为大企业、与大企业的负责人为同一人的情形的企业均不属于中小企业。</w:t>
      </w:r>
      <w:bookmarkStart w:id="12" w:name="OLE_LINK2"/>
      <w:r>
        <w:rPr>
          <w:rFonts w:hint="eastAsia"/>
        </w:rPr>
        <w:t>若为联合体投标的，联合体所有单位均应属于中小企业</w:t>
      </w:r>
      <w:bookmarkEnd w:id="12"/>
      <w:r>
        <w:rPr>
          <w:rFonts w:hint="eastAsia"/>
        </w:rPr>
        <w:t>）。</w:t>
      </w:r>
    </w:p>
    <w:p w14:paraId="1988623E">
      <w:pPr>
        <w:ind w:left="220" w:leftChars="100" w:firstLine="440" w:firstLineChars="200"/>
        <w:rPr>
          <w:rFonts w:hint="eastAsia" w:eastAsia="宋体"/>
          <w:lang w:eastAsia="zh-CN"/>
        </w:rPr>
      </w:pPr>
      <w:r>
        <w:rPr>
          <w:rFonts w:hint="eastAsia"/>
        </w:rPr>
        <w:t>○本次招标原则上优先面向中小企业发包（其中属于大企业的分支机构、存在控股股东为大企业、与大企业的负责人为同一人的情形的企业均不属于中小企业。若为联合体投标的，联合体所有单位均应属于中小企业）</w:t>
      </w:r>
      <w:r>
        <w:rPr>
          <w:rFonts w:hint="eastAsia"/>
          <w:lang w:eastAsia="zh-CN"/>
        </w:rPr>
        <w:t>。</w:t>
      </w:r>
    </w:p>
    <w:p w14:paraId="38BC4ABC">
      <w:pPr>
        <w:ind w:left="220" w:leftChars="100" w:firstLine="440" w:firstLineChars="200"/>
        <w:rPr>
          <w:rFonts w:hint="eastAsia"/>
        </w:rPr>
      </w:pPr>
      <w:r>
        <w:rPr>
          <w:rFonts w:hint="eastAsia"/>
        </w:rPr>
        <w:t>中小企业认定具体标准以《工业和信息化部、国家统计局、国家发展和改革委员会、财政部关于印发中小企业划型标准规定的通知》（工信部联企业〔2011〕300号）中的</w:t>
      </w:r>
      <w:r>
        <w:rPr>
          <w:rFonts w:hint="eastAsia"/>
          <w:lang w:eastAsia="zh-CN"/>
        </w:rPr>
        <w:t>“建筑业”</w:t>
      </w:r>
      <w:r>
        <w:rPr>
          <w:rFonts w:hint="eastAsia"/>
        </w:rPr>
        <w:t>划型标准为准，投标人应提供中小企业声明函。</w:t>
      </w:r>
    </w:p>
    <w:p w14:paraId="261A5C7A">
      <w:pPr>
        <w:ind w:left="220" w:leftChars="100"/>
        <w:rPr>
          <w:rFonts w:hint="eastAsia"/>
          <w:color w:val="FF0000"/>
        </w:rPr>
      </w:pPr>
      <w:r>
        <w:rPr>
          <w:rFonts w:hint="eastAsia"/>
          <w:color w:val="FF0000"/>
        </w:rPr>
        <w:t>（除技术复杂、存在特殊要求外，我省依法必须招标的国家投资工程，招标控制价在3000万元以下的施工项目(标段)应勾选</w:t>
      </w:r>
      <w:r>
        <w:rPr>
          <w:rFonts w:hint="eastAsia"/>
          <w:color w:val="FF0000"/>
          <w:lang w:val="en-US" w:eastAsia="zh-CN"/>
        </w:rPr>
        <w:t>上述两项中的一</w:t>
      </w:r>
      <w:r>
        <w:rPr>
          <w:rFonts w:hint="eastAsia"/>
          <w:color w:val="FF0000"/>
        </w:rPr>
        <w:t>项。）</w:t>
      </w:r>
    </w:p>
    <w:p w14:paraId="7C7A316B">
      <w:pPr>
        <w:ind w:left="220" w:leftChars="100" w:firstLine="440" w:firstLineChars="200"/>
        <w:rPr>
          <w:rFonts w:hint="eastAsia" w:eastAsia="宋体"/>
          <w:color w:val="FF0000"/>
          <w:lang w:val="en-US" w:eastAsia="zh-CN"/>
        </w:rPr>
      </w:pPr>
      <w:r>
        <w:rPr>
          <w:rFonts w:hint="eastAsia"/>
        </w:rPr>
        <w:t>○</w:t>
      </w:r>
      <w:r>
        <w:rPr>
          <w:rFonts w:hint="eastAsia"/>
          <w:lang w:val="en-US" w:eastAsia="zh-CN"/>
        </w:rPr>
        <w:t>鼓励大型企业和中小企业</w:t>
      </w:r>
      <w:r>
        <w:rPr>
          <w:rFonts w:hint="eastAsia"/>
        </w:rPr>
        <w:t>（其中属于大企业的分支机构、存在控股股东为大企业、与大企业的负责人为同一人的情形的企业均不属于中小企业</w:t>
      </w:r>
      <w:r>
        <w:rPr>
          <w:rFonts w:hint="eastAsia"/>
          <w:lang w:eastAsia="zh-CN"/>
        </w:rPr>
        <w:t>）</w:t>
      </w:r>
      <w:r>
        <w:rPr>
          <w:rFonts w:hint="eastAsia"/>
          <w:lang w:val="en-US" w:eastAsia="zh-CN"/>
        </w:rPr>
        <w:t>组成联合体参与投标。</w:t>
      </w:r>
    </w:p>
    <w:p w14:paraId="01E891F6">
      <w:pPr>
        <w:pStyle w:val="4"/>
        <w:numPr>
          <w:ilvl w:val="0"/>
          <w:numId w:val="1"/>
        </w:numPr>
      </w:pPr>
      <w:r>
        <w:rPr>
          <w:rFonts w:hint="eastAsia"/>
        </w:rPr>
        <w:t>招标文件的获取</w:t>
      </w:r>
    </w:p>
    <w:p w14:paraId="2F621C96">
      <w:pPr>
        <w:pStyle w:val="10"/>
        <w:tabs>
          <w:tab w:val="left" w:pos="0"/>
        </w:tabs>
        <w:ind w:left="0" w:leftChars="0" w:firstLine="220" w:firstLineChars="100"/>
        <w:rPr>
          <w:rFonts w:hint="eastAsia" w:ascii="宋体" w:hAnsi="宋体" w:eastAsia="宋体" w:cs="宋体"/>
        </w:rPr>
      </w:pPr>
      <w:r>
        <w:rPr>
          <w:rFonts w:hint="eastAsia" w:ascii="宋体" w:hAnsi="宋体" w:eastAsia="宋体" w:cs="宋体"/>
        </w:rPr>
        <w:t>4.1 凡有意参加投标者，请于</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日起，在成都市公共资源电子交易云平台(www.cdggzy.com）（以下简称“电子交易云平台”）免费下载招标资料（招标文件及相关资料），获得“拟投标项目回执”。</w:t>
      </w:r>
    </w:p>
    <w:p w14:paraId="3BFA7304">
      <w:pPr>
        <w:pStyle w:val="10"/>
        <w:tabs>
          <w:tab w:val="left" w:pos="0"/>
        </w:tabs>
        <w:ind w:left="0" w:leftChars="0" w:firstLine="220" w:firstLineChars="100"/>
      </w:pPr>
      <w:r>
        <w:rPr>
          <w:rFonts w:hint="eastAsia"/>
        </w:rPr>
        <w:t>4.2 招标人不提供邮购招标文件服务。</w:t>
      </w:r>
    </w:p>
    <w:p w14:paraId="7D289166">
      <w:pPr>
        <w:pStyle w:val="4"/>
        <w:bidi w:val="0"/>
      </w:pPr>
      <w:r>
        <w:rPr>
          <w:lang w:val="en-US" w:eastAsia="zh-CN"/>
        </w:rPr>
        <w:t>5.</w:t>
      </w:r>
      <w:r>
        <w:rPr>
          <w:rFonts w:hint="eastAsia"/>
        </w:rPr>
        <w:t>投标文件的递交</w:t>
      </w:r>
    </w:p>
    <w:p w14:paraId="31969553">
      <w:pPr>
        <w:pStyle w:val="10"/>
        <w:tabs>
          <w:tab w:val="left" w:pos="0"/>
        </w:tabs>
        <w:ind w:left="0" w:leftChars="0" w:firstLine="220" w:firstLineChars="100"/>
        <w:rPr>
          <w:rFonts w:hint="eastAsia"/>
        </w:rPr>
      </w:pPr>
      <w:r>
        <w:rPr>
          <w:rFonts w:ascii="宋体" w:hAnsi="宋体"/>
          <w:szCs w:val="21"/>
        </w:rPr>
        <w:t>5.</w:t>
      </w:r>
      <w:r>
        <w:rPr>
          <w:rFonts w:hint="eastAsia" w:ascii="宋体" w:hAnsi="宋体"/>
          <w:szCs w:val="21"/>
        </w:rPr>
        <w:t>1</w:t>
      </w:r>
      <w:r>
        <w:rPr>
          <w:rFonts w:ascii="宋体" w:hAnsi="宋体"/>
          <w:szCs w:val="21"/>
        </w:rPr>
        <w:t xml:space="preserve"> </w:t>
      </w:r>
      <w:r>
        <w:rPr>
          <w:rFonts w:hint="eastAsia"/>
        </w:rPr>
        <w:t>投标文件递交的截止时间（投标截止时间，下同）为</w:t>
      </w:r>
      <w:r>
        <w:rPr>
          <w:rFonts w:hint="eastAsia"/>
          <w:u w:val="single"/>
        </w:rPr>
        <w:t xml:space="preserve">    </w:t>
      </w:r>
      <w:r>
        <w:rPr>
          <w:rFonts w:hint="eastAsia"/>
        </w:rPr>
        <w:t>年</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月</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日</w:t>
      </w:r>
      <w:r>
        <w:rPr>
          <w:rFonts w:hint="eastAsia"/>
          <w:u w:val="single"/>
        </w:rPr>
        <w:t xml:space="preserve">   </w:t>
      </w:r>
      <w:r>
        <w:rPr>
          <w:rFonts w:hint="eastAsia"/>
        </w:rPr>
        <w:t>时</w:t>
      </w:r>
      <w:r>
        <w:rPr>
          <w:rFonts w:hint="eastAsia"/>
          <w:u w:val="single"/>
        </w:rPr>
        <w:t xml:space="preserve">   </w:t>
      </w:r>
      <w:r>
        <w:rPr>
          <w:rFonts w:hint="eastAsia"/>
        </w:rPr>
        <w:t>分，招标人或其委托代理机构，以及已在投标截止时间前按规定上传投标文件的投标人，均应在开标当日投标截止时间前登录不见面开标系统（网址：www.cdggzy.com），录入相关人员姓名、电话等基本信息。投标人未按时登录不见面开标系统，错过开标解密时间的，由投标人自行承担不利后果。</w:t>
      </w:r>
    </w:p>
    <w:p w14:paraId="13455678">
      <w:pPr>
        <w:pStyle w:val="10"/>
        <w:tabs>
          <w:tab w:val="left" w:pos="0"/>
        </w:tabs>
        <w:ind w:left="0" w:leftChars="0" w:firstLine="220" w:firstLineChars="100"/>
        <w:rPr>
          <w:rFonts w:hint="eastAsia"/>
        </w:rPr>
      </w:pPr>
      <w:r>
        <w:rPr>
          <w:rFonts w:hint="eastAsia"/>
        </w:rPr>
        <w:t>5.2 投标人应在解密开始后30分钟内在线完成投标文件解密。投标文件未能在规定时间内成功解密的，视为投标人未在规定时间内提交投标文件，由投标人自行承担责任。不见面开标项目不接受投标人现场递交光盘等形式的投标文件，不接受投标人现场解密投标文件。</w:t>
      </w:r>
    </w:p>
    <w:p w14:paraId="4286AF5F">
      <w:pPr>
        <w:pStyle w:val="4"/>
        <w:bidi w:val="0"/>
      </w:pPr>
      <w:r>
        <w:rPr>
          <w:lang w:val="en-US" w:eastAsia="zh-CN"/>
        </w:rPr>
        <w:t>6.</w:t>
      </w:r>
      <w:r>
        <w:rPr>
          <w:rFonts w:hint="eastAsia"/>
          <w:lang w:val="en-US" w:eastAsia="zh-CN"/>
        </w:rPr>
        <w:t xml:space="preserve"> </w:t>
      </w:r>
      <w:r>
        <w:rPr>
          <w:rFonts w:hint="eastAsia"/>
        </w:rPr>
        <w:t>发布公告的媒介</w:t>
      </w:r>
    </w:p>
    <w:p w14:paraId="3D4427A3">
      <w:pPr>
        <w:bidi w:val="0"/>
        <w:ind w:firstLine="440" w:firstLineChars="200"/>
        <w:rPr>
          <w:rFonts w:hint="eastAsia"/>
        </w:rPr>
      </w:pPr>
      <w:r>
        <w:rPr>
          <w:rFonts w:hint="eastAsia"/>
        </w:rPr>
        <w:t>本次招标公告在</w:t>
      </w:r>
      <w:r>
        <w:rPr>
          <w:rFonts w:hint="eastAsia"/>
          <w:u w:val="single"/>
          <w:lang w:val="en-US" w:eastAsia="zh-CN"/>
        </w:rPr>
        <w:t xml:space="preserve">                      </w:t>
      </w:r>
      <w:r>
        <w:rPr>
          <w:rFonts w:hint="eastAsia"/>
          <w:u w:val="none"/>
        </w:rPr>
        <w:t>（网址：</w:t>
      </w:r>
      <w:r>
        <w:rPr>
          <w:rFonts w:hint="eastAsia"/>
          <w:u w:val="single"/>
          <w:lang w:val="en-US" w:eastAsia="zh-CN"/>
        </w:rPr>
        <w:t xml:space="preserve">                      </w:t>
      </w:r>
      <w:r>
        <w:rPr>
          <w:rFonts w:hint="eastAsia"/>
          <w:u w:val="none"/>
        </w:rPr>
        <w:t>）</w:t>
      </w:r>
      <w:r>
        <w:rPr>
          <w:rFonts w:hint="eastAsia"/>
        </w:rPr>
        <w:t>上发布。</w:t>
      </w:r>
    </w:p>
    <w:p w14:paraId="2387931C">
      <w:pPr>
        <w:pStyle w:val="4"/>
        <w:bidi w:val="0"/>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7</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行政监督部门</w:t>
      </w:r>
    </w:p>
    <w:p w14:paraId="39EC6835">
      <w:pPr>
        <w:pStyle w:val="10"/>
        <w:tabs>
          <w:tab w:val="left" w:pos="4228"/>
          <w:tab w:val="left" w:pos="7975"/>
        </w:tabs>
        <w:ind w:left="-2" w:leftChars="0" w:right="865" w:firstLine="440" w:firstLineChars="200"/>
        <w:jc w:val="both"/>
        <w:rPr>
          <w:rFonts w:hint="eastAsia" w:eastAsia="宋体" w:asciiTheme="minorAscii" w:hAnsiTheme="minorAscii" w:cstheme="minorBidi"/>
          <w:kern w:val="2"/>
          <w:sz w:val="22"/>
          <w:szCs w:val="24"/>
          <w:u w:val="none"/>
          <w:lang w:val="en-US" w:eastAsia="zh-CN" w:bidi="ar-SA"/>
        </w:rPr>
      </w:pPr>
      <w:r>
        <w:rPr>
          <w:rFonts w:hint="eastAsia" w:eastAsia="宋体" w:asciiTheme="minorAscii" w:hAnsiTheme="minorAscii" w:cstheme="minorBidi"/>
          <w:kern w:val="2"/>
          <w:sz w:val="22"/>
          <w:szCs w:val="24"/>
          <w:lang w:val="en-US" w:eastAsia="zh-CN" w:bidi="ar-SA"/>
        </w:rPr>
        <w:t>单位名称：</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28DF05DD">
      <w:pPr>
        <w:pStyle w:val="10"/>
        <w:tabs>
          <w:tab w:val="left" w:pos="4228"/>
          <w:tab w:val="left" w:pos="7975"/>
        </w:tabs>
        <w:ind w:left="-2" w:leftChars="0" w:right="865" w:firstLine="440" w:firstLineChars="200"/>
        <w:jc w:val="both"/>
        <w:rPr>
          <w:rFonts w:hint="eastAsia"/>
        </w:rPr>
      </w:pPr>
      <w:r>
        <w:rPr>
          <w:rFonts w:hint="eastAsia" w:eastAsia="宋体" w:asciiTheme="minorAscii" w:hAnsiTheme="minorAscii" w:cstheme="minorBidi"/>
          <w:kern w:val="2"/>
          <w:sz w:val="22"/>
          <w:szCs w:val="24"/>
          <w:lang w:val="en-US" w:eastAsia="zh-CN" w:bidi="ar-SA"/>
        </w:rPr>
        <w:t>联系电话：</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7274FA66">
      <w:pPr>
        <w:pStyle w:val="4"/>
        <w:bidi w:val="0"/>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8</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联系方式</w:t>
      </w:r>
    </w:p>
    <w:p w14:paraId="1CE35B2E">
      <w:pPr>
        <w:pStyle w:val="10"/>
        <w:tabs>
          <w:tab w:val="left" w:pos="4228"/>
          <w:tab w:val="left" w:pos="7975"/>
        </w:tabs>
        <w:ind w:left="0" w:leftChars="0" w:right="865" w:firstLine="440" w:firstLineChars="200"/>
        <w:jc w:val="both"/>
        <w:rPr>
          <w:rFonts w:cs="Times New Roman" w:asciiTheme="minorEastAsia" w:hAnsiTheme="minorEastAsia" w:eastAsiaTheme="minorEastAsia"/>
        </w:rPr>
      </w:pPr>
      <w:r>
        <w:rPr>
          <w:rFonts w:asciiTheme="minorEastAsia" w:hAnsiTheme="minorEastAsia" w:eastAsiaTheme="minorEastAsia"/>
        </w:rPr>
        <w:t>招 标</w:t>
      </w:r>
      <w:r>
        <w:rPr>
          <w:rFonts w:asciiTheme="minorEastAsia" w:hAnsiTheme="minorEastAsia" w:eastAsiaTheme="minorEastAsia"/>
          <w:spacing w:val="2"/>
        </w:rPr>
        <w:t xml:space="preserve"> </w:t>
      </w:r>
      <w:r>
        <w:rPr>
          <w:rFonts w:asciiTheme="minorEastAsia" w:hAnsiTheme="minorEastAsia" w:eastAsiaTheme="minorEastAsia"/>
        </w:rPr>
        <w:t>人：</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06E1A11C">
      <w:pPr>
        <w:pStyle w:val="10"/>
        <w:tabs>
          <w:tab w:val="left" w:pos="4228"/>
          <w:tab w:val="left" w:pos="7975"/>
        </w:tabs>
        <w:ind w:left="0" w:leftChars="0" w:right="865" w:firstLine="440" w:firstLineChars="200"/>
        <w:jc w:val="both"/>
        <w:rPr>
          <w:rFonts w:cs="Times New Roman" w:asciiTheme="minorEastAsia" w:hAnsiTheme="minorEastAsia" w:eastAsiaTheme="minorEastAsia"/>
        </w:rPr>
      </w:pPr>
      <w:r>
        <w:rPr>
          <w:rFonts w:asciiTheme="minorEastAsia" w:hAnsiTheme="minorEastAsia" w:eastAsiaTheme="minorEastAsia"/>
        </w:rPr>
        <w:t xml:space="preserve">地   </w:t>
      </w:r>
      <w:r>
        <w:rPr>
          <w:rFonts w:asciiTheme="minorEastAsia" w:hAnsiTheme="minorEastAsia" w:eastAsiaTheme="minorEastAsia"/>
          <w:spacing w:val="3"/>
        </w:rPr>
        <w:t xml:space="preserve"> </w:t>
      </w:r>
      <w:r>
        <w:rPr>
          <w:rFonts w:asciiTheme="minorEastAsia" w:hAnsiTheme="minorEastAsia" w:eastAsiaTheme="minorEastAsia"/>
        </w:rPr>
        <w:t>址：</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143E8A69">
      <w:pPr>
        <w:pStyle w:val="10"/>
        <w:tabs>
          <w:tab w:val="left" w:pos="4228"/>
          <w:tab w:val="left" w:pos="7975"/>
        </w:tabs>
        <w:ind w:left="0" w:leftChars="0" w:right="865" w:firstLine="440" w:firstLineChars="200"/>
        <w:jc w:val="both"/>
        <w:rPr>
          <w:rFonts w:hint="eastAsia" w:cs="Times New Roman" w:asciiTheme="minorEastAsia" w:hAnsiTheme="minorEastAsia" w:eastAsiaTheme="minorEastAsia"/>
          <w:lang w:eastAsia="zh-CN"/>
        </w:rPr>
      </w:pPr>
      <w:r>
        <w:rPr>
          <w:rFonts w:asciiTheme="minorEastAsia" w:hAnsiTheme="minorEastAsia" w:eastAsiaTheme="minorEastAsia"/>
        </w:rPr>
        <w:t xml:space="preserve">邮   </w:t>
      </w:r>
      <w:r>
        <w:rPr>
          <w:rFonts w:asciiTheme="minorEastAsia" w:hAnsiTheme="minorEastAsia" w:eastAsiaTheme="minorEastAsia"/>
          <w:spacing w:val="3"/>
        </w:rPr>
        <w:t xml:space="preserve"> </w:t>
      </w:r>
      <w:r>
        <w:rPr>
          <w:rFonts w:asciiTheme="minorEastAsia" w:hAnsiTheme="minorEastAsia" w:eastAsiaTheme="minorEastAsia"/>
        </w:rPr>
        <w:t>编：</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6730F939">
      <w:pPr>
        <w:pStyle w:val="10"/>
        <w:tabs>
          <w:tab w:val="left" w:pos="4228"/>
          <w:tab w:val="left" w:pos="7975"/>
        </w:tabs>
        <w:ind w:left="0" w:leftChars="0" w:right="865" w:firstLine="440" w:firstLineChars="200"/>
        <w:jc w:val="both"/>
        <w:rPr>
          <w:rFonts w:hint="eastAsia" w:asciiTheme="minorEastAsia" w:hAnsiTheme="minorEastAsia" w:eastAsiaTheme="minorEastAsia"/>
          <w:lang w:eastAsia="zh-CN"/>
        </w:rPr>
      </w:pPr>
      <w:r>
        <w:rPr>
          <w:rFonts w:asciiTheme="minorEastAsia" w:hAnsiTheme="minorEastAsia" w:eastAsiaTheme="minorEastAsia"/>
        </w:rPr>
        <w:t>联 系</w:t>
      </w:r>
      <w:r>
        <w:rPr>
          <w:rFonts w:asciiTheme="minorEastAsia" w:hAnsiTheme="minorEastAsia" w:eastAsiaTheme="minorEastAsia"/>
          <w:spacing w:val="2"/>
        </w:rPr>
        <w:t xml:space="preserve"> </w:t>
      </w:r>
      <w:r>
        <w:rPr>
          <w:rFonts w:asciiTheme="minorEastAsia" w:hAnsiTheme="minorEastAsia" w:eastAsiaTheme="minorEastAsia"/>
        </w:rPr>
        <w:t>人：</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7A6D3974">
      <w:pPr>
        <w:pStyle w:val="10"/>
        <w:tabs>
          <w:tab w:val="left" w:pos="4228"/>
          <w:tab w:val="left" w:pos="7975"/>
        </w:tabs>
        <w:ind w:left="0" w:leftChars="0" w:right="865" w:firstLine="440" w:firstLineChars="200"/>
        <w:jc w:val="both"/>
        <w:rPr>
          <w:rFonts w:cs="Times New Roman" w:asciiTheme="minorEastAsia" w:hAnsiTheme="minorEastAsia"/>
          <w:sz w:val="20"/>
          <w:szCs w:val="20"/>
        </w:rPr>
      </w:pPr>
      <w:r>
        <w:rPr>
          <w:rFonts w:asciiTheme="minorEastAsia" w:hAnsiTheme="minorEastAsia" w:eastAsiaTheme="minorEastAsia"/>
        </w:rPr>
        <w:t xml:space="preserve">电   </w:t>
      </w:r>
      <w:r>
        <w:rPr>
          <w:rFonts w:asciiTheme="minorEastAsia" w:hAnsiTheme="minorEastAsia" w:eastAsiaTheme="minorEastAsia"/>
          <w:spacing w:val="3"/>
        </w:rPr>
        <w:t xml:space="preserve"> </w:t>
      </w:r>
      <w:r>
        <w:rPr>
          <w:rFonts w:asciiTheme="minorEastAsia" w:hAnsiTheme="minorEastAsia" w:eastAsiaTheme="minorEastAsia"/>
        </w:rPr>
        <w:t>话：</w:t>
      </w:r>
      <w:r>
        <w:rPr>
          <w:rFonts w:hint="eastAsia" w:cs="Times New Roman" w:asciiTheme="minorEastAsia" w:hAnsiTheme="minorEastAsia" w:eastAsiaTheme="minorEastAsia"/>
          <w:u w:val="single" w:color="000000"/>
          <w:lang w:eastAsia="zh-CN"/>
        </w:rPr>
        <w:t xml:space="preserve">                     </w:t>
      </w:r>
      <w:r>
        <w:rPr>
          <w:rFonts w:cs="Times New Roman" w:asciiTheme="minorEastAsia" w:hAnsiTheme="minorEastAsia" w:eastAsiaTheme="minorEastAsia"/>
        </w:rPr>
        <w:t xml:space="preserve"> </w:t>
      </w:r>
    </w:p>
    <w:p w14:paraId="6DE76B82">
      <w:pPr>
        <w:pStyle w:val="10"/>
        <w:tabs>
          <w:tab w:val="left" w:pos="4228"/>
          <w:tab w:val="left" w:pos="7975"/>
        </w:tabs>
        <w:ind w:left="0" w:leftChars="0" w:right="865" w:firstLine="440" w:firstLineChars="200"/>
        <w:jc w:val="both"/>
        <w:rPr>
          <w:rFonts w:hint="eastAsia" w:asciiTheme="minorEastAsia" w:hAnsiTheme="minorEastAsia" w:eastAsiaTheme="minorEastAsia"/>
          <w:lang w:val="en-US" w:eastAsia="zh-CN"/>
        </w:rPr>
      </w:pPr>
    </w:p>
    <w:p w14:paraId="2C815748">
      <w:pPr>
        <w:pStyle w:val="10"/>
        <w:tabs>
          <w:tab w:val="left" w:pos="4228"/>
          <w:tab w:val="left" w:pos="7975"/>
        </w:tabs>
        <w:ind w:left="0" w:leftChars="0" w:right="865" w:firstLine="440" w:firstLineChars="200"/>
        <w:jc w:val="both"/>
        <w:rPr>
          <w:rFonts w:hint="eastAsia" w:cs="Times New Roman" w:asciiTheme="minorEastAsia" w:hAnsiTheme="minorEastAsia" w:eastAsiaTheme="minorEastAsia"/>
          <w:lang w:eastAsia="zh-CN"/>
        </w:rPr>
      </w:pPr>
      <w:r>
        <w:rPr>
          <w:rFonts w:hint="eastAsia" w:asciiTheme="minorEastAsia" w:hAnsiTheme="minorEastAsia" w:eastAsiaTheme="minorEastAsia"/>
          <w:lang w:val="en-US" w:eastAsia="zh-CN"/>
        </w:rPr>
        <w:t>招标代理机构</w:t>
      </w:r>
      <w:r>
        <w:rPr>
          <w:rFonts w:asciiTheme="minorEastAsia" w:hAnsiTheme="minorEastAsia" w:eastAsiaTheme="minorEastAsia"/>
        </w:rPr>
        <w:t>：</w:t>
      </w:r>
      <w:r>
        <w:rPr>
          <w:rFonts w:hint="eastAsia" w:cs="Times New Roman" w:asciiTheme="minorEastAsia" w:hAnsiTheme="minorEastAsia" w:eastAsiaTheme="minorEastAsia"/>
          <w:u w:val="single" w:color="000000"/>
          <w:lang w:eastAsia="zh-CN"/>
        </w:rPr>
        <w:t xml:space="preserve">                  </w:t>
      </w:r>
    </w:p>
    <w:p w14:paraId="74BAFFFE">
      <w:pPr>
        <w:pStyle w:val="10"/>
        <w:tabs>
          <w:tab w:val="left" w:pos="4228"/>
          <w:tab w:val="left" w:pos="7975"/>
        </w:tabs>
        <w:ind w:left="0" w:leftChars="0" w:right="865" w:firstLine="440" w:firstLineChars="200"/>
        <w:jc w:val="both"/>
        <w:rPr>
          <w:rFonts w:cs="Times New Roman" w:asciiTheme="minorEastAsia" w:hAnsiTheme="minorEastAsia" w:eastAsiaTheme="minorEastAsia"/>
        </w:rPr>
      </w:pPr>
      <w:r>
        <w:rPr>
          <w:rFonts w:asciiTheme="minorEastAsia" w:hAnsiTheme="minorEastAsia" w:eastAsiaTheme="minorEastAsia"/>
        </w:rPr>
        <w:t xml:space="preserve">地   </w:t>
      </w:r>
      <w:r>
        <w:rPr>
          <w:rFonts w:asciiTheme="minorEastAsia" w:hAnsiTheme="minorEastAsia" w:eastAsiaTheme="minorEastAsia"/>
          <w:spacing w:val="3"/>
        </w:rPr>
        <w:t xml:space="preserve"> </w:t>
      </w:r>
      <w:r>
        <w:rPr>
          <w:rFonts w:asciiTheme="minorEastAsia" w:hAnsiTheme="minorEastAsia" w:eastAsiaTheme="minorEastAsia"/>
        </w:rPr>
        <w:t>址：</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55E56A1C">
      <w:pPr>
        <w:pStyle w:val="10"/>
        <w:tabs>
          <w:tab w:val="left" w:pos="4228"/>
          <w:tab w:val="left" w:pos="7975"/>
        </w:tabs>
        <w:ind w:left="0" w:leftChars="0" w:right="865" w:firstLine="440" w:firstLineChars="200"/>
        <w:jc w:val="both"/>
        <w:rPr>
          <w:rFonts w:hint="eastAsia" w:cs="Times New Roman" w:asciiTheme="minorEastAsia" w:hAnsiTheme="minorEastAsia" w:eastAsiaTheme="minorEastAsia"/>
          <w:lang w:eastAsia="zh-CN"/>
        </w:rPr>
      </w:pPr>
      <w:r>
        <w:rPr>
          <w:rFonts w:asciiTheme="minorEastAsia" w:hAnsiTheme="minorEastAsia" w:eastAsiaTheme="minorEastAsia"/>
        </w:rPr>
        <w:t xml:space="preserve">邮   </w:t>
      </w:r>
      <w:r>
        <w:rPr>
          <w:rFonts w:asciiTheme="minorEastAsia" w:hAnsiTheme="minorEastAsia" w:eastAsiaTheme="minorEastAsia"/>
          <w:spacing w:val="3"/>
        </w:rPr>
        <w:t xml:space="preserve"> </w:t>
      </w:r>
      <w:r>
        <w:rPr>
          <w:rFonts w:asciiTheme="minorEastAsia" w:hAnsiTheme="minorEastAsia" w:eastAsiaTheme="minorEastAsia"/>
        </w:rPr>
        <w:t>编：</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47497D38">
      <w:pPr>
        <w:pStyle w:val="10"/>
        <w:tabs>
          <w:tab w:val="left" w:pos="4228"/>
          <w:tab w:val="left" w:pos="7975"/>
        </w:tabs>
        <w:ind w:left="0" w:leftChars="0" w:right="865" w:firstLine="440" w:firstLineChars="200"/>
        <w:jc w:val="both"/>
        <w:rPr>
          <w:rFonts w:hint="eastAsia" w:asciiTheme="minorEastAsia" w:hAnsiTheme="minorEastAsia" w:eastAsiaTheme="minorEastAsia"/>
          <w:lang w:eastAsia="zh-CN"/>
        </w:rPr>
      </w:pPr>
      <w:r>
        <w:rPr>
          <w:rFonts w:asciiTheme="minorEastAsia" w:hAnsiTheme="minorEastAsia" w:eastAsiaTheme="minorEastAsia"/>
        </w:rPr>
        <w:t>联 系</w:t>
      </w:r>
      <w:r>
        <w:rPr>
          <w:rFonts w:asciiTheme="minorEastAsia" w:hAnsiTheme="minorEastAsia" w:eastAsiaTheme="minorEastAsia"/>
          <w:spacing w:val="2"/>
        </w:rPr>
        <w:t xml:space="preserve"> </w:t>
      </w:r>
      <w:r>
        <w:rPr>
          <w:rFonts w:asciiTheme="minorEastAsia" w:hAnsiTheme="minorEastAsia" w:eastAsiaTheme="minorEastAsia"/>
        </w:rPr>
        <w:t>人：</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647D33FB">
      <w:pPr>
        <w:pStyle w:val="10"/>
        <w:tabs>
          <w:tab w:val="left" w:pos="4228"/>
          <w:tab w:val="left" w:pos="7975"/>
        </w:tabs>
        <w:ind w:left="0" w:leftChars="0" w:right="865" w:firstLine="440" w:firstLineChars="200"/>
        <w:jc w:val="both"/>
        <w:rPr>
          <w:rFonts w:ascii="方正仿宋_GB2312" w:hAnsi="宋体" w:eastAsia="方正仿宋_GB2312"/>
          <w:color w:val="auto"/>
          <w:szCs w:val="21"/>
          <w:highlight w:val="none"/>
        </w:rPr>
      </w:pPr>
      <w:r>
        <w:rPr>
          <w:rFonts w:asciiTheme="minorEastAsia" w:hAnsiTheme="minorEastAsia" w:eastAsiaTheme="minorEastAsia"/>
        </w:rPr>
        <w:t xml:space="preserve">电   </w:t>
      </w:r>
      <w:r>
        <w:rPr>
          <w:rFonts w:asciiTheme="minorEastAsia" w:hAnsiTheme="minorEastAsia" w:eastAsiaTheme="minorEastAsia"/>
          <w:spacing w:val="3"/>
        </w:rPr>
        <w:t xml:space="preserve"> </w:t>
      </w:r>
      <w:r>
        <w:rPr>
          <w:rFonts w:asciiTheme="minorEastAsia" w:hAnsiTheme="minorEastAsia" w:eastAsiaTheme="minorEastAsia"/>
        </w:rPr>
        <w:t>话：</w:t>
      </w:r>
      <w:r>
        <w:rPr>
          <w:rFonts w:hint="eastAsia" w:cs="Times New Roman" w:asciiTheme="minorEastAsia" w:hAnsiTheme="minorEastAsia" w:eastAsiaTheme="minorEastAsia"/>
          <w:u w:val="single" w:color="000000"/>
          <w:lang w:eastAsia="zh-CN"/>
        </w:rPr>
        <w:t xml:space="preserve">                     </w:t>
      </w:r>
      <w:r>
        <w:rPr>
          <w:rFonts w:cs="Times New Roman" w:asciiTheme="minorEastAsia" w:hAnsiTheme="minorEastAsia" w:eastAsiaTheme="minorEastAsia"/>
        </w:rPr>
        <w:t xml:space="preserve"> </w:t>
      </w:r>
    </w:p>
    <w:p w14:paraId="1EFD75D8">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注： </w:t>
      </w:r>
    </w:p>
    <w:p w14:paraId="5536C3A8">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（1）项目名称、工程名称(工程量清单)约定为项目审批名称（以立项批复或可行性研究报告批复为准）。 </w:t>
      </w:r>
    </w:p>
    <w:p w14:paraId="181244F9">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（2）如未划分标段，“</w:t>
      </w:r>
      <w:r>
        <w:rPr>
          <w:rFonts w:hint="eastAsia" w:ascii="宋体" w:hAnsi="宋体" w:cs="宋体"/>
          <w:color w:val="FF0000"/>
          <w:sz w:val="18"/>
          <w:szCs w:val="18"/>
          <w:u w:val="single"/>
        </w:rPr>
        <w:t xml:space="preserve">   </w:t>
      </w:r>
      <w:r>
        <w:rPr>
          <w:rFonts w:hint="eastAsia" w:ascii="宋体" w:hAnsi="宋体" w:cs="宋体"/>
          <w:color w:val="FF0000"/>
          <w:sz w:val="18"/>
          <w:szCs w:val="18"/>
        </w:rPr>
        <w:t>标段”填写为“</w:t>
      </w:r>
      <w:r>
        <w:rPr>
          <w:rFonts w:hint="eastAsia" w:ascii="宋体" w:hAnsi="宋体" w:cs="宋体"/>
          <w:color w:val="FF0000"/>
          <w:sz w:val="18"/>
          <w:szCs w:val="18"/>
          <w:u w:val="single"/>
        </w:rPr>
        <w:t xml:space="preserve"> / </w:t>
      </w:r>
      <w:r>
        <w:rPr>
          <w:rFonts w:hint="eastAsia" w:ascii="宋体" w:hAnsi="宋体" w:cs="宋体"/>
          <w:color w:val="FF0000"/>
          <w:sz w:val="18"/>
          <w:szCs w:val="18"/>
        </w:rPr>
        <w:t xml:space="preserve">标段”，如划分标段，则填写标段序号 </w:t>
      </w:r>
    </w:p>
    <w:p w14:paraId="5F54CFE7">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（3）“项目概况及招标范围”应明确本次招标的详细范围和内容； </w:t>
      </w:r>
    </w:p>
    <w:p w14:paraId="74E4283F">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（4）如划分为两个及以上标段，应分别明确各标段</w:t>
      </w:r>
      <w:r>
        <w:rPr>
          <w:rFonts w:hint="eastAsia" w:ascii="宋体" w:hAnsi="宋体" w:cs="宋体"/>
          <w:color w:val="FF0000"/>
          <w:sz w:val="18"/>
          <w:szCs w:val="18"/>
          <w:lang w:eastAsia="zh-CN"/>
        </w:rPr>
        <w:t>的</w:t>
      </w:r>
      <w:r>
        <w:rPr>
          <w:rFonts w:hint="eastAsia" w:ascii="宋体" w:hAnsi="宋体" w:cs="宋体"/>
          <w:color w:val="FF0000"/>
          <w:sz w:val="18"/>
          <w:szCs w:val="18"/>
        </w:rPr>
        <w:t>具体内容、划分情况以及</w:t>
      </w:r>
      <w:r>
        <w:rPr>
          <w:rFonts w:hint="eastAsia" w:ascii="宋体" w:hAnsi="宋体" w:cs="宋体"/>
          <w:color w:val="FF0000"/>
          <w:sz w:val="18"/>
          <w:szCs w:val="18"/>
          <w:lang w:eastAsia="zh-CN"/>
        </w:rPr>
        <w:t>最高投标限价</w:t>
      </w:r>
      <w:r>
        <w:rPr>
          <w:rFonts w:hint="eastAsia" w:ascii="宋体" w:hAnsi="宋体" w:cs="宋体"/>
          <w:color w:val="FF0000"/>
          <w:sz w:val="18"/>
          <w:szCs w:val="18"/>
        </w:rPr>
        <w:t xml:space="preserve">。 </w:t>
      </w:r>
    </w:p>
    <w:p w14:paraId="3D364AEB">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（5）招标人对投标人的资质要求，应是国家对投标人资质的强制性规定。不是国家规定的必须具备的资质，不得作为参加投标的条件。 </w:t>
      </w:r>
    </w:p>
    <w:p w14:paraId="4F692684">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6）招标人设置的类似工程业绩指标仅限于工程规模、结构形式、施工工艺等方面，且应符合本次工程招标的内容。类似工程业绩中设置的投资额、面积、长度等规模性量化指标不得高于本次招标工程相应指标。类似工程业绩个数不得超过3个。 </w:t>
      </w:r>
    </w:p>
    <w:p w14:paraId="401057DB">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（7）招标人要求投标人须具备的资质一个项目（标段）为一个，因特殊情况需要两个以上资质的，应允许（接受）投标人组成联合体投标，且不得限制联合体成员数量小于资质类别数量。 </w:t>
      </w:r>
    </w:p>
    <w:p w14:paraId="6EBE0837">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     两个以上不同资质等级的单位实行联合共同承包的，联合体资质应符合法律法规的规定，并按照联合体协议约定的职责分工予以认定。 </w:t>
      </w:r>
    </w:p>
    <w:p w14:paraId="788FB603">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（8）标准招标文件中的“以上”包括本数。 </w:t>
      </w:r>
    </w:p>
    <w:p w14:paraId="4C4C9A90">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（9）近年已完成业绩是指业绩的完成时间在设定的年限内，招标文件不得另行增加“承接并完成”“中标并完成”“开工并完成”等表述。 </w:t>
      </w:r>
    </w:p>
    <w:p w14:paraId="70C590CA">
      <w:pPr>
        <w:spacing w:line="240" w:lineRule="auto"/>
        <w:jc w:val="both"/>
        <w:sectPr>
          <w:footerReference r:id="rId7" w:type="default"/>
          <w:pgSz w:w="12240" w:h="15840"/>
          <w:pgMar w:top="1134" w:right="1134" w:bottom="1134" w:left="1134" w:header="0" w:footer="921" w:gutter="0"/>
          <w:pgNumType w:fmt="decimal" w:start="1"/>
          <w:cols w:space="720" w:num="1"/>
        </w:sectPr>
      </w:pPr>
      <w:r>
        <w:rPr>
          <w:rFonts w:hint="eastAsia" w:ascii="宋体" w:hAnsi="宋体" w:cs="宋体"/>
          <w:color w:val="FF0000"/>
          <w:sz w:val="18"/>
          <w:szCs w:val="18"/>
        </w:rPr>
        <w:t>（10）第三章“评标办法”前附表注（4）中所称“业绩每类别”是指：勘察、设计、施工、工程总承包以及设备材料采购中的投标人业绩、投标设备（材料）业绩等，人员业绩的设定参照本要求。投标人可以同一业绩适用企业业绩和人员业绩要求或者多个类别业绩要求，招标文件不得设定“业绩不重复计分”等内容。</w:t>
      </w:r>
      <w:r>
        <w:rPr>
          <w:rFonts w:hint="eastAsia"/>
        </w:rPr>
        <w:br w:type="page"/>
      </w:r>
    </w:p>
    <w:p w14:paraId="49DBF957">
      <w:pPr>
        <w:pStyle w:val="3"/>
        <w:rPr>
          <w:rFonts w:ascii="宋体" w:hAnsi="宋体"/>
          <w:sz w:val="20"/>
          <w:szCs w:val="20"/>
        </w:rPr>
      </w:pPr>
      <w:bookmarkStart w:id="13" w:name="_Toc68889592"/>
      <w:bookmarkStart w:id="14" w:name="_Toc144974486"/>
      <w:bookmarkStart w:id="15" w:name="_Toc152042294"/>
      <w:bookmarkStart w:id="16" w:name="_Toc179632535"/>
      <w:bookmarkStart w:id="17" w:name="_Toc17999"/>
      <w:bookmarkStart w:id="18" w:name="_Toc246996165"/>
      <w:bookmarkStart w:id="19" w:name="_Toc247085679"/>
      <w:bookmarkStart w:id="20" w:name="_Toc21478"/>
      <w:bookmarkStart w:id="21" w:name="_Toc246996908"/>
      <w:bookmarkStart w:id="22" w:name="_Toc152045518"/>
      <w:bookmarkStart w:id="23" w:name="_Toc1443"/>
      <w:bookmarkStart w:id="24" w:name="_Toc18556"/>
      <w:bookmarkStart w:id="25" w:name="_Toc15995"/>
      <w:bookmarkStart w:id="26" w:name="_Toc17026"/>
      <w:bookmarkStart w:id="27" w:name="_Toc3082"/>
      <w:r>
        <w:rPr>
          <w:rFonts w:hint="eastAsia" w:ascii="Times New Roman" w:hAnsi="Times New Roman" w:eastAsia="宋体" w:cs="Times New Roman"/>
          <w:b/>
          <w:bCs/>
          <w:color w:val="auto"/>
          <w:sz w:val="36"/>
          <w:szCs w:val="44"/>
          <w:highlight w:val="none"/>
          <w:lang w:val="en-US" w:eastAsia="zh-CN"/>
        </w:rPr>
        <w:t>○</w:t>
      </w:r>
      <w:r>
        <w:rPr>
          <w:rFonts w:hint="eastAsia" w:ascii="宋体" w:hAnsi="宋体"/>
        </w:rPr>
        <w:t>第一章 投标邀请书</w:t>
      </w:r>
      <w:r>
        <w:rPr>
          <w:rFonts w:hint="eastAsia" w:ascii="宋体" w:hAnsi="宋体"/>
          <w:color w:val="FF0000"/>
        </w:rPr>
        <w:t>（适用于邀请招标）</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6B505351">
      <w:pPr>
        <w:pStyle w:val="10"/>
        <w:ind w:firstLine="1400" w:firstLineChars="500"/>
      </w:pPr>
      <w:r>
        <w:rPr>
          <w:rFonts w:hint="eastAsia"/>
          <w:sz w:val="28"/>
          <w:szCs w:val="28"/>
          <w:u w:val="single"/>
        </w:rPr>
        <w:t xml:space="preserve">        </w:t>
      </w:r>
      <w:r>
        <w:rPr>
          <w:rFonts w:hint="eastAsia"/>
          <w:color w:val="FF0000"/>
          <w:sz w:val="28"/>
          <w:szCs w:val="28"/>
        </w:rPr>
        <w:t>（项目名称）</w:t>
      </w:r>
      <w:r>
        <w:rPr>
          <w:rFonts w:hint="eastAsia"/>
          <w:sz w:val="28"/>
          <w:szCs w:val="28"/>
          <w:lang w:eastAsia="zh-CN"/>
        </w:rPr>
        <w:t>施工</w:t>
      </w:r>
      <w:r>
        <w:rPr>
          <w:rFonts w:hint="eastAsia"/>
          <w:sz w:val="28"/>
          <w:szCs w:val="28"/>
          <w:u w:val="single"/>
        </w:rPr>
        <w:t xml:space="preserve">   </w:t>
      </w:r>
      <w:r>
        <w:rPr>
          <w:rFonts w:hint="eastAsia"/>
          <w:sz w:val="28"/>
          <w:szCs w:val="28"/>
        </w:rPr>
        <w:t>标段招标公告</w:t>
      </w:r>
    </w:p>
    <w:p w14:paraId="3679CC9C">
      <w:pPr>
        <w:pStyle w:val="10"/>
        <w:ind w:firstLine="3640" w:firstLineChars="1300"/>
        <w:jc w:val="both"/>
        <w:rPr>
          <w:sz w:val="28"/>
          <w:szCs w:val="28"/>
        </w:rPr>
      </w:pPr>
      <w:r>
        <w:rPr>
          <w:rFonts w:hint="eastAsia"/>
          <w:sz w:val="28"/>
          <w:szCs w:val="28"/>
        </w:rPr>
        <w:t>投标邀请书</w:t>
      </w:r>
    </w:p>
    <w:p w14:paraId="19C2FD6E">
      <w:pPr>
        <w:spacing w:line="400" w:lineRule="exact"/>
        <w:rPr>
          <w:rFonts w:ascii="宋体" w:hAnsi="宋体"/>
          <w:szCs w:val="21"/>
        </w:rPr>
      </w:pPr>
      <w:r>
        <w:rPr>
          <w:rFonts w:ascii="宋体" w:hAnsi="宋体"/>
          <w:szCs w:val="21"/>
          <w:u w:val="single"/>
        </w:rPr>
        <w:t xml:space="preserve">               </w:t>
      </w:r>
      <w:r>
        <w:rPr>
          <w:rFonts w:ascii="宋体" w:hAnsi="宋体"/>
          <w:color w:val="FF0000"/>
          <w:szCs w:val="21"/>
        </w:rPr>
        <w:t>（被邀请单位名称）</w:t>
      </w:r>
      <w:r>
        <w:rPr>
          <w:rFonts w:ascii="宋体" w:hAnsi="宋体"/>
          <w:szCs w:val="21"/>
        </w:rPr>
        <w:t>：</w:t>
      </w:r>
    </w:p>
    <w:p w14:paraId="14FD6615">
      <w:pPr>
        <w:pStyle w:val="4"/>
        <w:bidi w:val="0"/>
      </w:pPr>
      <w:bookmarkStart w:id="28" w:name="_Toc16685"/>
      <w:bookmarkStart w:id="29" w:name="_Toc152045519"/>
      <w:bookmarkStart w:id="30" w:name="_Toc246996909"/>
      <w:bookmarkStart w:id="31" w:name="_Toc21992"/>
      <w:bookmarkStart w:id="32" w:name="_Toc24597"/>
      <w:bookmarkStart w:id="33" w:name="_Toc152042295"/>
      <w:bookmarkStart w:id="34" w:name="_Toc68889593"/>
      <w:bookmarkStart w:id="35" w:name="_Toc296602410"/>
      <w:bookmarkStart w:id="36" w:name="_Toc247085680"/>
      <w:bookmarkStart w:id="37" w:name="_Toc68800045"/>
      <w:bookmarkStart w:id="38" w:name="_Toc179632536"/>
      <w:bookmarkStart w:id="39" w:name="_Toc5721"/>
      <w:bookmarkStart w:id="40" w:name="_Toc246996166"/>
      <w:bookmarkStart w:id="41" w:name="_Toc144974487"/>
      <w:r>
        <w:t>1. 招标条件</w:t>
      </w:r>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7DA5AF17">
      <w:pPr>
        <w:pStyle w:val="10"/>
        <w:spacing w:before="0" w:after="0"/>
        <w:ind w:left="0" w:firstLine="220" w:firstLineChars="100"/>
        <w:jc w:val="both"/>
        <w:rPr>
          <w:rFonts w:ascii="宋体" w:hAnsi="宋体"/>
        </w:rPr>
      </w:pPr>
      <w:bookmarkStart w:id="42" w:name="_Toc296602411"/>
      <w:bookmarkStart w:id="43" w:name="_Toc247085681"/>
      <w:bookmarkStart w:id="44" w:name="_Toc152045520"/>
      <w:bookmarkStart w:id="45" w:name="_Toc144974488"/>
      <w:bookmarkStart w:id="46" w:name="_Toc246996910"/>
      <w:bookmarkStart w:id="47" w:name="_Toc246996167"/>
      <w:bookmarkStart w:id="48" w:name="_Toc179632537"/>
      <w:bookmarkStart w:id="49" w:name="_Toc152042296"/>
      <w:r>
        <w:rPr>
          <w:rFonts w:ascii="宋体" w:hAnsi="宋体"/>
        </w:rPr>
        <w:t>1.1 本</w:t>
      </w:r>
      <w:r>
        <w:rPr>
          <w:rFonts w:hint="eastAsia" w:ascii="宋体" w:hAnsi="宋体"/>
          <w:szCs w:val="21"/>
        </w:rPr>
        <w:t>招标</w:t>
      </w:r>
      <w:r>
        <w:rPr>
          <w:rFonts w:ascii="宋体" w:hAnsi="宋体"/>
        </w:rPr>
        <w:t>项目</w:t>
      </w:r>
      <w:r>
        <w:rPr>
          <w:rFonts w:ascii="宋体" w:hAnsi="宋体"/>
          <w:u w:val="single"/>
        </w:rPr>
        <w:t xml:space="preserve">        </w:t>
      </w:r>
      <w:r>
        <w:rPr>
          <w:rFonts w:ascii="宋体" w:hAnsi="宋体"/>
          <w:color w:val="FF0000"/>
        </w:rPr>
        <w:t>（项目名称）</w:t>
      </w:r>
      <w:r>
        <w:rPr>
          <w:rFonts w:hint="eastAsia" w:asciiTheme="minorEastAsia" w:hAnsiTheme="minorEastAsia"/>
          <w:lang w:eastAsia="zh-CN"/>
        </w:rPr>
        <w:t>施工</w:t>
      </w:r>
      <w:r>
        <w:rPr>
          <w:rFonts w:ascii="宋体" w:hAnsi="宋体"/>
          <w:u w:val="single"/>
        </w:rPr>
        <w:t xml:space="preserve">   </w:t>
      </w:r>
      <w:r>
        <w:rPr>
          <w:rFonts w:ascii="宋体" w:hAnsi="宋体"/>
        </w:rPr>
        <w:t>标段已由</w:t>
      </w:r>
      <w:r>
        <w:rPr>
          <w:rFonts w:ascii="宋体" w:hAnsi="宋体"/>
          <w:u w:val="single"/>
        </w:rPr>
        <w:t xml:space="preserve">        </w:t>
      </w:r>
      <w:r>
        <w:rPr>
          <w:rFonts w:ascii="宋体" w:hAnsi="宋体"/>
          <w:color w:val="FF0000"/>
        </w:rPr>
        <w:t>（项目审批、核准或备案机关名称）</w:t>
      </w:r>
      <w:r>
        <w:rPr>
          <w:rFonts w:ascii="宋体" w:hAnsi="宋体"/>
        </w:rPr>
        <w:t>以</w:t>
      </w:r>
      <w:r>
        <w:rPr>
          <w:rFonts w:ascii="宋体" w:hAnsi="宋体"/>
          <w:u w:val="single"/>
        </w:rPr>
        <w:t xml:space="preserve">          </w:t>
      </w:r>
      <w:r>
        <w:rPr>
          <w:rFonts w:ascii="宋体" w:hAnsi="宋体"/>
          <w:color w:val="FF0000"/>
        </w:rPr>
        <w:t>（批文名称及编号）</w:t>
      </w:r>
      <w:r>
        <w:rPr>
          <w:rFonts w:ascii="宋体" w:hAnsi="宋体"/>
        </w:rPr>
        <w:t>批准建设，项目业主为</w:t>
      </w:r>
      <w:r>
        <w:rPr>
          <w:rFonts w:ascii="宋体" w:hAnsi="宋体"/>
          <w:u w:val="single"/>
        </w:rPr>
        <w:t xml:space="preserve">        </w:t>
      </w:r>
      <w:r>
        <w:rPr>
          <w:rFonts w:ascii="宋体" w:hAnsi="宋体"/>
        </w:rPr>
        <w:t>，建设资金来自</w:t>
      </w:r>
      <w:r>
        <w:rPr>
          <w:rFonts w:ascii="宋体" w:hAnsi="宋体"/>
          <w:u w:val="single"/>
        </w:rPr>
        <w:t xml:space="preserve">        </w:t>
      </w:r>
      <w:r>
        <w:rPr>
          <w:rFonts w:ascii="宋体" w:hAnsi="宋体"/>
          <w:color w:val="FF0000"/>
        </w:rPr>
        <w:t>（资金来源）</w:t>
      </w:r>
      <w:r>
        <w:rPr>
          <w:rFonts w:ascii="宋体" w:hAnsi="宋体"/>
        </w:rPr>
        <w:t>，项目出资比例为</w:t>
      </w:r>
      <w:r>
        <w:rPr>
          <w:rFonts w:ascii="宋体" w:hAnsi="宋体"/>
          <w:u w:val="single"/>
        </w:rPr>
        <w:t xml:space="preserve">       </w:t>
      </w:r>
      <w:r>
        <w:rPr>
          <w:rFonts w:ascii="宋体" w:hAnsi="宋体"/>
        </w:rPr>
        <w:t>，招标人为</w:t>
      </w:r>
      <w:r>
        <w:rPr>
          <w:rFonts w:ascii="宋体" w:hAnsi="宋体"/>
          <w:u w:val="single"/>
        </w:rPr>
        <w:t xml:space="preserve">                </w:t>
      </w:r>
      <w:r>
        <w:rPr>
          <w:rFonts w:ascii="宋体" w:hAnsi="宋体"/>
        </w:rPr>
        <w:t>。项目已具备招标条件，现进行</w:t>
      </w:r>
      <w:r>
        <w:rPr>
          <w:rFonts w:hint="eastAsia" w:ascii="宋体" w:hAnsi="宋体"/>
        </w:rPr>
        <w:t>邀请</w:t>
      </w:r>
      <w:r>
        <w:rPr>
          <w:rFonts w:ascii="宋体" w:hAnsi="宋体"/>
        </w:rPr>
        <w:t xml:space="preserve">招标。 </w:t>
      </w:r>
    </w:p>
    <w:p w14:paraId="7A91D92F">
      <w:pPr>
        <w:pStyle w:val="10"/>
        <w:ind w:left="0" w:firstLine="220" w:firstLineChars="100"/>
        <w:jc w:val="both"/>
        <w:rPr>
          <w:rFonts w:hint="eastAsia" w:cs="Times New Roman" w:asciiTheme="minorEastAsia" w:hAnsiTheme="minorEastAsia"/>
        </w:rPr>
      </w:pPr>
      <w:r>
        <w:rPr>
          <w:rFonts w:ascii="宋体" w:hAnsi="宋体"/>
        </w:rPr>
        <w:t>1.2</w:t>
      </w:r>
      <w:r>
        <w:rPr>
          <w:rFonts w:cs="Times New Roman" w:asciiTheme="minorEastAsia" w:hAnsiTheme="minorEastAsia"/>
        </w:rPr>
        <w:t>本招标项目由</w:t>
      </w:r>
      <w:r>
        <w:rPr>
          <w:rFonts w:cs="Times New Roman" w:asciiTheme="minorEastAsia" w:hAnsiTheme="minorEastAsia"/>
          <w:u w:val="single"/>
        </w:rPr>
        <w:t xml:space="preserve">   </w:t>
      </w:r>
      <w:r>
        <w:rPr>
          <w:rFonts w:hint="eastAsia" w:cs="Times New Roman" w:asciiTheme="minorEastAsia" w:hAnsiTheme="minorEastAsia"/>
          <w:u w:val="single"/>
        </w:rPr>
        <w:t xml:space="preserve">      </w:t>
      </w:r>
      <w:r>
        <w:rPr>
          <w:rFonts w:cs="Times New Roman" w:asciiTheme="minorEastAsia" w:hAnsiTheme="minorEastAsia"/>
          <w:u w:val="single"/>
        </w:rPr>
        <w:t xml:space="preserve">  </w:t>
      </w:r>
      <w:r>
        <w:rPr>
          <w:rFonts w:cs="Times New Roman" w:asciiTheme="minorEastAsia" w:hAnsiTheme="minorEastAsia"/>
          <w:color w:val="FF0000"/>
        </w:rPr>
        <w:t>（核准机关名称）</w:t>
      </w:r>
      <w:r>
        <w:rPr>
          <w:rFonts w:cs="Times New Roman" w:asciiTheme="minorEastAsia" w:hAnsiTheme="minorEastAsia"/>
        </w:rPr>
        <w:t>核准（招标事项核准文号为</w:t>
      </w:r>
      <w:r>
        <w:rPr>
          <w:rFonts w:cs="Times New Roman" w:asciiTheme="minorEastAsia" w:hAnsiTheme="minorEastAsia"/>
          <w:u w:val="single"/>
        </w:rPr>
        <w:t xml:space="preserve">     </w:t>
      </w:r>
      <w:r>
        <w:rPr>
          <w:rFonts w:hint="eastAsia" w:cs="Times New Roman" w:asciiTheme="minorEastAsia" w:hAnsiTheme="minorEastAsia"/>
          <w:u w:val="single"/>
        </w:rPr>
        <w:t xml:space="preserve">     </w:t>
      </w:r>
      <w:r>
        <w:rPr>
          <w:rFonts w:cs="Times New Roman" w:asciiTheme="minorEastAsia" w:hAnsiTheme="minorEastAsia"/>
        </w:rPr>
        <w:t>）的招标组织形式为</w:t>
      </w:r>
      <w:r>
        <w:rPr>
          <w:rFonts w:hint="eastAsia"/>
        </w:rPr>
        <w:t>○</w:t>
      </w:r>
      <w:r>
        <w:rPr>
          <w:rFonts w:cs="Times New Roman" w:asciiTheme="minorEastAsia" w:hAnsiTheme="minorEastAsia"/>
        </w:rPr>
        <w:t>自行招标</w:t>
      </w:r>
      <w:r>
        <w:rPr>
          <w:rFonts w:hint="eastAsia"/>
        </w:rPr>
        <w:t>○</w:t>
      </w:r>
      <w:r>
        <w:rPr>
          <w:rFonts w:cs="Times New Roman" w:asciiTheme="minorEastAsia" w:hAnsiTheme="minorEastAsia"/>
        </w:rPr>
        <w:t>委托招标。招标人选择的招标代理机构是</w:t>
      </w:r>
      <w:r>
        <w:rPr>
          <w:rFonts w:hint="eastAsia" w:cs="Times New Roman" w:asciiTheme="minorEastAsia" w:hAnsiTheme="minorEastAsia"/>
          <w:u w:val="single"/>
        </w:rPr>
        <w:t xml:space="preserve">           </w:t>
      </w:r>
      <w:r>
        <w:rPr>
          <w:rFonts w:hint="eastAsia" w:cs="Times New Roman" w:asciiTheme="minorEastAsia" w:hAnsiTheme="minorEastAsia"/>
        </w:rPr>
        <w:t>。</w:t>
      </w:r>
      <w:r>
        <w:rPr>
          <w:rFonts w:ascii="宋体" w:hAnsi="宋体" w:cs="宋体"/>
          <w:color w:val="FF0000"/>
          <w:szCs w:val="21"/>
        </w:rPr>
        <w:t>注：若为自行招标则代理机构填"/"。</w:t>
      </w:r>
    </w:p>
    <w:p w14:paraId="7C420B30">
      <w:pPr>
        <w:ind w:firstLine="220" w:firstLineChars="100"/>
        <w:jc w:val="left"/>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1.3本标段行政监督部门为</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，采用“评定分离”方式进行评标定标。</w:t>
      </w:r>
    </w:p>
    <w:p w14:paraId="603C3B36">
      <w:pPr>
        <w:spacing w:before="120" w:after="120"/>
        <w:ind w:firstLine="220" w:firstLineChars="100"/>
        <w:jc w:val="left"/>
        <w:rPr>
          <w:rFonts w:hint="eastAsia" w:ascii="宋体" w:hAnsi="宋体" w:eastAsia="宋体" w:cs="Times New Roman"/>
          <w:kern w:val="2"/>
          <w:sz w:val="22"/>
          <w:szCs w:val="21"/>
          <w:lang w:val="en-US" w:eastAsia="zh-CN" w:bidi="ar-SA"/>
        </w:rPr>
      </w:pPr>
      <w:r>
        <w:rPr>
          <w:rFonts w:hint="eastAsia" w:ascii="宋体" w:hAnsi="宋体" w:cs="Times New Roman"/>
          <w:kern w:val="2"/>
          <w:sz w:val="22"/>
          <w:szCs w:val="21"/>
          <w:lang w:val="en-US" w:eastAsia="zh-CN" w:bidi="ar-SA"/>
        </w:rPr>
        <w:t>□</w:t>
      </w:r>
      <w:r>
        <w:rPr>
          <w:rFonts w:hint="eastAsia" w:ascii="宋体" w:hAnsi="宋体" w:eastAsia="宋体" w:cs="Times New Roman"/>
          <w:kern w:val="2"/>
          <w:sz w:val="22"/>
          <w:szCs w:val="21"/>
          <w:lang w:val="en-US" w:eastAsia="zh-CN" w:bidi="ar-SA"/>
        </w:rPr>
        <w:t>1.4 本标段技术标采用“暗标盲评”</w:t>
      </w:r>
      <w:r>
        <w:rPr>
          <w:rFonts w:hint="default" w:eastAsia="宋体" w:cs="Times New Roman" w:asciiTheme="minorEastAsia" w:hAnsiTheme="minorEastAsia"/>
          <w:kern w:val="2"/>
          <w:sz w:val="22"/>
          <w:szCs w:val="21"/>
          <w:lang w:val="en-US" w:eastAsia="zh-CN" w:bidi="ar-SA"/>
        </w:rPr>
        <w:t>方式</w:t>
      </w:r>
      <w:r>
        <w:rPr>
          <w:rFonts w:hint="eastAsia" w:ascii="宋体" w:hAnsi="宋体" w:eastAsia="宋体" w:cs="Times New Roman"/>
          <w:kern w:val="2"/>
          <w:sz w:val="22"/>
          <w:szCs w:val="21"/>
          <w:lang w:val="en-US" w:eastAsia="zh-CN" w:bidi="ar-SA"/>
        </w:rPr>
        <w:t>进行评审</w:t>
      </w:r>
      <w:r>
        <w:rPr>
          <w:rFonts w:hint="eastAsia" w:ascii="宋体" w:hAnsi="宋体" w:cs="Times New Roman"/>
          <w:color w:val="FF0000"/>
          <w:kern w:val="2"/>
          <w:sz w:val="22"/>
          <w:szCs w:val="22"/>
          <w:lang w:val="en-US" w:eastAsia="zh-CN" w:bidi="ar-SA"/>
        </w:rPr>
        <w:t>（仅适用于综合评分法）</w:t>
      </w:r>
      <w:r>
        <w:rPr>
          <w:rFonts w:hint="eastAsia" w:ascii="宋体" w:hAnsi="宋体" w:eastAsia="宋体" w:cs="Times New Roman"/>
          <w:kern w:val="2"/>
          <w:sz w:val="22"/>
          <w:szCs w:val="21"/>
          <w:lang w:val="en-US" w:eastAsia="zh-CN" w:bidi="ar-SA"/>
        </w:rPr>
        <w:t>。</w:t>
      </w:r>
    </w:p>
    <w:p w14:paraId="2FCCA46A">
      <w:pPr>
        <w:pStyle w:val="4"/>
        <w:rPr>
          <w:rFonts w:ascii="宋体" w:hAnsi="宋体"/>
          <w:szCs w:val="32"/>
        </w:rPr>
      </w:pPr>
      <w:bookmarkStart w:id="50" w:name="_Toc19112"/>
      <w:bookmarkStart w:id="51" w:name="_Toc68889594"/>
      <w:bookmarkStart w:id="52" w:name="_Toc14866"/>
      <w:bookmarkStart w:id="53" w:name="_Toc27543"/>
      <w:bookmarkStart w:id="54" w:name="_Toc9465"/>
      <w:bookmarkStart w:id="55" w:name="_Toc68800046"/>
      <w:r>
        <w:rPr>
          <w:rFonts w:ascii="宋体" w:hAnsi="宋体"/>
          <w:szCs w:val="32"/>
        </w:rPr>
        <w:t>2. 项目概况与招标范围</w:t>
      </w:r>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718D223">
      <w:pPr>
        <w:pStyle w:val="10"/>
        <w:spacing w:before="0" w:after="0"/>
        <w:ind w:left="0" w:firstLine="220" w:firstLineChars="100"/>
        <w:jc w:val="both"/>
        <w:rPr>
          <w:rFonts w:hint="eastAsia"/>
          <w:u w:color="000000"/>
        </w:rPr>
      </w:pPr>
      <w:r>
        <w:rPr>
          <w:rFonts w:hint="eastAsia"/>
          <w:u w:color="000000"/>
        </w:rPr>
        <w:t>2.1 建设地点：</w:t>
      </w:r>
      <w:r>
        <w:rPr>
          <w:rFonts w:hint="eastAsia"/>
          <w:u w:val="single" w:color="auto"/>
        </w:rPr>
        <w:t xml:space="preserve">                                         </w:t>
      </w:r>
    </w:p>
    <w:p w14:paraId="6796FE87">
      <w:pPr>
        <w:pStyle w:val="10"/>
        <w:spacing w:before="0" w:after="0"/>
        <w:ind w:left="0" w:firstLine="220" w:firstLineChars="100"/>
        <w:jc w:val="both"/>
        <w:rPr>
          <w:rFonts w:hint="eastAsia"/>
          <w:u w:color="000000"/>
        </w:rPr>
      </w:pPr>
      <w:r>
        <w:rPr>
          <w:rFonts w:hint="eastAsia"/>
          <w:u w:color="000000"/>
        </w:rPr>
        <w:t>2.2 建设内容及规模：</w:t>
      </w:r>
      <w:r>
        <w:rPr>
          <w:rFonts w:hint="eastAsia"/>
          <w:u w:val="single" w:color="auto"/>
        </w:rPr>
        <w:t xml:space="preserve">                                   </w:t>
      </w:r>
    </w:p>
    <w:p w14:paraId="3B4F2712">
      <w:pPr>
        <w:pStyle w:val="10"/>
        <w:spacing w:before="0" w:after="0"/>
        <w:ind w:left="0" w:firstLine="220" w:firstLineChars="100"/>
        <w:jc w:val="both"/>
        <w:rPr>
          <w:rFonts w:hint="eastAsia"/>
          <w:u w:color="000000"/>
        </w:rPr>
      </w:pPr>
      <w:r>
        <w:rPr>
          <w:rFonts w:hint="eastAsia"/>
          <w:u w:color="000000"/>
        </w:rPr>
        <w:t>2.3 招标范围：</w:t>
      </w:r>
      <w:r>
        <w:rPr>
          <w:rFonts w:hint="eastAsia"/>
          <w:u w:val="single" w:color="auto"/>
        </w:rPr>
        <w:t xml:space="preserve">                                         </w:t>
      </w:r>
    </w:p>
    <w:p w14:paraId="2CB81264">
      <w:pPr>
        <w:pStyle w:val="10"/>
        <w:spacing w:before="0" w:after="0"/>
        <w:ind w:left="0" w:firstLine="220" w:firstLineChars="100"/>
        <w:jc w:val="both"/>
        <w:rPr>
          <w:rFonts w:hint="eastAsia"/>
          <w:u w:color="000000"/>
        </w:rPr>
      </w:pPr>
      <w:r>
        <w:rPr>
          <w:rFonts w:hint="eastAsia"/>
          <w:u w:color="000000"/>
        </w:rPr>
        <w:t>2.4 计划工期：</w:t>
      </w:r>
      <w:r>
        <w:rPr>
          <w:rFonts w:hint="eastAsia"/>
          <w:u w:val="single" w:color="auto"/>
        </w:rPr>
        <w:t xml:space="preserve">                                         </w:t>
      </w:r>
    </w:p>
    <w:p w14:paraId="5011D9B3">
      <w:pPr>
        <w:pStyle w:val="10"/>
        <w:spacing w:before="0" w:after="0"/>
        <w:ind w:left="0" w:firstLine="220" w:firstLineChars="100"/>
        <w:jc w:val="both"/>
        <w:rPr>
          <w:rFonts w:hint="eastAsia"/>
          <w:u w:color="000000"/>
        </w:rPr>
      </w:pPr>
      <w:r>
        <w:rPr>
          <w:rFonts w:hint="eastAsia"/>
          <w:u w:color="000000"/>
        </w:rPr>
        <w:t>2.5 质量目标：</w:t>
      </w:r>
      <w:r>
        <w:rPr>
          <w:rFonts w:hint="eastAsia"/>
          <w:u w:val="single" w:color="auto"/>
        </w:rPr>
        <w:t xml:space="preserve">                                         </w:t>
      </w:r>
    </w:p>
    <w:p w14:paraId="7D7A66F3">
      <w:pPr>
        <w:pStyle w:val="10"/>
        <w:spacing w:before="0" w:after="0"/>
        <w:ind w:left="0" w:firstLine="220" w:firstLineChars="100"/>
        <w:jc w:val="both"/>
        <w:rPr>
          <w:rFonts w:hint="eastAsia"/>
          <w:u w:color="000000"/>
        </w:rPr>
      </w:pPr>
      <w:r>
        <w:rPr>
          <w:rFonts w:hint="eastAsia"/>
          <w:u w:color="000000"/>
        </w:rPr>
        <w:t>2.6 标段划分：</w:t>
      </w:r>
      <w:r>
        <w:rPr>
          <w:rFonts w:hint="eastAsia"/>
          <w:u w:val="single" w:color="auto"/>
        </w:rPr>
        <w:t xml:space="preserve">                                         </w:t>
      </w:r>
    </w:p>
    <w:p w14:paraId="07D7663E">
      <w:pPr>
        <w:pStyle w:val="10"/>
        <w:spacing w:before="0" w:after="0"/>
        <w:ind w:left="0" w:firstLine="220" w:firstLineChars="100"/>
        <w:jc w:val="both"/>
        <w:rPr>
          <w:rFonts w:hint="eastAsia"/>
          <w:u w:color="000000"/>
        </w:rPr>
      </w:pPr>
      <w:r>
        <w:rPr>
          <w:rFonts w:hint="eastAsia"/>
          <w:color w:val="FF0000"/>
          <w:u w:color="000000"/>
        </w:rPr>
        <w:t>注：说明本次招标项目的建设地点、规模、</w:t>
      </w:r>
      <w:r>
        <w:rPr>
          <w:rFonts w:hint="eastAsia"/>
          <w:color w:val="FF0000"/>
        </w:rPr>
        <w:t>招标范围、计划工期</w:t>
      </w:r>
      <w:r>
        <w:rPr>
          <w:rFonts w:hint="eastAsia"/>
          <w:color w:val="FF0000"/>
          <w:u w:color="000000"/>
        </w:rPr>
        <w:t>、质量标准、标段划分(如果有)等。</w:t>
      </w:r>
    </w:p>
    <w:p w14:paraId="322628BA">
      <w:pPr>
        <w:pStyle w:val="4"/>
      </w:pPr>
      <w:bookmarkStart w:id="56" w:name="_Toc575"/>
      <w:bookmarkStart w:id="57" w:name="_Toc11504"/>
      <w:bookmarkStart w:id="58" w:name="_Toc152045521"/>
      <w:bookmarkStart w:id="59" w:name="_Toc296602412"/>
      <w:bookmarkStart w:id="60" w:name="_Toc144974489"/>
      <w:bookmarkStart w:id="61" w:name="_Toc17654"/>
      <w:bookmarkStart w:id="62" w:name="_Toc246996168"/>
      <w:bookmarkStart w:id="63" w:name="_Toc7833"/>
      <w:bookmarkStart w:id="64" w:name="_Toc179632538"/>
      <w:bookmarkStart w:id="65" w:name="_Toc247085682"/>
      <w:bookmarkStart w:id="66" w:name="_Toc152042297"/>
      <w:bookmarkStart w:id="67" w:name="_Toc68800047"/>
      <w:bookmarkStart w:id="68" w:name="_Toc246996911"/>
      <w:bookmarkStart w:id="69" w:name="_Toc68889595"/>
      <w:r>
        <w:t>3. 投标人资格要求</w:t>
      </w:r>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3A2D038F">
      <w:pPr>
        <w:bidi w:val="0"/>
        <w:spacing w:line="276" w:lineRule="auto"/>
        <w:ind w:left="220" w:leftChars="100" w:firstLine="0" w:firstLineChars="0"/>
        <w:rPr>
          <w:rFonts w:hint="eastAsia" w:ascii="宋体" w:hAnsi="宋体"/>
        </w:rPr>
      </w:pPr>
      <w:bookmarkStart w:id="70" w:name="_Toc144974493"/>
      <w:bookmarkStart w:id="71" w:name="_Toc296602416"/>
      <w:bookmarkStart w:id="72" w:name="_Toc152042301"/>
      <w:bookmarkStart w:id="73" w:name="_Toc246996915"/>
      <w:bookmarkStart w:id="74" w:name="_Toc179632542"/>
      <w:bookmarkStart w:id="75" w:name="_Toc152045525"/>
      <w:bookmarkStart w:id="76" w:name="_Toc247085686"/>
      <w:bookmarkStart w:id="77" w:name="_Toc246996172"/>
      <w:r>
        <w:rPr>
          <w:rFonts w:hint="eastAsia" w:ascii="宋体" w:hAnsi="宋体" w:cs="Times New Roman"/>
          <w:szCs w:val="21"/>
        </w:rPr>
        <w:t xml:space="preserve">3.1 </w:t>
      </w:r>
      <w:r>
        <w:rPr>
          <w:rFonts w:hint="eastAsia" w:ascii="宋体" w:hAnsi="宋体"/>
        </w:rPr>
        <w:t xml:space="preserve">本次招标要求投标人： </w:t>
      </w:r>
    </w:p>
    <w:p w14:paraId="1BD71EB8">
      <w:pPr>
        <w:bidi w:val="0"/>
        <w:spacing w:line="276" w:lineRule="auto"/>
        <w:ind w:left="220" w:leftChars="100" w:firstLine="440" w:firstLineChars="200"/>
        <w:rPr>
          <w:rFonts w:hint="eastAsia" w:ascii="宋体" w:hAnsi="宋体"/>
        </w:rPr>
      </w:pPr>
      <w:r>
        <w:rPr>
          <w:rFonts w:hint="eastAsia" w:ascii="宋体" w:hAnsi="宋体"/>
        </w:rPr>
        <w:t>3.1.</w:t>
      </w:r>
      <w:r>
        <w:rPr>
          <w:rFonts w:hint="eastAsia" w:ascii="宋体" w:hAnsi="宋体"/>
          <w:lang w:val="en-US" w:eastAsia="zh-CN"/>
        </w:rPr>
        <w:t>1</w:t>
      </w:r>
      <w:r>
        <w:rPr>
          <w:rFonts w:hint="eastAsia" w:ascii="宋体" w:hAnsi="宋体"/>
        </w:rPr>
        <w:t>须具有</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none"/>
          <w:lang w:val="en-US" w:eastAsia="zh-CN"/>
        </w:rPr>
        <w:t>资质；</w:t>
      </w:r>
    </w:p>
    <w:p w14:paraId="0027AFC7">
      <w:pPr>
        <w:bidi w:val="0"/>
        <w:spacing w:line="276" w:lineRule="auto"/>
        <w:ind w:left="220" w:leftChars="100" w:firstLine="440" w:firstLineChars="200"/>
        <w:rPr>
          <w:rFonts w:hint="eastAsia" w:ascii="宋体" w:hAnsi="宋体"/>
        </w:rPr>
      </w:pPr>
      <w:r>
        <w:rPr>
          <w:rFonts w:hint="eastAsia" w:ascii="宋体" w:hAnsi="宋体"/>
        </w:rPr>
        <w:t>3.1.</w:t>
      </w:r>
      <w:r>
        <w:rPr>
          <w:rFonts w:hint="eastAsia" w:ascii="宋体" w:hAnsi="宋体"/>
          <w:lang w:val="en-US" w:eastAsia="zh-CN"/>
        </w:rPr>
        <w:t>2</w:t>
      </w:r>
      <w:r>
        <w:rPr>
          <w:rFonts w:hint="eastAsia" w:ascii="宋体" w:hAnsi="宋体"/>
        </w:rPr>
        <w:t xml:space="preserve"> </w:t>
      </w:r>
      <w:r>
        <w:rPr>
          <w:rFonts w:hint="eastAsia" w:ascii="宋体" w:hAnsi="宋体"/>
          <w:lang w:val="en-US" w:eastAsia="zh-CN"/>
        </w:rPr>
        <w:t>信誉要求：</w:t>
      </w:r>
      <w:r>
        <w:rPr>
          <w:rFonts w:hint="eastAsia" w:ascii="宋体" w:hAnsi="宋体" w:eastAsia="宋体" w:cstheme="minorBidi"/>
          <w:sz w:val="22"/>
          <w:szCs w:val="24"/>
        </w:rPr>
        <w:t>不存在投标人须知第1.4.3项规定的限制投标的情形；</w:t>
      </w:r>
    </w:p>
    <w:p w14:paraId="15F4C2E4">
      <w:pPr>
        <w:ind w:left="220" w:leftChars="100" w:firstLine="440" w:firstLineChars="200"/>
        <w:rPr>
          <w:rFonts w:hint="eastAsia" w:ascii="宋体" w:hAnsi="宋体" w:eastAsia="宋体" w:cstheme="minorBidi"/>
          <w:i w:val="0"/>
          <w:iCs w:val="0"/>
          <w:caps w:val="0"/>
          <w:spacing w:val="0"/>
          <w:sz w:val="22"/>
          <w:szCs w:val="24"/>
          <w:shd w:val="clear"/>
        </w:rPr>
      </w:pPr>
      <w:r>
        <w:rPr>
          <w:rFonts w:hint="eastAsia" w:ascii="宋体" w:hAnsi="宋体"/>
          <w:lang w:val="en-US" w:eastAsia="zh-CN"/>
        </w:rPr>
        <w:t xml:space="preserve">3.1.3 </w:t>
      </w:r>
      <w:r>
        <w:rPr>
          <w:rFonts w:hint="eastAsia" w:ascii="宋体" w:hAnsi="宋体" w:eastAsia="宋体" w:cstheme="minorBidi"/>
          <w:i w:val="0"/>
          <w:iCs w:val="0"/>
          <w:caps w:val="0"/>
          <w:spacing w:val="0"/>
          <w:sz w:val="22"/>
          <w:szCs w:val="24"/>
          <w:shd w:val="clear"/>
        </w:rPr>
        <w:t>拟派项目经理（项目负责人）具有</w:t>
      </w:r>
      <w:r>
        <w:rPr>
          <w:rFonts w:hint="eastAsia" w:ascii="宋体" w:hAnsi="宋体" w:eastAsia="宋体" w:cstheme="minorBidi"/>
          <w:i w:val="0"/>
          <w:iCs w:val="0"/>
          <w:caps w:val="0"/>
          <w:spacing w:val="0"/>
          <w:sz w:val="22"/>
          <w:szCs w:val="24"/>
          <w:u w:val="single"/>
          <w:shd w:val="clear"/>
          <w:lang w:val="en-US" w:eastAsia="zh-CN"/>
        </w:rPr>
        <w:t xml:space="preserve">      </w:t>
      </w:r>
      <w:r>
        <w:rPr>
          <w:rFonts w:hint="eastAsia" w:ascii="宋体" w:hAnsi="宋体" w:eastAsia="宋体" w:cstheme="minorBidi"/>
          <w:i w:val="0"/>
          <w:iCs w:val="0"/>
          <w:caps w:val="0"/>
          <w:spacing w:val="0"/>
          <w:sz w:val="22"/>
          <w:szCs w:val="24"/>
          <w:shd w:val="clear"/>
        </w:rPr>
        <w:t>专业</w:t>
      </w:r>
      <w:r>
        <w:rPr>
          <w:rFonts w:hint="eastAsia" w:ascii="宋体" w:hAnsi="宋体" w:eastAsia="宋体" w:cstheme="minorBidi"/>
          <w:i w:val="0"/>
          <w:iCs w:val="0"/>
          <w:caps w:val="0"/>
          <w:spacing w:val="0"/>
          <w:sz w:val="22"/>
          <w:szCs w:val="24"/>
          <w:u w:val="single"/>
          <w:shd w:val="clear"/>
          <w:lang w:val="en-US" w:eastAsia="zh-CN"/>
        </w:rPr>
        <w:t xml:space="preserve">   </w:t>
      </w:r>
      <w:r>
        <w:rPr>
          <w:rFonts w:hint="eastAsia" w:ascii="宋体" w:hAnsi="宋体" w:eastAsia="宋体" w:cstheme="minorBidi"/>
          <w:i w:val="0"/>
          <w:iCs w:val="0"/>
          <w:caps w:val="0"/>
          <w:spacing w:val="0"/>
          <w:sz w:val="22"/>
          <w:szCs w:val="24"/>
          <w:shd w:val="clear"/>
        </w:rPr>
        <w:t>级或以上注册建造师证书，须具备有效的安全生产考核合格B证，</w:t>
      </w:r>
      <w:r>
        <w:rPr>
          <w:rFonts w:hint="eastAsia" w:ascii="宋体" w:hAnsi="宋体" w:cstheme="minorBidi"/>
          <w:i w:val="0"/>
          <w:iCs w:val="0"/>
          <w:caps w:val="0"/>
          <w:spacing w:val="0"/>
          <w:sz w:val="22"/>
          <w:szCs w:val="24"/>
          <w:u w:val="single"/>
          <w:shd w:val="clear"/>
          <w:lang w:eastAsia="zh-CN"/>
        </w:rPr>
        <w:t xml:space="preserve"> </w:t>
      </w:r>
      <w:r>
        <w:rPr>
          <w:rFonts w:hint="eastAsia" w:ascii="宋体" w:hAnsi="宋体" w:cstheme="minorBidi"/>
          <w:i w:val="0"/>
          <w:iCs w:val="0"/>
          <w:caps w:val="0"/>
          <w:spacing w:val="0"/>
          <w:sz w:val="22"/>
          <w:szCs w:val="24"/>
          <w:u w:val="single"/>
          <w:shd w:val="clear"/>
          <w:lang w:val="en-US" w:eastAsia="zh-CN"/>
        </w:rPr>
        <w:t xml:space="preserve">                </w:t>
      </w:r>
      <w:r>
        <w:rPr>
          <w:rFonts w:hint="eastAsia" w:ascii="宋体" w:hAnsi="宋体" w:eastAsia="宋体" w:cstheme="minorBidi"/>
          <w:i w:val="0"/>
          <w:iCs w:val="0"/>
          <w:caps w:val="0"/>
          <w:color w:val="FF0000"/>
          <w:spacing w:val="0"/>
          <w:sz w:val="22"/>
          <w:szCs w:val="24"/>
          <w:shd w:val="clear"/>
        </w:rPr>
        <w:t>（业绩要求）</w:t>
      </w:r>
      <w:r>
        <w:rPr>
          <w:rFonts w:hint="eastAsia" w:ascii="宋体" w:hAnsi="宋体" w:eastAsia="宋体" w:cstheme="minorBidi"/>
          <w:i w:val="0"/>
          <w:iCs w:val="0"/>
          <w:caps w:val="0"/>
          <w:spacing w:val="0"/>
          <w:sz w:val="22"/>
          <w:szCs w:val="24"/>
          <w:shd w:val="clear"/>
        </w:rPr>
        <w:t>，须为本单位人员（若为联合体投标，须为联合体牵头人人员）。</w:t>
      </w:r>
    </w:p>
    <w:p w14:paraId="59D72635">
      <w:pPr>
        <w:pStyle w:val="11"/>
        <w:spacing w:line="276" w:lineRule="auto"/>
        <w:ind w:left="220" w:leftChars="100" w:firstLine="440" w:firstLineChars="200"/>
        <w:rPr>
          <w:rFonts w:hint="eastAsia" w:ascii="宋体" w:hAnsi="宋体" w:cstheme="minorBidi"/>
          <w:sz w:val="22"/>
          <w:szCs w:val="24"/>
          <w:lang w:eastAsia="zh-CN"/>
        </w:rPr>
      </w:pPr>
      <w:r>
        <w:rPr>
          <w:rFonts w:hint="eastAsia" w:ascii="宋体" w:hAnsi="宋体"/>
          <w:lang w:val="en-US" w:eastAsia="zh-CN"/>
        </w:rPr>
        <w:t xml:space="preserve">3.1.4 </w:t>
      </w:r>
      <w:r>
        <w:rPr>
          <w:rFonts w:hint="eastAsia" w:ascii="宋体" w:hAnsi="宋体" w:eastAsia="宋体" w:cstheme="minorBidi"/>
          <w:sz w:val="22"/>
          <w:szCs w:val="24"/>
        </w:rPr>
        <w:t>财务要求</w:t>
      </w:r>
      <w:r>
        <w:rPr>
          <w:rFonts w:hint="eastAsia" w:ascii="宋体" w:hAnsi="宋体" w:cstheme="minorBidi"/>
          <w:sz w:val="22"/>
          <w:szCs w:val="24"/>
          <w:lang w:eastAsia="zh-CN"/>
        </w:rPr>
        <w:t>：</w:t>
      </w:r>
    </w:p>
    <w:p w14:paraId="3A67D253">
      <w:pPr>
        <w:pStyle w:val="11"/>
        <w:spacing w:line="276" w:lineRule="auto"/>
        <w:ind w:left="220" w:leftChars="100" w:firstLine="440" w:firstLineChars="200"/>
        <w:rPr>
          <w:rFonts w:hint="eastAsia" w:ascii="宋体" w:hAnsi="宋体" w:cstheme="minorBidi"/>
          <w:sz w:val="22"/>
          <w:szCs w:val="24"/>
          <w:lang w:eastAsia="zh-CN"/>
        </w:rPr>
      </w:pPr>
      <w:r>
        <w:rPr>
          <w:rFonts w:hint="eastAsia" w:ascii="宋体" w:hAnsi="宋体" w:cstheme="minorBidi"/>
          <w:sz w:val="22"/>
          <w:szCs w:val="24"/>
          <w:lang w:eastAsia="zh-CN"/>
        </w:rPr>
        <w:t>○无财务要求；</w:t>
      </w:r>
    </w:p>
    <w:p w14:paraId="0F3D8C7F">
      <w:pPr>
        <w:pStyle w:val="11"/>
        <w:spacing w:line="276" w:lineRule="auto"/>
        <w:ind w:left="220" w:leftChars="100" w:firstLine="440" w:firstLineChars="200"/>
        <w:rPr>
          <w:rFonts w:hint="eastAsia" w:ascii="宋体" w:hAnsi="宋体" w:cstheme="minorBidi"/>
          <w:sz w:val="22"/>
          <w:szCs w:val="24"/>
          <w:lang w:eastAsia="zh-CN"/>
        </w:rPr>
      </w:pPr>
      <w:r>
        <w:rPr>
          <w:rFonts w:hint="eastAsia" w:ascii="宋体" w:hAnsi="宋体" w:cstheme="minorBidi"/>
          <w:sz w:val="22"/>
          <w:szCs w:val="24"/>
          <w:lang w:eastAsia="zh-CN"/>
        </w:rPr>
        <w:t>○近</w:t>
      </w:r>
      <w:r>
        <w:rPr>
          <w:rFonts w:hint="eastAsia" w:ascii="宋体" w:hAnsi="宋体" w:cstheme="minorBidi"/>
          <w:sz w:val="22"/>
          <w:szCs w:val="24"/>
          <w:u w:val="single"/>
          <w:lang w:eastAsia="zh-CN"/>
        </w:rPr>
        <w:t xml:space="preserve">   </w:t>
      </w:r>
      <w:r>
        <w:rPr>
          <w:rFonts w:hint="eastAsia" w:ascii="宋体" w:hAnsi="宋体" w:cstheme="minorBidi"/>
          <w:sz w:val="22"/>
          <w:szCs w:val="24"/>
          <w:lang w:eastAsia="zh-CN"/>
        </w:rPr>
        <w:t>年</w:t>
      </w:r>
      <w:r>
        <w:rPr>
          <w:rFonts w:hint="eastAsia" w:ascii="宋体" w:hAnsi="宋体" w:cstheme="minorBidi"/>
          <w:color w:val="FF0000"/>
          <w:sz w:val="22"/>
          <w:szCs w:val="24"/>
          <w:lang w:eastAsia="zh-CN"/>
        </w:rPr>
        <w:t>（限定在3年以内）</w:t>
      </w:r>
      <w:r>
        <w:rPr>
          <w:rFonts w:hint="eastAsia" w:ascii="宋体" w:hAnsi="宋体" w:cstheme="minorBidi"/>
          <w:sz w:val="22"/>
          <w:szCs w:val="24"/>
          <w:lang w:eastAsia="zh-CN"/>
        </w:rPr>
        <w:t>无亏损。</w:t>
      </w:r>
    </w:p>
    <w:p w14:paraId="36AE3FA7">
      <w:pPr>
        <w:pStyle w:val="11"/>
        <w:spacing w:line="276" w:lineRule="auto"/>
        <w:ind w:left="220" w:leftChars="100" w:firstLine="440" w:firstLineChars="200"/>
        <w:rPr>
          <w:rFonts w:hint="eastAsia" w:ascii="宋体" w:hAnsi="宋体"/>
          <w:sz w:val="22"/>
          <w:szCs w:val="24"/>
          <w:lang w:val="en-US" w:eastAsia="zh-CN"/>
        </w:rPr>
      </w:pPr>
      <w:r>
        <w:rPr>
          <w:rFonts w:hint="eastAsia" w:ascii="宋体" w:hAnsi="宋体"/>
          <w:sz w:val="22"/>
          <w:szCs w:val="24"/>
          <w:lang w:val="en-US" w:eastAsia="zh-CN"/>
        </w:rPr>
        <w:t>3.1.5 类似工程业绩要求：</w:t>
      </w:r>
    </w:p>
    <w:p w14:paraId="798A409A">
      <w:pPr>
        <w:pStyle w:val="11"/>
        <w:spacing w:line="276" w:lineRule="auto"/>
        <w:ind w:left="220" w:leftChars="100" w:firstLine="440" w:firstLineChars="200"/>
        <w:rPr>
          <w:rFonts w:hint="eastAsia" w:ascii="宋体" w:hAnsi="宋体"/>
          <w:lang w:val="en-US" w:eastAsia="zh-CN"/>
        </w:rPr>
      </w:pPr>
      <w:r>
        <w:rPr>
          <w:rFonts w:hint="eastAsia" w:ascii="宋体" w:hAnsi="宋体"/>
        </w:rPr>
        <w:t>○</w:t>
      </w:r>
      <w:r>
        <w:rPr>
          <w:rFonts w:hint="eastAsia" w:ascii="宋体" w:hAnsi="宋体"/>
          <w:lang w:val="en-US" w:eastAsia="zh-CN"/>
        </w:rPr>
        <w:t>无；</w:t>
      </w:r>
    </w:p>
    <w:p w14:paraId="38A2E4B3">
      <w:pPr>
        <w:pStyle w:val="11"/>
        <w:spacing w:line="360" w:lineRule="auto"/>
        <w:ind w:left="220" w:leftChars="100" w:firstLine="440" w:firstLineChars="200"/>
        <w:rPr>
          <w:rFonts w:hint="eastAsia" w:ascii="宋体" w:hAnsi="宋体"/>
          <w:color w:val="auto"/>
          <w:sz w:val="22"/>
          <w:szCs w:val="22"/>
          <w:highlight w:val="none"/>
        </w:rPr>
      </w:pPr>
      <w:r>
        <w:rPr>
          <w:rFonts w:hint="eastAsia" w:ascii="宋体" w:hAnsi="宋体"/>
        </w:rPr>
        <w:t>○提供类似业绩</w:t>
      </w:r>
      <w:r>
        <w:rPr>
          <w:rFonts w:hint="eastAsia" w:ascii="宋体" w:hAnsi="宋体"/>
          <w:lang w:eastAsia="zh-CN"/>
        </w:rPr>
        <w:t>，</w:t>
      </w:r>
      <w:r>
        <w:rPr>
          <w:rFonts w:hint="eastAsia" w:ascii="宋体" w:hAnsi="宋体"/>
          <w:color w:val="auto"/>
          <w:sz w:val="22"/>
          <w:szCs w:val="22"/>
          <w:highlight w:val="none"/>
        </w:rPr>
        <w:t>○近年</w:t>
      </w:r>
      <w:r>
        <w:rPr>
          <w:rFonts w:hint="eastAsia" w:ascii="宋体" w:hAnsi="宋体"/>
          <w:sz w:val="22"/>
          <w:szCs w:val="24"/>
          <w:lang w:eastAsia="zh-CN"/>
        </w:rPr>
        <w:t>（</w:t>
      </w:r>
      <w:r>
        <w:rPr>
          <w:rFonts w:hint="eastAsia" w:ascii="宋体" w:hAnsi="宋体"/>
          <w:sz w:val="22"/>
          <w:szCs w:val="24"/>
          <w:u w:val="single"/>
          <w:lang w:val="en-US" w:eastAsia="zh-CN"/>
        </w:rPr>
        <w:t xml:space="preserve">    </w:t>
      </w:r>
      <w:r>
        <w:rPr>
          <w:rFonts w:hint="eastAsia" w:ascii="宋体" w:hAnsi="宋体" w:eastAsia="宋体" w:cstheme="minorBidi"/>
          <w:sz w:val="22"/>
          <w:szCs w:val="24"/>
        </w:rPr>
        <w:t>至投标截止时间，不少于3年）</w:t>
      </w:r>
      <w:r>
        <w:rPr>
          <w:rFonts w:hint="eastAsia" w:ascii="宋体" w:hAnsi="宋体"/>
          <w:color w:val="auto"/>
          <w:sz w:val="22"/>
          <w:szCs w:val="22"/>
          <w:highlight w:val="none"/>
        </w:rPr>
        <w:t>○</w:t>
      </w:r>
      <w:r>
        <w:rPr>
          <w:rFonts w:hint="eastAsia" w:ascii="宋体" w:hAnsi="宋体"/>
          <w:color w:val="auto"/>
          <w:sz w:val="22"/>
          <w:szCs w:val="22"/>
          <w:highlight w:val="none"/>
          <w:u w:val="none"/>
        </w:rPr>
        <w:t>已完成</w:t>
      </w:r>
      <w:r>
        <w:rPr>
          <w:rFonts w:hint="eastAsia" w:ascii="宋体" w:hAnsi="宋体"/>
          <w:color w:val="auto"/>
          <w:sz w:val="22"/>
          <w:szCs w:val="22"/>
          <w:highlight w:val="none"/>
        </w:rPr>
        <w:t>○已完成或正在施工或新承接的项目共不少于</w:t>
      </w: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个</w:t>
      </w:r>
      <w:r>
        <w:rPr>
          <w:rFonts w:hint="eastAsia" w:ascii="宋体" w:hAnsi="宋体"/>
          <w:color w:val="FF0000"/>
          <w:sz w:val="22"/>
          <w:szCs w:val="22"/>
          <w:highlight w:val="none"/>
        </w:rPr>
        <w:t>（1至3个）</w:t>
      </w:r>
      <w:r>
        <w:rPr>
          <w:rFonts w:hint="eastAsia" w:ascii="宋体" w:hAnsi="宋体"/>
          <w:color w:val="auto"/>
          <w:sz w:val="22"/>
          <w:szCs w:val="22"/>
          <w:highlight w:val="none"/>
        </w:rPr>
        <w:t>类似</w:t>
      </w:r>
      <w:r>
        <w:rPr>
          <w:rFonts w:hint="eastAsia" w:ascii="宋体" w:hAnsi="宋体"/>
          <w:color w:val="auto"/>
          <w:sz w:val="22"/>
          <w:szCs w:val="22"/>
          <w:highlight w:val="none"/>
          <w:lang w:val="en-US" w:eastAsia="zh-CN"/>
        </w:rPr>
        <w:t>工程</w:t>
      </w:r>
      <w:r>
        <w:rPr>
          <w:rFonts w:hint="eastAsia" w:ascii="宋体" w:hAnsi="宋体"/>
          <w:color w:val="auto"/>
          <w:sz w:val="22"/>
          <w:szCs w:val="22"/>
          <w:highlight w:val="none"/>
        </w:rPr>
        <w:t>业绩。</w:t>
      </w:r>
    </w:p>
    <w:p w14:paraId="19303C4E">
      <w:pPr>
        <w:pStyle w:val="11"/>
        <w:spacing w:line="276" w:lineRule="auto"/>
        <w:ind w:left="220" w:leftChars="100" w:firstLine="440" w:firstLineChars="200"/>
        <w:rPr>
          <w:rFonts w:hint="eastAsia" w:ascii="宋体" w:hAnsi="宋体" w:eastAsia="宋体"/>
          <w:lang w:val="en-US" w:eastAsia="zh-CN"/>
        </w:rPr>
      </w:pPr>
      <w:r>
        <w:rPr>
          <w:rFonts w:hint="eastAsia" w:ascii="宋体" w:hAnsi="宋体" w:eastAsia="宋体" w:cstheme="minorBidi"/>
          <w:sz w:val="22"/>
          <w:szCs w:val="24"/>
        </w:rPr>
        <w:t>类似工程业绩是指:</w:t>
      </w:r>
      <w:r>
        <w:rPr>
          <w:rFonts w:hint="eastAsia" w:ascii="宋体" w:hAnsi="宋体" w:cstheme="minorBidi"/>
          <w:sz w:val="22"/>
          <w:szCs w:val="24"/>
          <w:u w:val="single"/>
          <w:lang w:val="en-US" w:eastAsia="zh-CN"/>
        </w:rPr>
        <w:t xml:space="preserve">                                  </w:t>
      </w:r>
      <w:r>
        <w:rPr>
          <w:rFonts w:hint="eastAsia" w:ascii="宋体" w:hAnsi="宋体" w:cstheme="minorBidi"/>
          <w:sz w:val="22"/>
          <w:szCs w:val="24"/>
          <w:u w:val="none"/>
          <w:lang w:val="en-US" w:eastAsia="zh-CN"/>
        </w:rPr>
        <w:t>。</w:t>
      </w:r>
    </w:p>
    <w:p w14:paraId="05C28ACB">
      <w:pPr>
        <w:bidi w:val="0"/>
        <w:ind w:left="220" w:leftChars="100" w:firstLine="0" w:firstLineChars="0"/>
        <w:rPr>
          <w:rFonts w:hint="eastAsia" w:ascii="宋体" w:hAnsi="宋体"/>
        </w:rPr>
      </w:pPr>
      <w:r>
        <w:rPr>
          <w:rFonts w:hint="eastAsia" w:ascii="宋体" w:hAnsi="宋体"/>
        </w:rPr>
        <w:t>○3.2 本次招标不</w:t>
      </w:r>
      <w:r>
        <w:rPr>
          <w:rFonts w:hint="eastAsia" w:ascii="宋体" w:hAnsi="宋体"/>
          <w:lang w:val="en-US" w:eastAsia="zh-CN"/>
        </w:rPr>
        <w:t>允许</w:t>
      </w:r>
      <w:r>
        <w:rPr>
          <w:rFonts w:hint="eastAsia" w:ascii="宋体" w:hAnsi="宋体"/>
        </w:rPr>
        <w:t>联合体投标。</w:t>
      </w:r>
    </w:p>
    <w:p w14:paraId="5DBA8E9D">
      <w:pPr>
        <w:bidi w:val="0"/>
        <w:ind w:left="0" w:leftChars="0" w:firstLine="220" w:firstLineChars="100"/>
        <w:rPr>
          <w:rFonts w:hint="eastAsia" w:ascii="宋体" w:hAnsi="宋体"/>
        </w:rPr>
      </w:pPr>
      <w:r>
        <w:rPr>
          <w:rFonts w:hint="eastAsia" w:ascii="宋体" w:hAnsi="宋体"/>
        </w:rPr>
        <w:t>○3.2 本次招标</w:t>
      </w:r>
      <w:r>
        <w:rPr>
          <w:rFonts w:hint="eastAsia" w:ascii="宋体" w:hAnsi="宋体"/>
          <w:lang w:val="en-US" w:eastAsia="zh-CN"/>
        </w:rPr>
        <w:t>允许联合体联合投标的</w:t>
      </w:r>
      <w:r>
        <w:rPr>
          <w:rFonts w:hint="eastAsia" w:ascii="宋体" w:hAnsi="宋体"/>
        </w:rPr>
        <w:t>，应满足下列要求：须具有</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的单位作为联合体牵头人。联合体成员家数（含联合体牵头人）须不超过</w:t>
      </w:r>
      <w:r>
        <w:rPr>
          <w:rFonts w:hint="eastAsia" w:ascii="宋体" w:hAnsi="宋体"/>
          <w:u w:val="single"/>
        </w:rPr>
        <w:t xml:space="preserve">   </w:t>
      </w:r>
      <w:r>
        <w:rPr>
          <w:rFonts w:hint="eastAsia" w:ascii="宋体" w:hAnsi="宋体"/>
        </w:rPr>
        <w:t xml:space="preserve">家。联合体需符合有关联合体投标的规定和要求，并提交了联合体协议，明确联合体牵头人和各方权利义务。 </w:t>
      </w:r>
    </w:p>
    <w:p w14:paraId="704A668B">
      <w:pPr>
        <w:bidi w:val="0"/>
        <w:ind w:left="220" w:leftChars="100" w:firstLine="0" w:firstLineChars="0"/>
        <w:rPr>
          <w:rFonts w:hint="eastAsia" w:ascii="宋体" w:hAnsi="宋体"/>
        </w:rPr>
      </w:pPr>
      <w:r>
        <w:rPr>
          <w:rFonts w:hint="eastAsia" w:ascii="宋体" w:hAnsi="宋体"/>
        </w:rPr>
        <w:t>3.3 各投标人均可就上述</w:t>
      </w:r>
      <w:r>
        <w:rPr>
          <w:rFonts w:hint="eastAsia" w:ascii="宋体" w:hAnsi="宋体"/>
          <w:u w:val="single"/>
        </w:rPr>
        <w:t xml:space="preserve">   </w:t>
      </w:r>
      <w:r>
        <w:rPr>
          <w:rFonts w:hint="eastAsia" w:ascii="宋体" w:hAnsi="宋体"/>
          <w:color w:val="FF0000"/>
        </w:rPr>
        <w:t>（具体数量）</w:t>
      </w:r>
      <w:r>
        <w:rPr>
          <w:rFonts w:hint="eastAsia" w:ascii="宋体" w:hAnsi="宋体"/>
        </w:rPr>
        <w:t>个标段投标，可中标的标段数量为</w:t>
      </w:r>
      <w:r>
        <w:rPr>
          <w:rFonts w:hint="eastAsia" w:ascii="宋体" w:hAnsi="宋体"/>
          <w:u w:val="single"/>
        </w:rPr>
        <w:t xml:space="preserve">   </w:t>
      </w:r>
      <w:r>
        <w:rPr>
          <w:rFonts w:hint="eastAsia" w:ascii="宋体" w:hAnsi="宋体"/>
          <w:color w:val="FF0000"/>
        </w:rPr>
        <w:t>（具体数量）</w:t>
      </w:r>
      <w:r>
        <w:rPr>
          <w:rFonts w:hint="eastAsia" w:ascii="宋体" w:hAnsi="宋体"/>
        </w:rPr>
        <w:t xml:space="preserve">个。 </w:t>
      </w:r>
    </w:p>
    <w:p w14:paraId="0510D1E5">
      <w:pPr>
        <w:ind w:left="220" w:leftChars="100"/>
        <w:rPr>
          <w:rFonts w:hint="eastAsia" w:ascii="宋体" w:hAnsi="宋体"/>
        </w:rPr>
      </w:pPr>
      <w:r>
        <w:rPr>
          <w:rFonts w:hint="eastAsia" w:ascii="宋体" w:hAnsi="宋体"/>
        </w:rPr>
        <w:t>□3.4</w:t>
      </w:r>
      <w:r>
        <w:rPr>
          <w:rFonts w:hint="eastAsia" w:ascii="宋体" w:hAnsi="宋体"/>
          <w:lang w:val="en-US" w:eastAsia="zh-CN"/>
        </w:rPr>
        <w:t xml:space="preserve"> </w:t>
      </w:r>
      <w:r>
        <w:rPr>
          <w:rFonts w:hint="eastAsia" w:ascii="宋体" w:hAnsi="宋体"/>
        </w:rPr>
        <w:t>支持中小企业参与。</w:t>
      </w:r>
    </w:p>
    <w:p w14:paraId="2946DD6F">
      <w:pPr>
        <w:ind w:left="220" w:leftChars="100" w:firstLine="440" w:firstLineChars="200"/>
        <w:rPr>
          <w:rFonts w:hint="eastAsia"/>
        </w:rPr>
      </w:pPr>
      <w:r>
        <w:rPr>
          <w:rFonts w:hint="eastAsia"/>
        </w:rPr>
        <w:t>○本次招标仅面向中小企业发包（其中属于大企业的分支机构、存在控股股东为大企业、与大企业的负责人为同一人的情形的企业均不属于中小企业。若为联合体投标的，联合体所有单位均应属于中小企业）。</w:t>
      </w:r>
    </w:p>
    <w:p w14:paraId="197B5B9B">
      <w:pPr>
        <w:ind w:left="220" w:leftChars="100" w:firstLine="440" w:firstLineChars="200"/>
        <w:rPr>
          <w:rFonts w:hint="eastAsia" w:eastAsia="宋体"/>
          <w:lang w:val="en-US" w:eastAsia="zh-CN"/>
        </w:rPr>
      </w:pPr>
      <w:r>
        <w:rPr>
          <w:rFonts w:hint="eastAsia"/>
        </w:rPr>
        <w:t>○本次招标原则上优先面向中小企业发包（其中属于大企业的分支机构、存在控股股东为大企业、与大企业的负责人为同一人的情形的企业均不属于中小企业。若为联合体投标的，联合体所有单位均应属于中小企业）</w:t>
      </w:r>
      <w:r>
        <w:rPr>
          <w:rFonts w:hint="eastAsia"/>
          <w:lang w:eastAsia="zh-CN"/>
        </w:rPr>
        <w:t>。</w:t>
      </w:r>
    </w:p>
    <w:p w14:paraId="38A54794">
      <w:pPr>
        <w:ind w:left="220" w:leftChars="100" w:firstLine="440" w:firstLineChars="200"/>
        <w:rPr>
          <w:rFonts w:hint="eastAsia"/>
        </w:rPr>
      </w:pPr>
      <w:r>
        <w:rPr>
          <w:rFonts w:hint="eastAsia"/>
        </w:rPr>
        <w:t>中小企业认定具体标准以《工业和信息化部、国家统计局、国家发展和改革委员会、财政部关于印发中小企业划型标准规定的通知》（工信部联企业〔2011〕300号）中的</w:t>
      </w:r>
      <w:r>
        <w:rPr>
          <w:rFonts w:hint="eastAsia"/>
          <w:lang w:eastAsia="zh-CN"/>
        </w:rPr>
        <w:t>“建筑业”</w:t>
      </w:r>
      <w:r>
        <w:rPr>
          <w:rFonts w:hint="eastAsia"/>
        </w:rPr>
        <w:t>划型标准为准，投标人应提供中小企业声明函。</w:t>
      </w:r>
    </w:p>
    <w:p w14:paraId="57AF0E1B">
      <w:pPr>
        <w:ind w:left="220" w:leftChars="100"/>
        <w:rPr>
          <w:rFonts w:hint="eastAsia"/>
          <w:color w:val="FF0000"/>
        </w:rPr>
      </w:pPr>
      <w:r>
        <w:rPr>
          <w:rFonts w:hint="eastAsia"/>
          <w:color w:val="FF0000"/>
        </w:rPr>
        <w:t>（除技术复杂、存在特殊要求外，我省依法必须招标的国家投资工程，</w:t>
      </w:r>
      <w:r>
        <w:rPr>
          <w:rFonts w:hint="eastAsia"/>
          <w:color w:val="FF0000"/>
          <w:lang w:val="en-US" w:eastAsia="zh-CN"/>
        </w:rPr>
        <w:t>招标控制价</w:t>
      </w:r>
      <w:r>
        <w:rPr>
          <w:rFonts w:hint="eastAsia"/>
          <w:color w:val="FF0000"/>
        </w:rPr>
        <w:t>在3000万元以下的施工项目(标段)应勾选</w:t>
      </w:r>
      <w:r>
        <w:rPr>
          <w:rFonts w:hint="eastAsia" w:eastAsia="宋体" w:asciiTheme="minorAscii"/>
          <w:color w:val="FF0000"/>
          <w:lang w:val="en-US" w:eastAsia="zh-CN"/>
        </w:rPr>
        <w:t>上述两项中的一</w:t>
      </w:r>
      <w:r>
        <w:rPr>
          <w:rFonts w:hint="eastAsia"/>
          <w:color w:val="FF0000"/>
        </w:rPr>
        <w:t>项。）</w:t>
      </w:r>
    </w:p>
    <w:p w14:paraId="27AB0743">
      <w:pPr>
        <w:ind w:left="220" w:leftChars="100" w:firstLine="440" w:firstLineChars="200"/>
        <w:rPr>
          <w:rFonts w:hint="eastAsia" w:eastAsia="宋体"/>
          <w:color w:val="FF0000"/>
          <w:lang w:val="en-US" w:eastAsia="zh-CN"/>
        </w:rPr>
      </w:pPr>
      <w:r>
        <w:rPr>
          <w:rFonts w:hint="eastAsia"/>
        </w:rPr>
        <w:t>○</w:t>
      </w:r>
      <w:r>
        <w:rPr>
          <w:rFonts w:hint="eastAsia" w:eastAsia="宋体" w:asciiTheme="minorAscii"/>
          <w:lang w:val="en-US" w:eastAsia="zh-CN"/>
        </w:rPr>
        <w:t>鼓励大型企业和中小企业</w:t>
      </w:r>
      <w:r>
        <w:rPr>
          <w:rFonts w:hint="eastAsia"/>
        </w:rPr>
        <w:t>（其中属于大企业的分支机构、存在控股股东为大企业、与大企业的负责人为同一人的情形的企业均不属于中小企业</w:t>
      </w:r>
      <w:r>
        <w:rPr>
          <w:rFonts w:hint="eastAsia" w:eastAsia="宋体"/>
          <w:lang w:eastAsia="zh-CN"/>
        </w:rPr>
        <w:t>）</w:t>
      </w:r>
      <w:r>
        <w:rPr>
          <w:rFonts w:hint="eastAsia" w:eastAsia="宋体" w:asciiTheme="minorAscii"/>
          <w:lang w:val="en-US" w:eastAsia="zh-CN"/>
        </w:rPr>
        <w:t>组成联合体参与投标。</w:t>
      </w:r>
    </w:p>
    <w:p w14:paraId="189C8921">
      <w:pPr>
        <w:ind w:left="220" w:leftChars="100"/>
        <w:rPr>
          <w:rFonts w:hint="eastAsia"/>
        </w:rPr>
      </w:pPr>
    </w:p>
    <w:p w14:paraId="5FE19D58">
      <w:pPr>
        <w:pStyle w:val="4"/>
      </w:pPr>
      <w:bookmarkStart w:id="78" w:name="_Toc21088"/>
      <w:bookmarkStart w:id="79" w:name="_Toc4096"/>
      <w:bookmarkStart w:id="80" w:name="_Toc7827"/>
      <w:bookmarkStart w:id="81" w:name="_Toc68889596"/>
      <w:bookmarkStart w:id="82" w:name="_Toc68800048"/>
      <w:bookmarkStart w:id="83" w:name="_Toc17377"/>
      <w:r>
        <w:t>4. 招标文件的获取</w:t>
      </w:r>
      <w:bookmarkEnd w:id="78"/>
      <w:bookmarkEnd w:id="79"/>
      <w:bookmarkEnd w:id="80"/>
      <w:bookmarkEnd w:id="81"/>
      <w:bookmarkEnd w:id="82"/>
      <w:bookmarkEnd w:id="83"/>
    </w:p>
    <w:p w14:paraId="0A645742">
      <w:pPr>
        <w:pStyle w:val="10"/>
        <w:ind w:left="0" w:firstLine="220" w:firstLineChars="100"/>
        <w:jc w:val="both"/>
        <w:rPr>
          <w:szCs w:val="22"/>
        </w:rPr>
      </w:pPr>
      <w:r>
        <w:rPr>
          <w:rFonts w:hint="eastAsia"/>
          <w:szCs w:val="22"/>
        </w:rPr>
        <w:t xml:space="preserve">4.1 </w:t>
      </w:r>
      <w:r>
        <w:t>凡接到邀请并</w:t>
      </w:r>
      <w:r>
        <w:rPr>
          <w:szCs w:val="22"/>
        </w:rPr>
        <w:t>有意参加投标者，请于</w:t>
      </w:r>
      <w:r>
        <w:rPr>
          <w:u w:val="single"/>
        </w:rPr>
        <w:t xml:space="preserve">    </w:t>
      </w:r>
      <w:r>
        <w:rPr>
          <w:rFonts w:hint="eastAsia"/>
        </w:rPr>
        <w:t>年</w:t>
      </w:r>
      <w:r>
        <w:rPr>
          <w:u w:val="single"/>
        </w:rPr>
        <w:t xml:space="preserve"> </w:t>
      </w:r>
      <w:r>
        <w:rPr>
          <w:rFonts w:hint="eastAsia"/>
          <w:u w:val="single"/>
        </w:rPr>
        <w:t xml:space="preserve"> </w:t>
      </w:r>
      <w:r>
        <w:rPr>
          <w:u w:val="single"/>
        </w:rPr>
        <w:t xml:space="preserve"> </w:t>
      </w:r>
      <w:r>
        <w:rPr>
          <w:rFonts w:hint="eastAsia"/>
        </w:rPr>
        <w:t>月</w:t>
      </w:r>
      <w:r>
        <w:rPr>
          <w:u w:val="single"/>
        </w:rPr>
        <w:t xml:space="preserve"> </w:t>
      </w:r>
      <w:r>
        <w:rPr>
          <w:rFonts w:hint="eastAsia"/>
          <w:u w:val="single"/>
        </w:rPr>
        <w:t xml:space="preserve"> </w:t>
      </w:r>
      <w:r>
        <w:rPr>
          <w:u w:val="single"/>
        </w:rPr>
        <w:t xml:space="preserve"> </w:t>
      </w:r>
      <w:r>
        <w:rPr>
          <w:rFonts w:hint="eastAsia"/>
        </w:rPr>
        <w:t>日</w:t>
      </w:r>
      <w:r>
        <w:rPr>
          <w:szCs w:val="22"/>
        </w:rPr>
        <w:t>开始登陆</w:t>
      </w:r>
      <w:r>
        <w:rPr>
          <w:rFonts w:hint="eastAsia"/>
          <w:szCs w:val="22"/>
        </w:rPr>
        <w:t>在成都市公共资源电子交易云平台(www.cdggzy.com）（以下简称“电子交易云平台”）免费下载招标资料（招标文件及相关资料）。获得“拟投标项目回执”。</w:t>
      </w:r>
    </w:p>
    <w:p w14:paraId="428D325C">
      <w:pPr>
        <w:pStyle w:val="10"/>
        <w:ind w:left="0" w:firstLine="220" w:firstLineChars="100"/>
        <w:jc w:val="both"/>
        <w:rPr>
          <w:rFonts w:ascii="宋体" w:hAnsi="宋体" w:cs="Arial"/>
          <w:szCs w:val="22"/>
        </w:rPr>
      </w:pPr>
      <w:r>
        <w:rPr>
          <w:rFonts w:hint="eastAsia" w:ascii="宋体" w:hAnsi="宋体" w:cs="Arial"/>
          <w:szCs w:val="22"/>
        </w:rPr>
        <w:t>4.2 招标人不提供邮购招标文件服务</w:t>
      </w:r>
      <w:r>
        <w:rPr>
          <w:rFonts w:ascii="宋体" w:hAnsi="宋体" w:cs="宋体"/>
          <w:szCs w:val="21"/>
        </w:rPr>
        <w:t>。</w:t>
      </w:r>
      <w:r>
        <w:rPr>
          <w:rFonts w:ascii="宋体" w:hAnsi="宋体" w:cs="宋体"/>
          <w:sz w:val="24"/>
        </w:rPr>
        <w:t xml:space="preserve"> </w:t>
      </w:r>
    </w:p>
    <w:p w14:paraId="63ECBC4B">
      <w:pPr>
        <w:pStyle w:val="4"/>
      </w:pPr>
      <w:bookmarkStart w:id="84" w:name="_Toc22311"/>
      <w:bookmarkStart w:id="85" w:name="_Toc25572"/>
      <w:bookmarkStart w:id="86" w:name="_Toc68889597"/>
      <w:bookmarkStart w:id="87" w:name="_Toc20"/>
      <w:bookmarkStart w:id="88" w:name="_Toc68800049"/>
      <w:bookmarkStart w:id="89" w:name="_Toc14802"/>
      <w:r>
        <w:t>5. 投标文件的递交</w:t>
      </w:r>
      <w:bookmarkEnd w:id="84"/>
      <w:bookmarkEnd w:id="85"/>
      <w:bookmarkEnd w:id="86"/>
      <w:bookmarkEnd w:id="87"/>
      <w:bookmarkEnd w:id="88"/>
      <w:bookmarkEnd w:id="89"/>
    </w:p>
    <w:p w14:paraId="750B4605">
      <w:pPr>
        <w:pStyle w:val="10"/>
        <w:spacing w:before="0" w:after="0"/>
        <w:ind w:left="0" w:firstLine="220" w:firstLineChars="100"/>
        <w:jc w:val="both"/>
        <w:rPr>
          <w:rFonts w:hint="eastAsia"/>
          <w:u w:color="000000"/>
        </w:rPr>
      </w:pPr>
      <w:r>
        <w:rPr>
          <w:rFonts w:hint="eastAsia"/>
          <w:u w:color="000000"/>
        </w:rPr>
        <w:t>5.1 投标文件递交的截止时间（投标截止时间，下同）为</w:t>
      </w:r>
      <w:r>
        <w:rPr>
          <w:rFonts w:hint="eastAsia"/>
          <w:u w:val="single" w:color="auto"/>
        </w:rPr>
        <w:t xml:space="preserve">    </w:t>
      </w:r>
      <w:r>
        <w:rPr>
          <w:rFonts w:hint="eastAsia"/>
          <w:u w:color="000000"/>
        </w:rPr>
        <w:t>年</w:t>
      </w:r>
      <w:r>
        <w:rPr>
          <w:rFonts w:hint="eastAsia"/>
          <w:u w:val="single" w:color="auto"/>
        </w:rPr>
        <w:t xml:space="preserve"> </w:t>
      </w:r>
      <w:r>
        <w:rPr>
          <w:rFonts w:hint="eastAsia"/>
          <w:u w:val="single" w:color="auto"/>
          <w:lang w:val="en-US" w:eastAsia="zh-CN"/>
        </w:rPr>
        <w:t xml:space="preserve"> </w:t>
      </w:r>
      <w:r>
        <w:rPr>
          <w:rFonts w:hint="eastAsia"/>
          <w:u w:val="single" w:color="auto"/>
        </w:rPr>
        <w:t xml:space="preserve"> </w:t>
      </w:r>
      <w:r>
        <w:rPr>
          <w:rFonts w:hint="eastAsia"/>
          <w:u w:color="000000"/>
        </w:rPr>
        <w:t>月</w:t>
      </w:r>
      <w:r>
        <w:rPr>
          <w:rFonts w:hint="eastAsia"/>
          <w:u w:val="single" w:color="auto"/>
        </w:rPr>
        <w:t xml:space="preserve"> </w:t>
      </w:r>
      <w:r>
        <w:rPr>
          <w:rFonts w:hint="eastAsia"/>
          <w:u w:val="single" w:color="auto"/>
          <w:lang w:val="en-US" w:eastAsia="zh-CN"/>
        </w:rPr>
        <w:t xml:space="preserve"> </w:t>
      </w:r>
      <w:r>
        <w:rPr>
          <w:rFonts w:hint="eastAsia"/>
          <w:u w:val="single" w:color="auto"/>
        </w:rPr>
        <w:t xml:space="preserve"> </w:t>
      </w:r>
      <w:r>
        <w:rPr>
          <w:rFonts w:hint="eastAsia"/>
          <w:u w:color="000000"/>
        </w:rPr>
        <w:t>日</w:t>
      </w:r>
      <w:r>
        <w:rPr>
          <w:rFonts w:hint="eastAsia"/>
          <w:u w:val="single" w:color="auto"/>
        </w:rPr>
        <w:t xml:space="preserve">   </w:t>
      </w:r>
      <w:r>
        <w:rPr>
          <w:rFonts w:hint="eastAsia"/>
          <w:u w:color="000000"/>
        </w:rPr>
        <w:t>时</w:t>
      </w:r>
      <w:r>
        <w:rPr>
          <w:rFonts w:hint="eastAsia"/>
          <w:u w:val="single" w:color="auto"/>
        </w:rPr>
        <w:t xml:space="preserve">   </w:t>
      </w:r>
      <w:r>
        <w:rPr>
          <w:rFonts w:hint="eastAsia"/>
          <w:u w:color="000000"/>
        </w:rPr>
        <w:t>分，招标人或其委托代理机构，以及已在投标截止时间前按规定上传投标文件的投标人，均应在开标当日投标截止时间前登录不见面开标系统（网址：www.cdggzy.com），录入相关人员姓名、电话等基本信息。投标人未按时登录不见面开标系统，错过开标解密时间的，由投标人自行承担不利后果。</w:t>
      </w:r>
    </w:p>
    <w:p w14:paraId="157F6FF7">
      <w:pPr>
        <w:pStyle w:val="10"/>
        <w:spacing w:before="0" w:after="0"/>
        <w:ind w:left="0" w:firstLine="220" w:firstLineChars="100"/>
        <w:jc w:val="both"/>
        <w:rPr>
          <w:rFonts w:hint="eastAsia"/>
          <w:u w:color="000000"/>
        </w:rPr>
      </w:pPr>
      <w:r>
        <w:rPr>
          <w:rFonts w:hint="eastAsia"/>
          <w:u w:color="000000"/>
        </w:rPr>
        <w:t>5.2 投标人应在解密开始后30分钟内在线完成投标文件解密。投标文件未能在规定时间内成功解密的，视为投标人未在规定时间内提交投标文件，由投标人自行承担责任。不见面开标项目不接受投标人现场递交光盘等形式的投标文件，不接受投标人现场解密投标文件。</w:t>
      </w:r>
    </w:p>
    <w:p w14:paraId="2C0CC0A1">
      <w:pPr>
        <w:spacing w:line="360" w:lineRule="auto"/>
        <w:ind w:left="-2" w:leftChars="0" w:right="-977" w:rightChars="-444" w:firstLine="0" w:firstLineChars="0"/>
        <w:jc w:val="left"/>
        <w:rPr>
          <w:rFonts w:hint="default" w:ascii="Times New Roman" w:hAnsi="Times New Roman" w:eastAsia="宋体" w:cs="Times New Roman"/>
          <w:b/>
          <w:color w:val="auto"/>
          <w:sz w:val="24"/>
          <w:szCs w:val="24"/>
          <w:highlight w:val="none"/>
          <w:lang w:val="en-US" w:eastAsia="zh-CN"/>
        </w:rPr>
      </w:pPr>
      <w:bookmarkStart w:id="90" w:name="_Toc13778"/>
      <w:bookmarkStart w:id="91" w:name="_Toc29171"/>
      <w:bookmarkStart w:id="92" w:name="_Toc10035"/>
      <w:bookmarkStart w:id="93" w:name="_Toc29003"/>
      <w:r>
        <w:rPr>
          <w:rFonts w:hint="eastAsia" w:cs="Times New Roman"/>
          <w:b/>
          <w:color w:val="auto"/>
          <w:sz w:val="24"/>
          <w:szCs w:val="24"/>
          <w:highlight w:val="none"/>
          <w:lang w:val="en-US" w:eastAsia="zh-CN"/>
        </w:rPr>
        <w:t>6</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应邀确认</w:t>
      </w:r>
    </w:p>
    <w:bookmarkEnd w:id="90"/>
    <w:bookmarkEnd w:id="91"/>
    <w:bookmarkEnd w:id="92"/>
    <w:bookmarkEnd w:id="93"/>
    <w:p w14:paraId="67AA0AB6">
      <w:pPr>
        <w:pStyle w:val="10"/>
        <w:ind w:left="0" w:firstLine="220" w:firstLineChars="100"/>
        <w:jc w:val="both"/>
        <w:rPr>
          <w:rFonts w:hint="eastAsia" w:ascii="宋体" w:hAnsi="宋体"/>
          <w:szCs w:val="22"/>
        </w:rPr>
      </w:pPr>
      <w:r>
        <w:rPr>
          <w:rFonts w:hint="eastAsia" w:ascii="宋体" w:hAnsi="宋体"/>
          <w:szCs w:val="22"/>
        </w:rPr>
        <w:t>你单位收到本邀请书后，请于</w:t>
      </w:r>
      <w:r>
        <w:rPr>
          <w:rFonts w:hint="eastAsia" w:ascii="宋体" w:hAnsi="宋体"/>
          <w:b/>
          <w:szCs w:val="22"/>
          <w:u w:val="single"/>
        </w:rPr>
        <w:t xml:space="preserve"> </w:t>
      </w:r>
      <w:r>
        <w:rPr>
          <w:rFonts w:ascii="宋体" w:hAnsi="宋体"/>
          <w:b/>
          <w:szCs w:val="22"/>
          <w:u w:val="single"/>
        </w:rPr>
        <w:t xml:space="preserve"> </w:t>
      </w:r>
      <w:r>
        <w:rPr>
          <w:rFonts w:hint="eastAsia" w:ascii="宋体" w:hAnsi="宋体"/>
          <w:b/>
          <w:szCs w:val="22"/>
          <w:u w:val="single"/>
        </w:rPr>
        <w:t xml:space="preserve">  </w:t>
      </w:r>
      <w:r>
        <w:rPr>
          <w:rFonts w:hint="eastAsia" w:ascii="宋体" w:hAnsi="宋体"/>
          <w:szCs w:val="22"/>
        </w:rPr>
        <w:t>年</w:t>
      </w:r>
      <w:r>
        <w:rPr>
          <w:rFonts w:hint="eastAsia" w:ascii="宋体" w:hAnsi="宋体"/>
          <w:b/>
          <w:szCs w:val="22"/>
          <w:u w:val="single"/>
        </w:rPr>
        <w:t xml:space="preserve">   </w:t>
      </w:r>
      <w:r>
        <w:rPr>
          <w:rFonts w:hint="eastAsia" w:ascii="宋体" w:hAnsi="宋体"/>
          <w:szCs w:val="22"/>
        </w:rPr>
        <w:t>月</w:t>
      </w:r>
      <w:r>
        <w:rPr>
          <w:rFonts w:hint="eastAsia" w:ascii="宋体" w:hAnsi="宋体"/>
          <w:b/>
          <w:szCs w:val="22"/>
          <w:u w:val="single"/>
        </w:rPr>
        <w:t xml:space="preserve">   </w:t>
      </w:r>
      <w:r>
        <w:rPr>
          <w:rFonts w:hint="eastAsia" w:ascii="宋体" w:hAnsi="宋体"/>
          <w:szCs w:val="22"/>
        </w:rPr>
        <w:t>日</w:t>
      </w:r>
      <w:r>
        <w:rPr>
          <w:rFonts w:hint="eastAsia" w:ascii="宋体" w:hAnsi="宋体"/>
          <w:b/>
          <w:szCs w:val="22"/>
          <w:u w:val="single"/>
        </w:rPr>
        <w:t xml:space="preserve">  </w:t>
      </w:r>
      <w:r>
        <w:rPr>
          <w:rFonts w:ascii="宋体" w:hAnsi="宋体"/>
          <w:b/>
          <w:szCs w:val="22"/>
          <w:u w:val="single"/>
        </w:rPr>
        <w:t xml:space="preserve"> </w:t>
      </w:r>
      <w:r>
        <w:rPr>
          <w:rFonts w:hint="eastAsia" w:ascii="宋体" w:hAnsi="宋体"/>
          <w:szCs w:val="22"/>
        </w:rPr>
        <w:t>时前，以书面形式确认是否参加投标。在本邀请书规定的时间内未表示是否参加投标或明确表示不参加投标的，不得再参加投标。</w:t>
      </w:r>
    </w:p>
    <w:p w14:paraId="3F09230C">
      <w:pPr>
        <w:spacing w:line="360" w:lineRule="auto"/>
        <w:ind w:left="-2" w:leftChars="0" w:right="-977" w:rightChars="-444" w:firstLine="0" w:firstLineChars="0"/>
        <w:jc w:val="left"/>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7</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行政监督部门</w:t>
      </w:r>
    </w:p>
    <w:p w14:paraId="64522544">
      <w:pPr>
        <w:pStyle w:val="10"/>
        <w:tabs>
          <w:tab w:val="left" w:pos="4228"/>
          <w:tab w:val="left" w:pos="7975"/>
        </w:tabs>
        <w:ind w:left="-2" w:leftChars="0" w:right="865" w:firstLine="440" w:firstLineChars="200"/>
        <w:jc w:val="both"/>
        <w:rPr>
          <w:rFonts w:hint="eastAsia" w:eastAsia="宋体" w:asciiTheme="minorAscii" w:hAnsiTheme="minorAscii" w:cstheme="minorBidi"/>
          <w:kern w:val="2"/>
          <w:sz w:val="22"/>
          <w:szCs w:val="24"/>
          <w:u w:val="none"/>
          <w:lang w:val="en-US" w:eastAsia="zh-CN" w:bidi="ar-SA"/>
        </w:rPr>
      </w:pPr>
      <w:r>
        <w:rPr>
          <w:rFonts w:hint="eastAsia" w:eastAsia="宋体" w:asciiTheme="minorAscii" w:hAnsiTheme="minorAscii" w:cstheme="minorBidi"/>
          <w:kern w:val="2"/>
          <w:sz w:val="22"/>
          <w:szCs w:val="24"/>
          <w:lang w:val="en-US" w:eastAsia="zh-CN" w:bidi="ar-SA"/>
        </w:rPr>
        <w:t>单位名称：</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0C4DA6EB">
      <w:pPr>
        <w:pStyle w:val="10"/>
        <w:tabs>
          <w:tab w:val="left" w:pos="4228"/>
          <w:tab w:val="left" w:pos="7975"/>
        </w:tabs>
        <w:ind w:left="-2" w:leftChars="0" w:right="865" w:firstLine="440" w:firstLineChars="200"/>
        <w:jc w:val="both"/>
        <w:rPr>
          <w:rFonts w:hint="eastAsia"/>
        </w:rPr>
      </w:pPr>
      <w:r>
        <w:rPr>
          <w:rFonts w:hint="eastAsia" w:eastAsia="宋体" w:asciiTheme="minorAscii" w:hAnsiTheme="minorAscii" w:cstheme="minorBidi"/>
          <w:kern w:val="2"/>
          <w:sz w:val="22"/>
          <w:szCs w:val="24"/>
          <w:lang w:val="en-US" w:eastAsia="zh-CN" w:bidi="ar-SA"/>
        </w:rPr>
        <w:t>联系电话：</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13ED847C">
      <w:pPr>
        <w:spacing w:line="360" w:lineRule="auto"/>
        <w:ind w:left="-2" w:leftChars="0" w:right="-977" w:rightChars="-444" w:firstLine="0" w:firstLineChars="0"/>
        <w:jc w:val="left"/>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8</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联系方式</w:t>
      </w:r>
    </w:p>
    <w:p w14:paraId="53FC8CFD">
      <w:pPr>
        <w:pStyle w:val="10"/>
        <w:tabs>
          <w:tab w:val="left" w:pos="4228"/>
          <w:tab w:val="left" w:pos="7975"/>
        </w:tabs>
        <w:ind w:left="0" w:leftChars="0" w:right="865" w:firstLine="440" w:firstLineChars="200"/>
        <w:jc w:val="both"/>
        <w:rPr>
          <w:rFonts w:cs="Times New Roman" w:asciiTheme="minorEastAsia" w:hAnsiTheme="minorEastAsia" w:eastAsiaTheme="minorEastAsia"/>
        </w:rPr>
      </w:pPr>
      <w:r>
        <w:rPr>
          <w:rFonts w:asciiTheme="minorEastAsia" w:hAnsiTheme="minorEastAsia" w:eastAsiaTheme="minorEastAsia"/>
        </w:rPr>
        <w:t>招 标</w:t>
      </w:r>
      <w:r>
        <w:rPr>
          <w:rFonts w:asciiTheme="minorEastAsia" w:hAnsiTheme="minorEastAsia" w:eastAsiaTheme="minorEastAsia"/>
          <w:spacing w:val="2"/>
        </w:rPr>
        <w:t xml:space="preserve"> </w:t>
      </w:r>
      <w:r>
        <w:rPr>
          <w:rFonts w:asciiTheme="minorEastAsia" w:hAnsiTheme="minorEastAsia" w:eastAsiaTheme="minorEastAsia"/>
        </w:rPr>
        <w:t>人：</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0941EACA">
      <w:pPr>
        <w:pStyle w:val="10"/>
        <w:tabs>
          <w:tab w:val="left" w:pos="4228"/>
          <w:tab w:val="left" w:pos="7975"/>
        </w:tabs>
        <w:ind w:left="0" w:leftChars="0" w:right="865" w:firstLine="440" w:firstLineChars="200"/>
        <w:jc w:val="both"/>
        <w:rPr>
          <w:rFonts w:cs="Times New Roman" w:asciiTheme="minorEastAsia" w:hAnsiTheme="minorEastAsia" w:eastAsiaTheme="minorEastAsia"/>
        </w:rPr>
      </w:pPr>
      <w:r>
        <w:rPr>
          <w:rFonts w:asciiTheme="minorEastAsia" w:hAnsiTheme="minorEastAsia" w:eastAsiaTheme="minorEastAsia"/>
        </w:rPr>
        <w:t xml:space="preserve">地   </w:t>
      </w:r>
      <w:r>
        <w:rPr>
          <w:rFonts w:asciiTheme="minorEastAsia" w:hAnsiTheme="minorEastAsia" w:eastAsiaTheme="minorEastAsia"/>
          <w:spacing w:val="3"/>
        </w:rPr>
        <w:t xml:space="preserve"> </w:t>
      </w:r>
      <w:r>
        <w:rPr>
          <w:rFonts w:asciiTheme="minorEastAsia" w:hAnsiTheme="minorEastAsia" w:eastAsiaTheme="minorEastAsia"/>
        </w:rPr>
        <w:t>址：</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3E197169">
      <w:pPr>
        <w:pStyle w:val="10"/>
        <w:tabs>
          <w:tab w:val="left" w:pos="4228"/>
          <w:tab w:val="left" w:pos="7975"/>
        </w:tabs>
        <w:ind w:left="0" w:leftChars="0" w:right="865" w:firstLine="440" w:firstLineChars="200"/>
        <w:jc w:val="both"/>
        <w:rPr>
          <w:rFonts w:hint="eastAsia" w:cs="Times New Roman" w:asciiTheme="minorEastAsia" w:hAnsiTheme="minorEastAsia" w:eastAsiaTheme="minorEastAsia"/>
          <w:lang w:eastAsia="zh-CN"/>
        </w:rPr>
      </w:pPr>
      <w:r>
        <w:rPr>
          <w:rFonts w:asciiTheme="minorEastAsia" w:hAnsiTheme="minorEastAsia" w:eastAsiaTheme="minorEastAsia"/>
        </w:rPr>
        <w:t xml:space="preserve">邮   </w:t>
      </w:r>
      <w:r>
        <w:rPr>
          <w:rFonts w:asciiTheme="minorEastAsia" w:hAnsiTheme="minorEastAsia" w:eastAsiaTheme="minorEastAsia"/>
          <w:spacing w:val="3"/>
        </w:rPr>
        <w:t xml:space="preserve"> </w:t>
      </w:r>
      <w:r>
        <w:rPr>
          <w:rFonts w:asciiTheme="minorEastAsia" w:hAnsiTheme="minorEastAsia" w:eastAsiaTheme="minorEastAsia"/>
        </w:rPr>
        <w:t>编：</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3029B1B7">
      <w:pPr>
        <w:pStyle w:val="10"/>
        <w:tabs>
          <w:tab w:val="left" w:pos="4228"/>
          <w:tab w:val="left" w:pos="7975"/>
        </w:tabs>
        <w:ind w:left="0" w:leftChars="0" w:right="865" w:firstLine="440" w:firstLineChars="200"/>
        <w:jc w:val="both"/>
        <w:rPr>
          <w:rFonts w:hint="eastAsia" w:asciiTheme="minorEastAsia" w:hAnsiTheme="minorEastAsia" w:eastAsiaTheme="minorEastAsia"/>
          <w:lang w:eastAsia="zh-CN"/>
        </w:rPr>
      </w:pPr>
      <w:r>
        <w:rPr>
          <w:rFonts w:asciiTheme="minorEastAsia" w:hAnsiTheme="minorEastAsia" w:eastAsiaTheme="minorEastAsia"/>
        </w:rPr>
        <w:t>联 系</w:t>
      </w:r>
      <w:r>
        <w:rPr>
          <w:rFonts w:asciiTheme="minorEastAsia" w:hAnsiTheme="minorEastAsia" w:eastAsiaTheme="minorEastAsia"/>
          <w:spacing w:val="2"/>
        </w:rPr>
        <w:t xml:space="preserve"> </w:t>
      </w:r>
      <w:r>
        <w:rPr>
          <w:rFonts w:asciiTheme="minorEastAsia" w:hAnsiTheme="minorEastAsia" w:eastAsiaTheme="minorEastAsia"/>
        </w:rPr>
        <w:t>人：</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7DDA8120">
      <w:pPr>
        <w:pStyle w:val="10"/>
        <w:tabs>
          <w:tab w:val="left" w:pos="4228"/>
          <w:tab w:val="left" w:pos="7975"/>
        </w:tabs>
        <w:ind w:left="0" w:leftChars="0" w:right="865" w:firstLine="440" w:firstLineChars="200"/>
        <w:jc w:val="both"/>
        <w:rPr>
          <w:rFonts w:cs="Times New Roman" w:asciiTheme="minorEastAsia" w:hAnsiTheme="minorEastAsia"/>
          <w:sz w:val="20"/>
          <w:szCs w:val="20"/>
        </w:rPr>
      </w:pPr>
      <w:r>
        <w:rPr>
          <w:rFonts w:asciiTheme="minorEastAsia" w:hAnsiTheme="minorEastAsia" w:eastAsiaTheme="minorEastAsia"/>
        </w:rPr>
        <w:t xml:space="preserve">电   </w:t>
      </w:r>
      <w:r>
        <w:rPr>
          <w:rFonts w:asciiTheme="minorEastAsia" w:hAnsiTheme="minorEastAsia" w:eastAsiaTheme="minorEastAsia"/>
          <w:spacing w:val="3"/>
        </w:rPr>
        <w:t xml:space="preserve"> </w:t>
      </w:r>
      <w:r>
        <w:rPr>
          <w:rFonts w:asciiTheme="minorEastAsia" w:hAnsiTheme="minorEastAsia" w:eastAsiaTheme="minorEastAsia"/>
        </w:rPr>
        <w:t>话：</w:t>
      </w:r>
      <w:r>
        <w:rPr>
          <w:rFonts w:hint="eastAsia" w:cs="Times New Roman" w:asciiTheme="minorEastAsia" w:hAnsiTheme="minorEastAsia" w:eastAsiaTheme="minorEastAsia"/>
          <w:u w:val="single" w:color="000000"/>
          <w:lang w:eastAsia="zh-CN"/>
        </w:rPr>
        <w:t xml:space="preserve">                     </w:t>
      </w:r>
      <w:r>
        <w:rPr>
          <w:rFonts w:cs="Times New Roman" w:asciiTheme="minorEastAsia" w:hAnsiTheme="minorEastAsia" w:eastAsiaTheme="minorEastAsia"/>
        </w:rPr>
        <w:t xml:space="preserve"> </w:t>
      </w:r>
    </w:p>
    <w:p w14:paraId="1567F8B9">
      <w:pPr>
        <w:pStyle w:val="10"/>
        <w:tabs>
          <w:tab w:val="left" w:pos="4228"/>
          <w:tab w:val="left" w:pos="7975"/>
        </w:tabs>
        <w:ind w:left="0" w:leftChars="0" w:right="865" w:firstLine="440" w:firstLineChars="200"/>
        <w:jc w:val="both"/>
        <w:rPr>
          <w:rFonts w:hint="eastAsia" w:asciiTheme="minorEastAsia" w:hAnsiTheme="minorEastAsia" w:eastAsiaTheme="minorEastAsia"/>
          <w:lang w:val="en-US" w:eastAsia="zh-CN"/>
        </w:rPr>
      </w:pPr>
    </w:p>
    <w:p w14:paraId="4ED137C3">
      <w:pPr>
        <w:pStyle w:val="10"/>
        <w:tabs>
          <w:tab w:val="left" w:pos="4228"/>
          <w:tab w:val="left" w:pos="7975"/>
        </w:tabs>
        <w:ind w:left="0" w:leftChars="0" w:right="865" w:firstLine="440" w:firstLineChars="200"/>
        <w:jc w:val="both"/>
        <w:rPr>
          <w:rFonts w:hint="eastAsia" w:cs="Times New Roman" w:asciiTheme="minorEastAsia" w:hAnsiTheme="minorEastAsia" w:eastAsiaTheme="minorEastAsia"/>
          <w:lang w:eastAsia="zh-CN"/>
        </w:rPr>
      </w:pPr>
      <w:r>
        <w:rPr>
          <w:rFonts w:hint="eastAsia" w:asciiTheme="minorEastAsia" w:hAnsiTheme="minorEastAsia" w:eastAsiaTheme="minorEastAsia"/>
          <w:lang w:val="en-US" w:eastAsia="zh-CN"/>
        </w:rPr>
        <w:t>招标代理机构</w:t>
      </w:r>
      <w:r>
        <w:rPr>
          <w:rFonts w:asciiTheme="minorEastAsia" w:hAnsiTheme="minorEastAsia" w:eastAsiaTheme="minorEastAsia"/>
        </w:rPr>
        <w:t>：</w:t>
      </w:r>
      <w:r>
        <w:rPr>
          <w:rFonts w:hint="eastAsia" w:cs="Times New Roman" w:asciiTheme="minorEastAsia" w:hAnsiTheme="minorEastAsia" w:eastAsiaTheme="minorEastAsia"/>
          <w:u w:val="single" w:color="000000"/>
          <w:lang w:eastAsia="zh-CN"/>
        </w:rPr>
        <w:t xml:space="preserve">                  </w:t>
      </w:r>
    </w:p>
    <w:p w14:paraId="4C89EC0C">
      <w:pPr>
        <w:pStyle w:val="10"/>
        <w:tabs>
          <w:tab w:val="left" w:pos="4228"/>
          <w:tab w:val="left" w:pos="7975"/>
        </w:tabs>
        <w:ind w:left="0" w:leftChars="0" w:right="865" w:firstLine="440" w:firstLineChars="200"/>
        <w:jc w:val="both"/>
        <w:rPr>
          <w:rFonts w:cs="Times New Roman" w:asciiTheme="minorEastAsia" w:hAnsiTheme="minorEastAsia" w:eastAsiaTheme="minorEastAsia"/>
        </w:rPr>
      </w:pPr>
      <w:r>
        <w:rPr>
          <w:rFonts w:asciiTheme="minorEastAsia" w:hAnsiTheme="minorEastAsia" w:eastAsiaTheme="minorEastAsia"/>
        </w:rPr>
        <w:t xml:space="preserve">地   </w:t>
      </w:r>
      <w:r>
        <w:rPr>
          <w:rFonts w:asciiTheme="minorEastAsia" w:hAnsiTheme="minorEastAsia" w:eastAsiaTheme="minorEastAsia"/>
          <w:spacing w:val="3"/>
        </w:rPr>
        <w:t xml:space="preserve"> </w:t>
      </w:r>
      <w:r>
        <w:rPr>
          <w:rFonts w:asciiTheme="minorEastAsia" w:hAnsiTheme="minorEastAsia" w:eastAsiaTheme="minorEastAsia"/>
        </w:rPr>
        <w:t>址：</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7595BD0F">
      <w:pPr>
        <w:pStyle w:val="10"/>
        <w:tabs>
          <w:tab w:val="left" w:pos="4228"/>
          <w:tab w:val="left" w:pos="7975"/>
        </w:tabs>
        <w:ind w:left="0" w:leftChars="0" w:right="865" w:firstLine="440" w:firstLineChars="200"/>
        <w:jc w:val="both"/>
        <w:rPr>
          <w:rFonts w:hint="eastAsia" w:cs="Times New Roman" w:asciiTheme="minorEastAsia" w:hAnsiTheme="minorEastAsia" w:eastAsiaTheme="minorEastAsia"/>
          <w:lang w:eastAsia="zh-CN"/>
        </w:rPr>
      </w:pPr>
      <w:r>
        <w:rPr>
          <w:rFonts w:asciiTheme="minorEastAsia" w:hAnsiTheme="minorEastAsia" w:eastAsiaTheme="minorEastAsia"/>
        </w:rPr>
        <w:t xml:space="preserve">邮   </w:t>
      </w:r>
      <w:r>
        <w:rPr>
          <w:rFonts w:asciiTheme="minorEastAsia" w:hAnsiTheme="minorEastAsia" w:eastAsiaTheme="minorEastAsia"/>
          <w:spacing w:val="3"/>
        </w:rPr>
        <w:t xml:space="preserve"> </w:t>
      </w:r>
      <w:r>
        <w:rPr>
          <w:rFonts w:asciiTheme="minorEastAsia" w:hAnsiTheme="minorEastAsia" w:eastAsiaTheme="minorEastAsia"/>
        </w:rPr>
        <w:t>编：</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0A95F342">
      <w:pPr>
        <w:pStyle w:val="10"/>
        <w:tabs>
          <w:tab w:val="left" w:pos="4228"/>
          <w:tab w:val="left" w:pos="7975"/>
        </w:tabs>
        <w:ind w:left="0" w:leftChars="0" w:right="865" w:firstLine="440" w:firstLineChars="200"/>
        <w:jc w:val="both"/>
        <w:rPr>
          <w:rFonts w:hint="eastAsia" w:asciiTheme="minorEastAsia" w:hAnsiTheme="minorEastAsia" w:eastAsiaTheme="minorEastAsia"/>
          <w:lang w:eastAsia="zh-CN"/>
        </w:rPr>
      </w:pPr>
      <w:r>
        <w:rPr>
          <w:rFonts w:asciiTheme="minorEastAsia" w:hAnsiTheme="minorEastAsia" w:eastAsiaTheme="minorEastAsia"/>
        </w:rPr>
        <w:t>联 系</w:t>
      </w:r>
      <w:r>
        <w:rPr>
          <w:rFonts w:asciiTheme="minorEastAsia" w:hAnsiTheme="minorEastAsia" w:eastAsiaTheme="minorEastAsia"/>
          <w:spacing w:val="2"/>
        </w:rPr>
        <w:t xml:space="preserve"> </w:t>
      </w:r>
      <w:r>
        <w:rPr>
          <w:rFonts w:asciiTheme="minorEastAsia" w:hAnsiTheme="minorEastAsia" w:eastAsiaTheme="minorEastAsia"/>
        </w:rPr>
        <w:t>人：</w:t>
      </w:r>
      <w:r>
        <w:rPr>
          <w:rFonts w:hint="eastAsia" w:cs="Times New Roman" w:asciiTheme="minorEastAsia" w:hAnsiTheme="minorEastAsia" w:eastAsiaTheme="minorEastAsia"/>
          <w:u w:val="single" w:color="000000"/>
          <w:lang w:eastAsia="zh-CN"/>
        </w:rPr>
        <w:t xml:space="preserve">                 </w:t>
      </w:r>
      <w:r>
        <w:rPr>
          <w:rFonts w:hint="eastAsia" w:cs="Times New Roman" w:asciiTheme="minorEastAsia" w:hAnsiTheme="minorEastAsia" w:eastAsiaTheme="minorEastAsia"/>
          <w:u w:val="single" w:color="000000"/>
          <w:lang w:val="en-US" w:eastAsia="zh-CN"/>
        </w:rPr>
        <w:t xml:space="preserve"> </w:t>
      </w:r>
      <w:r>
        <w:rPr>
          <w:rFonts w:hint="eastAsia" w:cs="Times New Roman" w:asciiTheme="minorEastAsia" w:hAnsiTheme="minorEastAsia" w:eastAsiaTheme="minorEastAsia"/>
          <w:u w:val="single" w:color="000000"/>
          <w:lang w:eastAsia="zh-CN"/>
        </w:rPr>
        <w:t xml:space="preserve">    </w:t>
      </w:r>
    </w:p>
    <w:p w14:paraId="1854456A">
      <w:pPr>
        <w:pStyle w:val="10"/>
        <w:tabs>
          <w:tab w:val="left" w:pos="4228"/>
          <w:tab w:val="left" w:pos="7975"/>
        </w:tabs>
        <w:ind w:left="0" w:leftChars="0" w:right="865" w:firstLine="440" w:firstLineChars="200"/>
        <w:jc w:val="both"/>
        <w:rPr>
          <w:rFonts w:ascii="方正仿宋_GB2312" w:hAnsi="宋体" w:eastAsia="方正仿宋_GB2312"/>
          <w:color w:val="auto"/>
          <w:szCs w:val="21"/>
          <w:highlight w:val="none"/>
        </w:rPr>
      </w:pPr>
      <w:r>
        <w:rPr>
          <w:rFonts w:asciiTheme="minorEastAsia" w:hAnsiTheme="minorEastAsia" w:eastAsiaTheme="minorEastAsia"/>
        </w:rPr>
        <w:t xml:space="preserve">电   </w:t>
      </w:r>
      <w:r>
        <w:rPr>
          <w:rFonts w:asciiTheme="minorEastAsia" w:hAnsiTheme="minorEastAsia" w:eastAsiaTheme="minorEastAsia"/>
          <w:spacing w:val="3"/>
        </w:rPr>
        <w:t xml:space="preserve"> </w:t>
      </w:r>
      <w:r>
        <w:rPr>
          <w:rFonts w:asciiTheme="minorEastAsia" w:hAnsiTheme="minorEastAsia" w:eastAsiaTheme="minorEastAsia"/>
        </w:rPr>
        <w:t>话：</w:t>
      </w:r>
      <w:r>
        <w:rPr>
          <w:rFonts w:hint="eastAsia" w:cs="Times New Roman" w:asciiTheme="minorEastAsia" w:hAnsiTheme="minorEastAsia" w:eastAsiaTheme="minorEastAsia"/>
          <w:u w:val="single" w:color="000000"/>
          <w:lang w:eastAsia="zh-CN"/>
        </w:rPr>
        <w:t xml:space="preserve">                     </w:t>
      </w:r>
      <w:r>
        <w:rPr>
          <w:rFonts w:cs="Times New Roman" w:asciiTheme="minorEastAsia" w:hAnsiTheme="minorEastAsia" w:eastAsiaTheme="minorEastAsia"/>
        </w:rPr>
        <w:t xml:space="preserve"> </w:t>
      </w:r>
    </w:p>
    <w:bookmarkEnd w:id="70"/>
    <w:bookmarkEnd w:id="71"/>
    <w:bookmarkEnd w:id="72"/>
    <w:bookmarkEnd w:id="73"/>
    <w:bookmarkEnd w:id="74"/>
    <w:bookmarkEnd w:id="75"/>
    <w:bookmarkEnd w:id="76"/>
    <w:bookmarkEnd w:id="77"/>
    <w:p w14:paraId="37FDE1CD">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注： </w:t>
      </w:r>
    </w:p>
    <w:p w14:paraId="08B88271">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（1）项目名称、工程名称(工程量清单)约定为项目审批名称（以立项批复或可行性研究报告批复为准）。 </w:t>
      </w:r>
    </w:p>
    <w:p w14:paraId="3156E7A9">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（2）如未划分标段，“</w:t>
      </w:r>
      <w:r>
        <w:rPr>
          <w:rFonts w:hint="eastAsia" w:ascii="宋体" w:hAnsi="宋体" w:cs="宋体"/>
          <w:color w:val="FF0000"/>
          <w:sz w:val="18"/>
          <w:szCs w:val="18"/>
          <w:u w:val="single"/>
        </w:rPr>
        <w:t xml:space="preserve">   </w:t>
      </w:r>
      <w:r>
        <w:rPr>
          <w:rFonts w:hint="eastAsia" w:ascii="宋体" w:hAnsi="宋体" w:cs="宋体"/>
          <w:color w:val="FF0000"/>
          <w:sz w:val="18"/>
          <w:szCs w:val="18"/>
        </w:rPr>
        <w:t>标段”填写为“</w:t>
      </w:r>
      <w:r>
        <w:rPr>
          <w:rFonts w:hint="eastAsia" w:ascii="宋体" w:hAnsi="宋体" w:cs="宋体"/>
          <w:color w:val="FF0000"/>
          <w:sz w:val="18"/>
          <w:szCs w:val="18"/>
          <w:u w:val="single"/>
        </w:rPr>
        <w:t xml:space="preserve"> / </w:t>
      </w:r>
      <w:r>
        <w:rPr>
          <w:rFonts w:hint="eastAsia" w:ascii="宋体" w:hAnsi="宋体" w:cs="宋体"/>
          <w:color w:val="FF0000"/>
          <w:sz w:val="18"/>
          <w:szCs w:val="18"/>
        </w:rPr>
        <w:t xml:space="preserve">标段”，如划分标段，则填写标段序号 </w:t>
      </w:r>
    </w:p>
    <w:p w14:paraId="60DD6FE0">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（3）“项目概况及招标范围”应明确本次招标的详细范围和内容； </w:t>
      </w:r>
    </w:p>
    <w:p w14:paraId="7B1B2305">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（4）如划分为两个及以上标段，应分别明确各标段</w:t>
      </w:r>
      <w:r>
        <w:rPr>
          <w:rFonts w:hint="eastAsia" w:ascii="宋体" w:hAnsi="宋体" w:cs="宋体"/>
          <w:color w:val="FF0000"/>
          <w:sz w:val="18"/>
          <w:szCs w:val="18"/>
          <w:lang w:eastAsia="zh-CN"/>
        </w:rPr>
        <w:t>的</w:t>
      </w:r>
      <w:r>
        <w:rPr>
          <w:rFonts w:hint="eastAsia" w:ascii="宋体" w:hAnsi="宋体" w:cs="宋体"/>
          <w:color w:val="FF0000"/>
          <w:sz w:val="18"/>
          <w:szCs w:val="18"/>
        </w:rPr>
        <w:t>具体内容、划分情况以及</w:t>
      </w:r>
      <w:r>
        <w:rPr>
          <w:rFonts w:hint="eastAsia" w:ascii="宋体" w:hAnsi="宋体" w:cs="宋体"/>
          <w:color w:val="FF0000"/>
          <w:sz w:val="18"/>
          <w:szCs w:val="18"/>
          <w:lang w:eastAsia="zh-CN"/>
        </w:rPr>
        <w:t>最高投标限价</w:t>
      </w:r>
      <w:r>
        <w:rPr>
          <w:rFonts w:hint="eastAsia" w:ascii="宋体" w:hAnsi="宋体" w:cs="宋体"/>
          <w:color w:val="FF0000"/>
          <w:sz w:val="18"/>
          <w:szCs w:val="18"/>
        </w:rPr>
        <w:t xml:space="preserve">。 </w:t>
      </w:r>
    </w:p>
    <w:p w14:paraId="07304684">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（5）招标人对投标人的资质要求，应是国家对投标人资质的强制性规定。不是国家规定的必须具备的资质，不得作为参加投标的条件。 </w:t>
      </w:r>
    </w:p>
    <w:p w14:paraId="13F32FF9">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6）招标人设置的类似工程业绩指标仅限于工程规模、结构形式、施工工艺等方面，且应符合本次工程招标的内容。类似工程业绩中设置的投资额、面积、长度等规模性量化指标不得高于本次招标工程相应指标。类似工程业绩个数不得超过3个。 </w:t>
      </w:r>
    </w:p>
    <w:p w14:paraId="313CCA60">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（7）招标人要求投标人须具备的资质一个项目（标段）为一个，因特殊情况需要两个以上资质的，应允许（接受）投标人组成联合体投标，且不得限制联合体成员数量小于资质类别数量。 </w:t>
      </w:r>
    </w:p>
    <w:p w14:paraId="39D90B15">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     两个以上不同资质等级的单位实行联合共同承包的，联合体资质应符合法律法规的规定，并按照联合体协议约定的职责分工予以认定。 </w:t>
      </w:r>
    </w:p>
    <w:p w14:paraId="7FE707AC">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（8）标准招标文件中的“以上”包括本数。 </w:t>
      </w:r>
    </w:p>
    <w:p w14:paraId="3631DC87">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 xml:space="preserve">（9）近年已完成业绩是指业绩的完成时间在设定的年限内，招标文件不得另行增加“承接并完成”“中标并完成”“开工并完成”等表述。 </w:t>
      </w:r>
    </w:p>
    <w:p w14:paraId="0AF8F42B">
      <w:pPr>
        <w:spacing w:line="240" w:lineRule="auto"/>
        <w:jc w:val="both"/>
        <w:rPr>
          <w:rFonts w:hint="eastAsia" w:ascii="宋体" w:hAnsi="宋体" w:cs="宋体"/>
          <w:color w:val="FF0000"/>
          <w:sz w:val="18"/>
          <w:szCs w:val="18"/>
        </w:rPr>
      </w:pPr>
      <w:r>
        <w:rPr>
          <w:rFonts w:hint="eastAsia" w:ascii="宋体" w:hAnsi="宋体" w:cs="宋体"/>
          <w:color w:val="FF0000"/>
          <w:sz w:val="18"/>
          <w:szCs w:val="18"/>
        </w:rPr>
        <w:t>（10）第三章“评标办法”前附表注（4）中所称“业绩每类别”是指：勘察、设计、施工、工程总承包以及设备材料采购中的投标人业绩、投标设备（材料）业绩等，人员业绩的设定参照本要求。投标人可以同一业绩适用企业业绩和人员业绩要求或者多个类别业绩要求，招标文件不得设定“业绩不重复计分”等内容。</w:t>
      </w:r>
    </w:p>
    <w:p w14:paraId="2CEAEB16">
      <w:pPr>
        <w:jc w:val="left"/>
        <w:rPr>
          <w:rFonts w:hint="eastAsia" w:ascii="宋体" w:hAnsi="宋体" w:cs="宋体"/>
          <w:color w:val="FF0000"/>
          <w:sz w:val="18"/>
          <w:szCs w:val="18"/>
        </w:rPr>
      </w:pPr>
      <w:r>
        <w:rPr>
          <w:rFonts w:hint="eastAsia" w:ascii="宋体" w:hAnsi="宋体" w:cs="宋体"/>
          <w:color w:val="FF0000"/>
          <w:sz w:val="18"/>
          <w:szCs w:val="18"/>
        </w:rPr>
        <w:br w:type="page"/>
      </w:r>
    </w:p>
    <w:p w14:paraId="061CD990">
      <w:pPr>
        <w:spacing w:line="240" w:lineRule="auto"/>
        <w:jc w:val="both"/>
        <w:rPr>
          <w:rFonts w:hint="eastAsia" w:ascii="宋体" w:hAnsi="宋体" w:cs="宋体"/>
          <w:sz w:val="18"/>
          <w:szCs w:val="18"/>
        </w:rPr>
      </w:pPr>
    </w:p>
    <w:p w14:paraId="78E5487D">
      <w:pPr>
        <w:jc w:val="both"/>
        <w:rPr>
          <w:rFonts w:ascii="宋体" w:hAnsi="宋体" w:cs="宋体"/>
          <w:sz w:val="22"/>
          <w:szCs w:val="22"/>
        </w:rPr>
      </w:pPr>
      <w:r>
        <w:rPr>
          <w:rFonts w:hint="eastAsia" w:ascii="宋体" w:hAnsi="宋体" w:cs="宋体"/>
          <w:sz w:val="22"/>
          <w:szCs w:val="22"/>
        </w:rPr>
        <w:t>附件：确认通知</w:t>
      </w:r>
    </w:p>
    <w:p w14:paraId="407508B6">
      <w:pPr>
        <w:jc w:val="center"/>
        <w:rPr>
          <w:rFonts w:ascii="宋体" w:hAnsi="宋体" w:cs="宋体"/>
          <w:b/>
          <w:bCs/>
          <w:sz w:val="24"/>
        </w:rPr>
      </w:pPr>
    </w:p>
    <w:p w14:paraId="052D577E">
      <w:pPr>
        <w:jc w:val="center"/>
        <w:rPr>
          <w:rFonts w:ascii="宋体" w:hAnsi="宋体" w:cs="宋体"/>
          <w:b/>
          <w:bCs/>
          <w:sz w:val="22"/>
          <w:szCs w:val="22"/>
        </w:rPr>
      </w:pPr>
      <w:bookmarkStart w:id="94" w:name="_Toc27914_WPSOffice_Level1"/>
      <w:r>
        <w:rPr>
          <w:rFonts w:hint="eastAsia" w:ascii="宋体" w:hAnsi="宋体" w:cs="宋体"/>
          <w:b/>
          <w:bCs/>
          <w:sz w:val="22"/>
          <w:szCs w:val="22"/>
        </w:rPr>
        <w:t>确认通知</w:t>
      </w:r>
      <w:bookmarkEnd w:id="94"/>
    </w:p>
    <w:p w14:paraId="634453F0">
      <w:pPr>
        <w:jc w:val="center"/>
        <w:rPr>
          <w:rFonts w:ascii="宋体" w:hAnsi="宋体" w:cs="宋体"/>
          <w:b/>
          <w:bCs/>
          <w:sz w:val="22"/>
          <w:szCs w:val="22"/>
        </w:rPr>
      </w:pPr>
    </w:p>
    <w:p w14:paraId="0E5C2170">
      <w:pPr>
        <w:jc w:val="both"/>
        <w:rPr>
          <w:rFonts w:ascii="宋体" w:hAnsi="宋体" w:cs="宋体"/>
          <w:b/>
          <w:bCs/>
          <w:sz w:val="22"/>
          <w:szCs w:val="22"/>
        </w:rPr>
      </w:pPr>
      <w:r>
        <w:rPr>
          <w:rFonts w:hint="eastAsia" w:ascii="宋体" w:hAnsi="宋体" w:cs="宋体"/>
          <w:b/>
          <w:sz w:val="22"/>
          <w:szCs w:val="22"/>
          <w:u w:val="single"/>
        </w:rPr>
        <w:t xml:space="preserve">                           </w:t>
      </w:r>
      <w:r>
        <w:rPr>
          <w:rFonts w:hint="eastAsia" w:ascii="宋体" w:hAnsi="宋体" w:cs="宋体"/>
          <w:b/>
          <w:color w:val="FF0000"/>
          <w:sz w:val="22"/>
          <w:szCs w:val="22"/>
        </w:rPr>
        <w:t>（招标人名称）</w:t>
      </w:r>
      <w:r>
        <w:rPr>
          <w:rFonts w:hint="eastAsia" w:ascii="宋体" w:hAnsi="宋体" w:cs="宋体"/>
          <w:b/>
          <w:sz w:val="22"/>
          <w:szCs w:val="22"/>
        </w:rPr>
        <w:t>：</w:t>
      </w:r>
    </w:p>
    <w:p w14:paraId="1C4F9437">
      <w:pPr>
        <w:adjustRightInd w:val="0"/>
        <w:snapToGrid w:val="0"/>
        <w:jc w:val="both"/>
        <w:rPr>
          <w:rFonts w:ascii="宋体" w:hAnsi="宋体" w:cs="宋体"/>
          <w:sz w:val="24"/>
        </w:rPr>
      </w:pPr>
    </w:p>
    <w:p w14:paraId="3E894232">
      <w:pPr>
        <w:adjustRightInd w:val="0"/>
        <w:snapToGrid w:val="0"/>
        <w:ind w:firstLine="440" w:firstLineChars="200"/>
        <w:jc w:val="both"/>
        <w:rPr>
          <w:rFonts w:ascii="宋体" w:hAnsi="宋体" w:cs="宋体"/>
          <w:szCs w:val="22"/>
        </w:rPr>
      </w:pPr>
      <w:r>
        <w:rPr>
          <w:rFonts w:hint="eastAsia" w:ascii="宋体" w:hAnsi="宋体" w:cs="宋体"/>
          <w:szCs w:val="22"/>
        </w:rPr>
        <w:t>我方已于</w:t>
      </w:r>
      <w:r>
        <w:rPr>
          <w:rFonts w:hint="eastAsia" w:ascii="宋体" w:hAnsi="宋体" w:cs="宋体"/>
          <w:b/>
          <w:szCs w:val="22"/>
          <w:u w:val="single"/>
        </w:rPr>
        <w:t xml:space="preserve"> </w:t>
      </w:r>
      <w:r>
        <w:rPr>
          <w:rFonts w:hint="eastAsia" w:ascii="宋体" w:hAnsi="宋体" w:cs="宋体"/>
          <w:b/>
          <w:szCs w:val="22"/>
          <w:u w:val="single"/>
          <w:lang w:val="en-US" w:eastAsia="zh-CN"/>
        </w:rPr>
        <w:t xml:space="preserve">  </w:t>
      </w:r>
      <w:r>
        <w:rPr>
          <w:rFonts w:hint="eastAsia" w:ascii="宋体" w:hAnsi="宋体" w:cs="宋体"/>
          <w:b/>
          <w:szCs w:val="22"/>
          <w:u w:val="single"/>
        </w:rPr>
        <w:t xml:space="preserve">  </w:t>
      </w:r>
      <w:r>
        <w:rPr>
          <w:rFonts w:hint="eastAsia" w:ascii="宋体" w:hAnsi="宋体" w:cs="宋体"/>
          <w:szCs w:val="22"/>
        </w:rPr>
        <w:t>年</w:t>
      </w:r>
      <w:r>
        <w:rPr>
          <w:rFonts w:hint="eastAsia" w:ascii="宋体" w:hAnsi="宋体" w:cs="宋体"/>
          <w:b/>
          <w:szCs w:val="22"/>
          <w:u w:val="single"/>
        </w:rPr>
        <w:t xml:space="preserve"> </w:t>
      </w:r>
      <w:r>
        <w:rPr>
          <w:rFonts w:hint="eastAsia" w:ascii="宋体" w:hAnsi="宋体" w:cs="宋体"/>
          <w:b/>
          <w:szCs w:val="22"/>
          <w:u w:val="single"/>
          <w:lang w:val="en-US" w:eastAsia="zh-CN"/>
        </w:rPr>
        <w:t xml:space="preserve"> </w:t>
      </w:r>
      <w:r>
        <w:rPr>
          <w:rFonts w:hint="eastAsia" w:ascii="宋体" w:hAnsi="宋体" w:cs="宋体"/>
          <w:b/>
          <w:szCs w:val="22"/>
          <w:u w:val="single"/>
        </w:rPr>
        <w:t xml:space="preserve"> </w:t>
      </w:r>
      <w:r>
        <w:rPr>
          <w:rFonts w:hint="eastAsia" w:ascii="宋体" w:hAnsi="宋体" w:cs="宋体"/>
          <w:szCs w:val="22"/>
        </w:rPr>
        <w:t>月</w:t>
      </w:r>
      <w:r>
        <w:rPr>
          <w:rFonts w:hint="eastAsia" w:ascii="宋体" w:hAnsi="宋体" w:cs="宋体"/>
          <w:b/>
          <w:szCs w:val="22"/>
          <w:u w:val="single"/>
        </w:rPr>
        <w:t xml:space="preserve"> </w:t>
      </w:r>
      <w:r>
        <w:rPr>
          <w:rFonts w:hint="eastAsia" w:ascii="宋体" w:hAnsi="宋体" w:cs="宋体"/>
          <w:b/>
          <w:szCs w:val="22"/>
          <w:u w:val="single"/>
          <w:lang w:val="en-US" w:eastAsia="zh-CN"/>
        </w:rPr>
        <w:t xml:space="preserve"> </w:t>
      </w:r>
      <w:r>
        <w:rPr>
          <w:rFonts w:hint="eastAsia" w:ascii="宋体" w:hAnsi="宋体" w:cs="宋体"/>
          <w:b/>
          <w:szCs w:val="22"/>
          <w:u w:val="single"/>
        </w:rPr>
        <w:t xml:space="preserve"> </w:t>
      </w:r>
      <w:r>
        <w:rPr>
          <w:rFonts w:hint="eastAsia" w:ascii="宋体" w:hAnsi="宋体" w:cs="宋体"/>
          <w:szCs w:val="22"/>
        </w:rPr>
        <w:t>日收到你方</w:t>
      </w:r>
      <w:r>
        <w:rPr>
          <w:rFonts w:hint="eastAsia" w:ascii="宋体" w:hAnsi="宋体" w:cs="宋体"/>
          <w:b/>
          <w:szCs w:val="22"/>
          <w:u w:val="single"/>
        </w:rPr>
        <w:t xml:space="preserve"> </w:t>
      </w:r>
      <w:r>
        <w:rPr>
          <w:rFonts w:hint="eastAsia" w:ascii="宋体" w:hAnsi="宋体" w:cs="宋体"/>
          <w:b/>
          <w:szCs w:val="22"/>
          <w:u w:val="single"/>
          <w:lang w:val="en-US" w:eastAsia="zh-CN"/>
        </w:rPr>
        <w:t xml:space="preserve">   </w:t>
      </w:r>
      <w:r>
        <w:rPr>
          <w:rFonts w:hint="eastAsia" w:ascii="宋体" w:hAnsi="宋体" w:cs="宋体"/>
          <w:b/>
          <w:szCs w:val="22"/>
          <w:u w:val="single"/>
        </w:rPr>
        <w:t xml:space="preserve"> </w:t>
      </w:r>
      <w:r>
        <w:rPr>
          <w:rFonts w:hint="eastAsia" w:ascii="宋体" w:hAnsi="宋体" w:cs="宋体"/>
          <w:szCs w:val="22"/>
        </w:rPr>
        <w:t>年</w:t>
      </w:r>
      <w:r>
        <w:rPr>
          <w:rFonts w:hint="eastAsia" w:ascii="宋体" w:hAnsi="宋体" w:cs="宋体"/>
          <w:b/>
          <w:szCs w:val="22"/>
          <w:u w:val="single"/>
        </w:rPr>
        <w:t xml:space="preserve"> </w:t>
      </w:r>
      <w:r>
        <w:rPr>
          <w:rFonts w:hint="eastAsia" w:ascii="宋体" w:hAnsi="宋体" w:cs="宋体"/>
          <w:b/>
          <w:szCs w:val="22"/>
          <w:u w:val="single"/>
          <w:lang w:val="en-US" w:eastAsia="zh-CN"/>
        </w:rPr>
        <w:t xml:space="preserve"> </w:t>
      </w:r>
      <w:r>
        <w:rPr>
          <w:rFonts w:hint="eastAsia" w:ascii="宋体" w:hAnsi="宋体" w:cs="宋体"/>
          <w:b/>
          <w:szCs w:val="22"/>
          <w:u w:val="single"/>
        </w:rPr>
        <w:t xml:space="preserve"> </w:t>
      </w:r>
      <w:r>
        <w:rPr>
          <w:rFonts w:hint="eastAsia" w:ascii="宋体" w:hAnsi="宋体" w:cs="宋体"/>
          <w:szCs w:val="22"/>
        </w:rPr>
        <w:t>月</w:t>
      </w:r>
      <w:r>
        <w:rPr>
          <w:rFonts w:hint="eastAsia" w:ascii="宋体" w:hAnsi="宋体" w:cs="宋体"/>
          <w:b/>
          <w:szCs w:val="22"/>
          <w:u w:val="single"/>
        </w:rPr>
        <w:t xml:space="preserve"> </w:t>
      </w:r>
      <w:r>
        <w:rPr>
          <w:rFonts w:hint="eastAsia" w:ascii="宋体" w:hAnsi="宋体" w:cs="宋体"/>
          <w:b/>
          <w:szCs w:val="22"/>
          <w:u w:val="single"/>
          <w:lang w:val="en-US" w:eastAsia="zh-CN"/>
        </w:rPr>
        <w:t xml:space="preserve"> </w:t>
      </w:r>
      <w:r>
        <w:rPr>
          <w:rFonts w:hint="eastAsia" w:ascii="宋体" w:hAnsi="宋体" w:cs="宋体"/>
          <w:b/>
          <w:szCs w:val="22"/>
          <w:u w:val="single"/>
        </w:rPr>
        <w:t xml:space="preserve"> </w:t>
      </w:r>
      <w:r>
        <w:rPr>
          <w:rFonts w:hint="eastAsia" w:ascii="宋体" w:hAnsi="宋体" w:cs="宋体"/>
          <w:szCs w:val="22"/>
        </w:rPr>
        <w:t>日发出的</w:t>
      </w:r>
      <w:r>
        <w:rPr>
          <w:rFonts w:hint="eastAsia" w:ascii="宋体" w:hAnsi="宋体"/>
          <w:b/>
          <w:szCs w:val="22"/>
          <w:u w:val="single"/>
        </w:rPr>
        <w:t xml:space="preserve">          </w:t>
      </w:r>
      <w:r>
        <w:rPr>
          <w:rFonts w:hint="eastAsia" w:ascii="宋体" w:hAnsi="宋体"/>
          <w:szCs w:val="22"/>
        </w:rPr>
        <w:t>(项目名称)</w:t>
      </w:r>
      <w:r>
        <w:rPr>
          <w:rFonts w:hint="eastAsia" w:ascii="宋体" w:hAnsi="宋体"/>
          <w:szCs w:val="22"/>
          <w:lang w:val="en-US" w:eastAsia="zh-CN"/>
        </w:rPr>
        <w:t>施工</w:t>
      </w:r>
      <w:r>
        <w:rPr>
          <w:rFonts w:hint="eastAsia" w:ascii="宋体" w:hAnsi="宋体"/>
          <w:b/>
          <w:szCs w:val="22"/>
          <w:u w:val="single"/>
        </w:rPr>
        <w:t xml:space="preserve">   </w:t>
      </w:r>
      <w:r>
        <w:rPr>
          <w:rFonts w:hint="eastAsia" w:ascii="宋体" w:hAnsi="宋体" w:cs="宋体"/>
          <w:szCs w:val="22"/>
        </w:rPr>
        <w:t>标段招标的投标邀请书，并确认</w:t>
      </w:r>
      <w:r>
        <w:rPr>
          <w:rFonts w:hint="eastAsia" w:ascii="宋体" w:hAnsi="宋体" w:cs="宋体"/>
          <w:b/>
          <w:szCs w:val="22"/>
          <w:u w:val="single"/>
        </w:rPr>
        <w:t xml:space="preserve">          </w:t>
      </w:r>
      <w:r>
        <w:rPr>
          <w:rFonts w:hint="eastAsia" w:ascii="宋体" w:hAnsi="宋体" w:cs="宋体"/>
          <w:bCs/>
          <w:color w:val="FF0000"/>
          <w:szCs w:val="22"/>
        </w:rPr>
        <w:t>（参加/不参加）</w:t>
      </w:r>
      <w:r>
        <w:rPr>
          <w:rFonts w:hint="eastAsia" w:ascii="宋体" w:hAnsi="宋体" w:cs="宋体"/>
          <w:bCs/>
          <w:szCs w:val="22"/>
        </w:rPr>
        <w:t>投标</w:t>
      </w:r>
      <w:r>
        <w:rPr>
          <w:rFonts w:hint="eastAsia" w:ascii="宋体" w:hAnsi="宋体" w:cs="宋体"/>
          <w:szCs w:val="22"/>
        </w:rPr>
        <w:t>。</w:t>
      </w:r>
    </w:p>
    <w:p w14:paraId="1583ED13">
      <w:pPr>
        <w:ind w:firstLine="440" w:firstLineChars="200"/>
        <w:jc w:val="both"/>
        <w:rPr>
          <w:rFonts w:ascii="宋体" w:hAnsi="宋体" w:cs="宋体"/>
          <w:szCs w:val="22"/>
        </w:rPr>
      </w:pPr>
      <w:r>
        <w:rPr>
          <w:rFonts w:hint="eastAsia" w:ascii="宋体" w:hAnsi="宋体" w:cs="宋体"/>
          <w:szCs w:val="22"/>
        </w:rPr>
        <w:t>特此确认。</w:t>
      </w:r>
    </w:p>
    <w:p w14:paraId="00C19B94">
      <w:pPr>
        <w:ind w:firstLine="440" w:firstLineChars="200"/>
        <w:jc w:val="both"/>
        <w:rPr>
          <w:rFonts w:ascii="宋体" w:hAnsi="宋体" w:cs="宋体"/>
          <w:szCs w:val="22"/>
        </w:rPr>
      </w:pPr>
    </w:p>
    <w:p w14:paraId="16F392F0">
      <w:pPr>
        <w:ind w:firstLine="440" w:firstLineChars="200"/>
        <w:jc w:val="both"/>
        <w:rPr>
          <w:rFonts w:ascii="宋体" w:hAnsi="宋体" w:cs="宋体"/>
          <w:szCs w:val="22"/>
        </w:rPr>
      </w:pPr>
    </w:p>
    <w:p w14:paraId="09FE901B">
      <w:pPr>
        <w:ind w:firstLine="440" w:firstLineChars="200"/>
        <w:jc w:val="both"/>
        <w:rPr>
          <w:rFonts w:ascii="宋体" w:hAnsi="宋体" w:cs="宋体"/>
          <w:szCs w:val="22"/>
        </w:rPr>
      </w:pPr>
    </w:p>
    <w:p w14:paraId="718CA2DB">
      <w:pPr>
        <w:adjustRightInd w:val="0"/>
        <w:snapToGrid w:val="0"/>
        <w:jc w:val="right"/>
        <w:rPr>
          <w:rFonts w:ascii="宋体" w:hAnsi="宋体"/>
          <w:bCs/>
          <w:szCs w:val="22"/>
        </w:rPr>
      </w:pPr>
      <w:r>
        <w:rPr>
          <w:rFonts w:hint="eastAsia" w:ascii="宋体" w:hAnsi="宋体"/>
          <w:bCs/>
          <w:szCs w:val="22"/>
        </w:rPr>
        <w:t>被邀请单位名称：</w:t>
      </w:r>
      <w:r>
        <w:rPr>
          <w:rFonts w:hint="eastAsia" w:ascii="宋体" w:hAnsi="宋体"/>
          <w:bCs/>
          <w:szCs w:val="22"/>
          <w:u w:val="single"/>
        </w:rPr>
        <w:t xml:space="preserve">                 </w:t>
      </w:r>
      <w:r>
        <w:rPr>
          <w:rFonts w:hint="eastAsia" w:ascii="宋体" w:hAnsi="宋体"/>
          <w:bCs/>
          <w:szCs w:val="22"/>
        </w:rPr>
        <w:t>（盖单位章）</w:t>
      </w:r>
    </w:p>
    <w:p w14:paraId="7C758596">
      <w:pPr>
        <w:adjustRightInd w:val="0"/>
        <w:snapToGrid w:val="0"/>
        <w:jc w:val="right"/>
        <w:rPr>
          <w:rFonts w:ascii="宋体" w:hAnsi="宋体"/>
          <w:bCs/>
          <w:szCs w:val="22"/>
        </w:rPr>
      </w:pPr>
      <w:r>
        <w:rPr>
          <w:rFonts w:hint="eastAsia" w:ascii="宋体" w:hAnsi="宋体"/>
          <w:bCs/>
          <w:szCs w:val="22"/>
        </w:rPr>
        <w:t>法定代表人：</w:t>
      </w:r>
      <w:r>
        <w:rPr>
          <w:rFonts w:hint="eastAsia" w:ascii="宋体" w:hAnsi="宋体"/>
          <w:bCs/>
          <w:szCs w:val="22"/>
          <w:u w:val="single"/>
        </w:rPr>
        <w:t xml:space="preserve">                 </w:t>
      </w:r>
      <w:r>
        <w:rPr>
          <w:rFonts w:hint="eastAsia" w:ascii="宋体" w:hAnsi="宋体"/>
          <w:bCs/>
          <w:szCs w:val="22"/>
        </w:rPr>
        <w:t>（</w:t>
      </w:r>
      <w:r>
        <w:rPr>
          <w:rFonts w:hint="eastAsia" w:ascii="宋体" w:hAnsi="宋体"/>
          <w:bCs/>
          <w:szCs w:val="22"/>
          <w:lang w:val="en-US" w:eastAsia="zh-CN"/>
        </w:rPr>
        <w:t>签字或签章</w:t>
      </w:r>
      <w:r>
        <w:rPr>
          <w:rFonts w:hint="eastAsia" w:ascii="宋体" w:hAnsi="宋体"/>
          <w:bCs/>
          <w:szCs w:val="22"/>
        </w:rPr>
        <w:t>）</w:t>
      </w:r>
    </w:p>
    <w:p w14:paraId="53D9A779">
      <w:pPr>
        <w:widowControl/>
        <w:jc w:val="right"/>
        <w:rPr>
          <w:rFonts w:ascii="宋体" w:hAnsi="宋体" w:cs="宋体"/>
          <w:color w:val="FF0000"/>
          <w:szCs w:val="22"/>
        </w:rPr>
      </w:pPr>
      <w:r>
        <w:rPr>
          <w:rFonts w:hint="eastAsia" w:ascii="宋体" w:hAnsi="宋体"/>
          <w:b/>
          <w:szCs w:val="22"/>
        </w:rPr>
        <w:t xml:space="preserve"> </w:t>
      </w:r>
      <w:r>
        <w:rPr>
          <w:rFonts w:hint="eastAsia" w:ascii="宋体" w:hAnsi="宋体"/>
          <w:b/>
          <w:szCs w:val="22"/>
          <w:u w:val="single"/>
        </w:rPr>
        <w:t xml:space="preserve">  </w:t>
      </w:r>
      <w:r>
        <w:rPr>
          <w:rFonts w:ascii="宋体" w:hAnsi="宋体"/>
          <w:b/>
          <w:szCs w:val="22"/>
          <w:u w:val="single"/>
        </w:rPr>
        <w:t xml:space="preserve">  </w:t>
      </w:r>
      <w:r>
        <w:rPr>
          <w:rFonts w:hint="eastAsia" w:ascii="宋体" w:hAnsi="宋体"/>
          <w:b/>
          <w:szCs w:val="22"/>
          <w:u w:val="single"/>
        </w:rPr>
        <w:t xml:space="preserve"> </w:t>
      </w:r>
      <w:r>
        <w:rPr>
          <w:rFonts w:hint="eastAsia" w:ascii="宋体" w:hAnsi="宋体"/>
          <w:szCs w:val="22"/>
        </w:rPr>
        <w:t>年</w:t>
      </w:r>
      <w:r>
        <w:rPr>
          <w:rFonts w:hint="eastAsia" w:ascii="宋体" w:hAnsi="宋体"/>
          <w:b/>
          <w:szCs w:val="22"/>
          <w:u w:val="single"/>
        </w:rPr>
        <w:t xml:space="preserve">   </w:t>
      </w:r>
      <w:r>
        <w:rPr>
          <w:rFonts w:hint="eastAsia" w:ascii="宋体" w:hAnsi="宋体"/>
          <w:szCs w:val="22"/>
        </w:rPr>
        <w:t>月</w:t>
      </w:r>
      <w:r>
        <w:rPr>
          <w:rFonts w:hint="eastAsia" w:ascii="宋体" w:hAnsi="宋体"/>
          <w:b/>
          <w:szCs w:val="22"/>
          <w:u w:val="single"/>
        </w:rPr>
        <w:t xml:space="preserve">   </w:t>
      </w:r>
      <w:r>
        <w:rPr>
          <w:rFonts w:hint="eastAsia" w:ascii="宋体" w:hAnsi="宋体"/>
          <w:szCs w:val="22"/>
        </w:rPr>
        <w:t>日</w:t>
      </w:r>
    </w:p>
    <w:p w14:paraId="5C570EA1">
      <w:pPr>
        <w:pStyle w:val="10"/>
        <w:spacing w:before="2"/>
        <w:ind w:right="239" w:firstLine="479"/>
        <w:rPr>
          <w:rFonts w:cs="宋体"/>
          <w:sz w:val="18"/>
          <w:szCs w:val="18"/>
        </w:rPr>
      </w:pPr>
    </w:p>
    <w:p w14:paraId="55ADD5AC">
      <w:pPr>
        <w:pStyle w:val="10"/>
        <w:sectPr>
          <w:pgSz w:w="12240" w:h="15840"/>
          <w:pgMar w:top="1134" w:right="1134" w:bottom="1134" w:left="1134" w:header="0" w:footer="921" w:gutter="0"/>
          <w:pgNumType w:fmt="decimal"/>
          <w:cols w:space="720" w:num="1"/>
        </w:sectPr>
      </w:pPr>
    </w:p>
    <w:p w14:paraId="6F96CC77">
      <w:pPr>
        <w:pStyle w:val="3"/>
      </w:pPr>
      <w:bookmarkStart w:id="95" w:name="_Toc19839"/>
      <w:bookmarkStart w:id="96" w:name="_Toc68"/>
      <w:bookmarkStart w:id="97" w:name="_Toc10144"/>
      <w:bookmarkStart w:id="98" w:name="_Toc2875"/>
      <w:bookmarkStart w:id="99" w:name="_Toc763"/>
      <w:bookmarkStart w:id="100" w:name="_Toc7583"/>
      <w:r>
        <w:rPr>
          <w:rFonts w:hint="eastAsia"/>
        </w:rPr>
        <w:t>第二章 投标人须知</w:t>
      </w:r>
      <w:bookmarkEnd w:id="95"/>
      <w:bookmarkEnd w:id="96"/>
      <w:bookmarkEnd w:id="97"/>
      <w:bookmarkEnd w:id="98"/>
      <w:bookmarkEnd w:id="99"/>
      <w:bookmarkEnd w:id="100"/>
    </w:p>
    <w:p w14:paraId="17CB9F0F">
      <w:pPr>
        <w:pStyle w:val="4"/>
        <w:jc w:val="center"/>
      </w:pPr>
      <w:r>
        <w:rPr>
          <w:rFonts w:hint="eastAsia"/>
        </w:rPr>
        <w:t>投标人须知前附表</w:t>
      </w:r>
    </w:p>
    <w:tbl>
      <w:tblPr>
        <w:tblStyle w:val="19"/>
        <w:tblW w:w="9828" w:type="dxa"/>
        <w:jc w:val="center"/>
        <w:tblLayout w:type="fixed"/>
        <w:tblCellMar>
          <w:top w:w="0" w:type="dxa"/>
          <w:left w:w="108" w:type="dxa"/>
          <w:bottom w:w="0" w:type="dxa"/>
          <w:right w:w="108" w:type="dxa"/>
        </w:tblCellMar>
      </w:tblPr>
      <w:tblGrid>
        <w:gridCol w:w="935"/>
        <w:gridCol w:w="2001"/>
        <w:gridCol w:w="6892"/>
      </w:tblGrid>
      <w:tr w14:paraId="49CECBAC">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7F54366">
            <w:pPr>
              <w:pStyle w:val="10"/>
              <w:spacing w:line="23" w:lineRule="atLeast"/>
              <w:ind w:left="0"/>
              <w:jc w:val="center"/>
              <w:rPr>
                <w:b/>
                <w:bCs/>
                <w:szCs w:val="22"/>
              </w:rPr>
            </w:pPr>
            <w:r>
              <w:rPr>
                <w:b/>
                <w:bCs/>
                <w:szCs w:val="22"/>
              </w:rPr>
              <w:t>条款号</w:t>
            </w:r>
          </w:p>
        </w:tc>
        <w:tc>
          <w:tcPr>
            <w:tcW w:w="2001" w:type="dxa"/>
            <w:tcBorders>
              <w:top w:val="single" w:color="auto" w:sz="4" w:space="0"/>
              <w:left w:val="single" w:color="auto" w:sz="4" w:space="0"/>
              <w:bottom w:val="single" w:color="auto" w:sz="4" w:space="0"/>
              <w:right w:val="single" w:color="auto" w:sz="4" w:space="0"/>
            </w:tcBorders>
            <w:vAlign w:val="center"/>
          </w:tcPr>
          <w:p w14:paraId="0BD17CF5">
            <w:pPr>
              <w:pStyle w:val="10"/>
              <w:spacing w:line="23" w:lineRule="atLeast"/>
              <w:ind w:left="0"/>
              <w:jc w:val="center"/>
              <w:rPr>
                <w:b/>
                <w:bCs/>
                <w:szCs w:val="22"/>
              </w:rPr>
            </w:pPr>
            <w:r>
              <w:rPr>
                <w:b/>
                <w:bCs/>
                <w:szCs w:val="22"/>
              </w:rPr>
              <w:t>条款名称</w:t>
            </w:r>
          </w:p>
        </w:tc>
        <w:tc>
          <w:tcPr>
            <w:tcW w:w="6892" w:type="dxa"/>
            <w:tcBorders>
              <w:top w:val="single" w:color="auto" w:sz="4" w:space="0"/>
              <w:left w:val="single" w:color="auto" w:sz="4" w:space="0"/>
              <w:bottom w:val="single" w:color="auto" w:sz="4" w:space="0"/>
              <w:right w:val="single" w:color="auto" w:sz="4" w:space="0"/>
            </w:tcBorders>
            <w:vAlign w:val="center"/>
          </w:tcPr>
          <w:p w14:paraId="02534C9B">
            <w:pPr>
              <w:pStyle w:val="10"/>
              <w:spacing w:line="23" w:lineRule="atLeast"/>
              <w:ind w:left="0"/>
              <w:jc w:val="center"/>
              <w:rPr>
                <w:b/>
                <w:bCs/>
                <w:szCs w:val="22"/>
              </w:rPr>
            </w:pPr>
            <w:r>
              <w:rPr>
                <w:b/>
                <w:bCs/>
                <w:szCs w:val="22"/>
              </w:rPr>
              <w:t>编列内容</w:t>
            </w:r>
          </w:p>
        </w:tc>
      </w:tr>
      <w:tr w14:paraId="62FF431E">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422F6751">
            <w:pPr>
              <w:pStyle w:val="10"/>
              <w:spacing w:line="23" w:lineRule="atLeast"/>
              <w:ind w:left="0"/>
              <w:jc w:val="center"/>
              <w:rPr>
                <w:szCs w:val="22"/>
              </w:rPr>
            </w:pPr>
            <w:r>
              <w:rPr>
                <w:szCs w:val="22"/>
              </w:rPr>
              <w:t>1.1.2</w:t>
            </w:r>
          </w:p>
        </w:tc>
        <w:tc>
          <w:tcPr>
            <w:tcW w:w="2001" w:type="dxa"/>
            <w:tcBorders>
              <w:top w:val="single" w:color="auto" w:sz="4" w:space="0"/>
              <w:left w:val="single" w:color="auto" w:sz="4" w:space="0"/>
              <w:bottom w:val="single" w:color="auto" w:sz="4" w:space="0"/>
              <w:right w:val="single" w:color="auto" w:sz="4" w:space="0"/>
            </w:tcBorders>
            <w:vAlign w:val="center"/>
          </w:tcPr>
          <w:p w14:paraId="0FD62CCA">
            <w:pPr>
              <w:pStyle w:val="10"/>
              <w:spacing w:line="23" w:lineRule="atLeast"/>
              <w:ind w:left="0"/>
              <w:jc w:val="center"/>
              <w:rPr>
                <w:szCs w:val="22"/>
              </w:rPr>
            </w:pPr>
            <w:r>
              <w:rPr>
                <w:szCs w:val="22"/>
              </w:rPr>
              <w:t>招标人</w:t>
            </w:r>
          </w:p>
        </w:tc>
        <w:tc>
          <w:tcPr>
            <w:tcW w:w="6892" w:type="dxa"/>
            <w:tcBorders>
              <w:top w:val="single" w:color="auto" w:sz="4" w:space="0"/>
              <w:left w:val="single" w:color="auto" w:sz="4" w:space="0"/>
              <w:bottom w:val="single" w:color="auto" w:sz="4" w:space="0"/>
              <w:right w:val="single" w:color="auto" w:sz="4" w:space="0"/>
            </w:tcBorders>
            <w:vAlign w:val="center"/>
          </w:tcPr>
          <w:p w14:paraId="28FE36A9">
            <w:pPr>
              <w:tabs>
                <w:tab w:val="left" w:pos="4392"/>
              </w:tabs>
              <w:spacing w:before="120" w:after="120" w:line="23" w:lineRule="atLeast"/>
              <w:ind w:left="0" w:leftChars="0" w:right="0" w:rightChars="0"/>
              <w:rPr>
                <w:rFonts w:hint="eastAsia"/>
                <w:szCs w:val="22"/>
              </w:rPr>
            </w:pPr>
            <w:r>
              <w:rPr>
                <w:rFonts w:hint="eastAsia"/>
                <w:szCs w:val="22"/>
              </w:rPr>
              <w:t>名称：</w:t>
            </w:r>
          </w:p>
          <w:p w14:paraId="603A2336">
            <w:pPr>
              <w:tabs>
                <w:tab w:val="left" w:pos="4392"/>
              </w:tabs>
              <w:spacing w:before="120" w:after="120" w:line="23" w:lineRule="atLeast"/>
              <w:ind w:left="0" w:leftChars="0" w:right="0" w:rightChars="0"/>
              <w:rPr>
                <w:rFonts w:hint="eastAsia"/>
                <w:szCs w:val="22"/>
              </w:rPr>
            </w:pPr>
            <w:r>
              <w:rPr>
                <w:rFonts w:hint="eastAsia"/>
                <w:szCs w:val="22"/>
              </w:rPr>
              <w:t>地址：</w:t>
            </w:r>
          </w:p>
          <w:p w14:paraId="640444D7">
            <w:pPr>
              <w:tabs>
                <w:tab w:val="left" w:pos="4392"/>
              </w:tabs>
              <w:spacing w:before="120" w:after="120" w:line="23" w:lineRule="atLeast"/>
              <w:ind w:left="0" w:leftChars="0" w:right="0" w:rightChars="0"/>
              <w:rPr>
                <w:rFonts w:hint="eastAsia"/>
                <w:szCs w:val="22"/>
              </w:rPr>
            </w:pPr>
            <w:r>
              <w:rPr>
                <w:rFonts w:hint="eastAsia"/>
                <w:szCs w:val="22"/>
              </w:rPr>
              <w:t>联系人：</w:t>
            </w:r>
          </w:p>
          <w:p w14:paraId="3185588D">
            <w:pPr>
              <w:tabs>
                <w:tab w:val="left" w:pos="4392"/>
              </w:tabs>
              <w:spacing w:before="120" w:after="120" w:line="23" w:lineRule="atLeast"/>
              <w:ind w:left="0" w:leftChars="0" w:right="0" w:rightChars="0"/>
              <w:rPr>
                <w:szCs w:val="22"/>
              </w:rPr>
            </w:pPr>
            <w:r>
              <w:rPr>
                <w:rFonts w:hint="eastAsia"/>
                <w:szCs w:val="22"/>
              </w:rPr>
              <w:t>电话：</w:t>
            </w:r>
          </w:p>
        </w:tc>
      </w:tr>
      <w:tr w14:paraId="23C8A109">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2E754615">
            <w:pPr>
              <w:pStyle w:val="10"/>
              <w:spacing w:line="23" w:lineRule="atLeast"/>
              <w:ind w:left="0"/>
              <w:jc w:val="center"/>
              <w:rPr>
                <w:szCs w:val="22"/>
              </w:rPr>
            </w:pPr>
            <w:r>
              <w:rPr>
                <w:szCs w:val="22"/>
              </w:rPr>
              <w:t>1.1.3</w:t>
            </w:r>
          </w:p>
        </w:tc>
        <w:tc>
          <w:tcPr>
            <w:tcW w:w="2001" w:type="dxa"/>
            <w:tcBorders>
              <w:top w:val="single" w:color="auto" w:sz="4" w:space="0"/>
              <w:left w:val="single" w:color="auto" w:sz="4" w:space="0"/>
              <w:bottom w:val="single" w:color="auto" w:sz="4" w:space="0"/>
              <w:right w:val="single" w:color="auto" w:sz="4" w:space="0"/>
            </w:tcBorders>
            <w:vAlign w:val="center"/>
          </w:tcPr>
          <w:p w14:paraId="34817229">
            <w:pPr>
              <w:pStyle w:val="10"/>
              <w:spacing w:line="23" w:lineRule="atLeast"/>
              <w:ind w:left="0"/>
              <w:jc w:val="center"/>
              <w:rPr>
                <w:szCs w:val="22"/>
              </w:rPr>
            </w:pPr>
            <w:r>
              <w:rPr>
                <w:szCs w:val="22"/>
              </w:rPr>
              <w:t>招标代理机构</w:t>
            </w:r>
          </w:p>
        </w:tc>
        <w:tc>
          <w:tcPr>
            <w:tcW w:w="6892" w:type="dxa"/>
            <w:tcBorders>
              <w:top w:val="single" w:color="auto" w:sz="4" w:space="0"/>
              <w:left w:val="single" w:color="auto" w:sz="4" w:space="0"/>
              <w:bottom w:val="single" w:color="auto" w:sz="4" w:space="0"/>
              <w:right w:val="single" w:color="auto" w:sz="4" w:space="0"/>
            </w:tcBorders>
            <w:vAlign w:val="center"/>
          </w:tcPr>
          <w:p w14:paraId="2B72F404">
            <w:pPr>
              <w:tabs>
                <w:tab w:val="left" w:pos="4392"/>
              </w:tabs>
              <w:spacing w:before="120" w:after="120" w:line="23" w:lineRule="atLeast"/>
              <w:ind w:left="0" w:leftChars="0" w:right="0" w:rightChars="0"/>
              <w:rPr>
                <w:rFonts w:hint="eastAsia"/>
                <w:szCs w:val="22"/>
              </w:rPr>
            </w:pPr>
            <w:r>
              <w:rPr>
                <w:rFonts w:hint="eastAsia"/>
                <w:szCs w:val="22"/>
              </w:rPr>
              <w:t>名称：</w:t>
            </w:r>
          </w:p>
          <w:p w14:paraId="613E1E69">
            <w:pPr>
              <w:tabs>
                <w:tab w:val="left" w:pos="4392"/>
              </w:tabs>
              <w:spacing w:before="120" w:after="120" w:line="23" w:lineRule="atLeast"/>
              <w:ind w:left="0" w:leftChars="0" w:right="0" w:rightChars="0"/>
              <w:rPr>
                <w:rFonts w:hint="eastAsia"/>
                <w:szCs w:val="22"/>
              </w:rPr>
            </w:pPr>
            <w:r>
              <w:rPr>
                <w:rFonts w:hint="eastAsia"/>
                <w:szCs w:val="22"/>
              </w:rPr>
              <w:t>地址：</w:t>
            </w:r>
          </w:p>
          <w:p w14:paraId="6CD86A9E">
            <w:pPr>
              <w:tabs>
                <w:tab w:val="left" w:pos="4392"/>
              </w:tabs>
              <w:spacing w:before="120" w:after="120" w:line="23" w:lineRule="atLeast"/>
              <w:ind w:left="0" w:leftChars="0" w:right="0" w:rightChars="0"/>
              <w:rPr>
                <w:rFonts w:hint="eastAsia"/>
                <w:szCs w:val="22"/>
              </w:rPr>
            </w:pPr>
            <w:r>
              <w:rPr>
                <w:rFonts w:hint="eastAsia"/>
                <w:szCs w:val="22"/>
              </w:rPr>
              <w:t>联系人：</w:t>
            </w:r>
          </w:p>
          <w:p w14:paraId="6838BB07">
            <w:pPr>
              <w:tabs>
                <w:tab w:val="left" w:pos="4392"/>
              </w:tabs>
              <w:spacing w:before="120" w:after="120" w:line="23" w:lineRule="atLeast"/>
              <w:ind w:left="0" w:leftChars="0" w:right="0" w:rightChars="0"/>
              <w:rPr>
                <w:szCs w:val="22"/>
              </w:rPr>
            </w:pPr>
            <w:r>
              <w:rPr>
                <w:rFonts w:hint="eastAsia"/>
                <w:szCs w:val="22"/>
              </w:rPr>
              <w:t>电话：</w:t>
            </w:r>
          </w:p>
        </w:tc>
      </w:tr>
      <w:tr w14:paraId="69D6521E">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E7D7D9F">
            <w:pPr>
              <w:pStyle w:val="10"/>
              <w:spacing w:line="23" w:lineRule="atLeast"/>
              <w:ind w:left="0"/>
              <w:jc w:val="center"/>
              <w:rPr>
                <w:szCs w:val="22"/>
              </w:rPr>
            </w:pPr>
            <w:r>
              <w:rPr>
                <w:szCs w:val="22"/>
              </w:rPr>
              <w:t>1.1.4</w:t>
            </w:r>
          </w:p>
        </w:tc>
        <w:tc>
          <w:tcPr>
            <w:tcW w:w="2001" w:type="dxa"/>
            <w:tcBorders>
              <w:top w:val="single" w:color="auto" w:sz="4" w:space="0"/>
              <w:left w:val="single" w:color="auto" w:sz="4" w:space="0"/>
              <w:bottom w:val="single" w:color="auto" w:sz="4" w:space="0"/>
              <w:right w:val="single" w:color="auto" w:sz="4" w:space="0"/>
            </w:tcBorders>
            <w:vAlign w:val="center"/>
          </w:tcPr>
          <w:p w14:paraId="2D95E713">
            <w:pPr>
              <w:pStyle w:val="10"/>
              <w:spacing w:line="23" w:lineRule="atLeast"/>
              <w:ind w:left="0"/>
              <w:jc w:val="center"/>
              <w:rPr>
                <w:szCs w:val="22"/>
              </w:rPr>
            </w:pPr>
            <w:r>
              <w:rPr>
                <w:szCs w:val="22"/>
              </w:rPr>
              <w:t>★项目名称</w:t>
            </w:r>
          </w:p>
        </w:tc>
        <w:tc>
          <w:tcPr>
            <w:tcW w:w="6892" w:type="dxa"/>
            <w:tcBorders>
              <w:top w:val="single" w:color="auto" w:sz="4" w:space="0"/>
              <w:left w:val="single" w:color="auto" w:sz="4" w:space="0"/>
              <w:bottom w:val="single" w:color="auto" w:sz="4" w:space="0"/>
              <w:right w:val="single" w:color="auto" w:sz="4" w:space="0"/>
            </w:tcBorders>
            <w:vAlign w:val="center"/>
          </w:tcPr>
          <w:p w14:paraId="2317E3C8">
            <w:pPr>
              <w:pStyle w:val="10"/>
              <w:spacing w:line="23" w:lineRule="atLeast"/>
              <w:ind w:left="0"/>
              <w:rPr>
                <w:szCs w:val="22"/>
              </w:rPr>
            </w:pPr>
          </w:p>
        </w:tc>
      </w:tr>
      <w:tr w14:paraId="2D921BA8">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3637897">
            <w:pPr>
              <w:pStyle w:val="10"/>
              <w:spacing w:line="23" w:lineRule="atLeast"/>
              <w:ind w:left="0"/>
              <w:jc w:val="center"/>
              <w:rPr>
                <w:szCs w:val="22"/>
              </w:rPr>
            </w:pPr>
            <w:r>
              <w:rPr>
                <w:szCs w:val="22"/>
              </w:rPr>
              <w:t>1.1.5</w:t>
            </w:r>
          </w:p>
        </w:tc>
        <w:tc>
          <w:tcPr>
            <w:tcW w:w="2001" w:type="dxa"/>
            <w:tcBorders>
              <w:top w:val="single" w:color="auto" w:sz="4" w:space="0"/>
              <w:left w:val="single" w:color="auto" w:sz="4" w:space="0"/>
              <w:bottom w:val="single" w:color="auto" w:sz="4" w:space="0"/>
              <w:right w:val="single" w:color="auto" w:sz="4" w:space="0"/>
            </w:tcBorders>
            <w:vAlign w:val="center"/>
          </w:tcPr>
          <w:p w14:paraId="73939DAA">
            <w:pPr>
              <w:pStyle w:val="10"/>
              <w:spacing w:line="23" w:lineRule="atLeast"/>
              <w:ind w:left="0"/>
              <w:jc w:val="center"/>
              <w:rPr>
                <w:szCs w:val="22"/>
              </w:rPr>
            </w:pPr>
            <w:r>
              <w:rPr>
                <w:szCs w:val="22"/>
              </w:rPr>
              <w:t>建设地点</w:t>
            </w:r>
          </w:p>
        </w:tc>
        <w:tc>
          <w:tcPr>
            <w:tcW w:w="6892" w:type="dxa"/>
            <w:tcBorders>
              <w:top w:val="single" w:color="auto" w:sz="4" w:space="0"/>
              <w:left w:val="single" w:color="auto" w:sz="4" w:space="0"/>
              <w:bottom w:val="single" w:color="auto" w:sz="4" w:space="0"/>
              <w:right w:val="single" w:color="auto" w:sz="4" w:space="0"/>
            </w:tcBorders>
            <w:vAlign w:val="center"/>
          </w:tcPr>
          <w:p w14:paraId="0912F2AD">
            <w:pPr>
              <w:pStyle w:val="10"/>
              <w:spacing w:line="23" w:lineRule="atLeast"/>
              <w:ind w:left="0"/>
              <w:rPr>
                <w:szCs w:val="22"/>
              </w:rPr>
            </w:pPr>
          </w:p>
        </w:tc>
      </w:tr>
      <w:tr w14:paraId="23E0F828">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4A126286">
            <w:pPr>
              <w:pStyle w:val="10"/>
              <w:spacing w:line="23" w:lineRule="atLeast"/>
              <w:ind w:left="0"/>
              <w:jc w:val="center"/>
              <w:rPr>
                <w:szCs w:val="22"/>
              </w:rPr>
            </w:pPr>
            <w:r>
              <w:rPr>
                <w:szCs w:val="22"/>
              </w:rPr>
              <w:t>1.2.1</w:t>
            </w:r>
          </w:p>
        </w:tc>
        <w:tc>
          <w:tcPr>
            <w:tcW w:w="2001" w:type="dxa"/>
            <w:tcBorders>
              <w:top w:val="single" w:color="auto" w:sz="4" w:space="0"/>
              <w:left w:val="single" w:color="auto" w:sz="4" w:space="0"/>
              <w:bottom w:val="single" w:color="auto" w:sz="4" w:space="0"/>
              <w:right w:val="single" w:color="auto" w:sz="4" w:space="0"/>
            </w:tcBorders>
            <w:vAlign w:val="center"/>
          </w:tcPr>
          <w:p w14:paraId="651256B4">
            <w:pPr>
              <w:pStyle w:val="10"/>
              <w:spacing w:line="23" w:lineRule="atLeast"/>
              <w:ind w:left="0"/>
              <w:jc w:val="center"/>
              <w:rPr>
                <w:szCs w:val="22"/>
              </w:rPr>
            </w:pPr>
            <w:r>
              <w:rPr>
                <w:szCs w:val="22"/>
              </w:rPr>
              <w:t>资金来源</w:t>
            </w:r>
          </w:p>
        </w:tc>
        <w:tc>
          <w:tcPr>
            <w:tcW w:w="6892" w:type="dxa"/>
            <w:tcBorders>
              <w:top w:val="single" w:color="auto" w:sz="4" w:space="0"/>
              <w:left w:val="single" w:color="auto" w:sz="4" w:space="0"/>
              <w:bottom w:val="single" w:color="auto" w:sz="4" w:space="0"/>
              <w:right w:val="single" w:color="auto" w:sz="4" w:space="0"/>
            </w:tcBorders>
            <w:vAlign w:val="center"/>
          </w:tcPr>
          <w:p w14:paraId="7F8C05D6">
            <w:pPr>
              <w:pStyle w:val="10"/>
              <w:tabs>
                <w:tab w:val="left" w:pos="7040"/>
              </w:tabs>
              <w:spacing w:line="23" w:lineRule="atLeast"/>
              <w:ind w:left="0"/>
              <w:rPr>
                <w:szCs w:val="22"/>
              </w:rPr>
            </w:pPr>
          </w:p>
        </w:tc>
      </w:tr>
      <w:tr w14:paraId="43CBB9D0">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2845B528">
            <w:pPr>
              <w:pStyle w:val="10"/>
              <w:spacing w:line="23" w:lineRule="atLeast"/>
              <w:ind w:left="0"/>
              <w:jc w:val="center"/>
              <w:rPr>
                <w:rFonts w:hint="default" w:eastAsia="宋体"/>
                <w:szCs w:val="22"/>
                <w:lang w:val="en-US" w:eastAsia="zh-CN"/>
              </w:rPr>
            </w:pPr>
            <w:r>
              <w:rPr>
                <w:rFonts w:hint="eastAsia"/>
                <w:szCs w:val="22"/>
                <w:lang w:val="en-US" w:eastAsia="zh-CN"/>
              </w:rPr>
              <w:t>1.2.2</w:t>
            </w:r>
          </w:p>
        </w:tc>
        <w:tc>
          <w:tcPr>
            <w:tcW w:w="2001" w:type="dxa"/>
            <w:tcBorders>
              <w:top w:val="single" w:color="auto" w:sz="4" w:space="0"/>
              <w:left w:val="single" w:color="auto" w:sz="4" w:space="0"/>
              <w:bottom w:val="single" w:color="auto" w:sz="4" w:space="0"/>
              <w:right w:val="single" w:color="auto" w:sz="4" w:space="0"/>
            </w:tcBorders>
            <w:vAlign w:val="center"/>
          </w:tcPr>
          <w:p w14:paraId="3ED72E32">
            <w:pPr>
              <w:pStyle w:val="10"/>
              <w:spacing w:line="23" w:lineRule="atLeast"/>
              <w:ind w:left="0"/>
              <w:jc w:val="center"/>
              <w:rPr>
                <w:rFonts w:hint="default" w:eastAsia="宋体"/>
                <w:szCs w:val="22"/>
                <w:lang w:val="en-US" w:eastAsia="zh-CN"/>
              </w:rPr>
            </w:pPr>
            <w:r>
              <w:rPr>
                <w:rFonts w:hint="eastAsia"/>
                <w:szCs w:val="22"/>
                <w:lang w:val="en-US" w:eastAsia="zh-CN"/>
              </w:rPr>
              <w:t>出资比例</w:t>
            </w:r>
          </w:p>
        </w:tc>
        <w:tc>
          <w:tcPr>
            <w:tcW w:w="6892" w:type="dxa"/>
            <w:tcBorders>
              <w:top w:val="single" w:color="auto" w:sz="4" w:space="0"/>
              <w:left w:val="single" w:color="auto" w:sz="4" w:space="0"/>
              <w:bottom w:val="single" w:color="auto" w:sz="4" w:space="0"/>
              <w:right w:val="single" w:color="auto" w:sz="4" w:space="0"/>
            </w:tcBorders>
            <w:vAlign w:val="center"/>
          </w:tcPr>
          <w:p w14:paraId="14D691DE">
            <w:pPr>
              <w:pStyle w:val="10"/>
              <w:tabs>
                <w:tab w:val="left" w:pos="7040"/>
              </w:tabs>
              <w:spacing w:line="23" w:lineRule="atLeast"/>
              <w:ind w:left="0"/>
              <w:rPr>
                <w:szCs w:val="22"/>
              </w:rPr>
            </w:pPr>
          </w:p>
        </w:tc>
      </w:tr>
      <w:tr w14:paraId="71A89AF0">
        <w:tblPrEx>
          <w:tblCellMar>
            <w:top w:w="0" w:type="dxa"/>
            <w:left w:w="108" w:type="dxa"/>
            <w:bottom w:w="0" w:type="dxa"/>
            <w:right w:w="108" w:type="dxa"/>
          </w:tblCellMar>
        </w:tblPrEx>
        <w:trPr>
          <w:trHeight w:val="90"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11CD0971">
            <w:pPr>
              <w:pStyle w:val="10"/>
              <w:spacing w:line="23" w:lineRule="atLeast"/>
              <w:ind w:left="0"/>
              <w:jc w:val="center"/>
              <w:rPr>
                <w:rFonts w:hint="eastAsia" w:eastAsia="宋体"/>
                <w:szCs w:val="22"/>
                <w:lang w:eastAsia="zh-CN"/>
              </w:rPr>
            </w:pPr>
            <w:r>
              <w:rPr>
                <w:szCs w:val="22"/>
              </w:rPr>
              <w:t>1.2.</w:t>
            </w:r>
            <w:r>
              <w:rPr>
                <w:rFonts w:hint="eastAsia"/>
                <w:szCs w:val="22"/>
                <w:lang w:val="en-US" w:eastAsia="zh-CN"/>
              </w:rPr>
              <w:t>3</w:t>
            </w:r>
          </w:p>
        </w:tc>
        <w:tc>
          <w:tcPr>
            <w:tcW w:w="2001" w:type="dxa"/>
            <w:tcBorders>
              <w:top w:val="single" w:color="auto" w:sz="4" w:space="0"/>
              <w:left w:val="single" w:color="auto" w:sz="4" w:space="0"/>
              <w:bottom w:val="single" w:color="auto" w:sz="4" w:space="0"/>
              <w:right w:val="single" w:color="auto" w:sz="4" w:space="0"/>
            </w:tcBorders>
            <w:vAlign w:val="center"/>
          </w:tcPr>
          <w:p w14:paraId="6EF926B0">
            <w:pPr>
              <w:pStyle w:val="10"/>
              <w:spacing w:line="23" w:lineRule="atLeast"/>
              <w:ind w:left="0"/>
              <w:jc w:val="center"/>
              <w:rPr>
                <w:szCs w:val="22"/>
              </w:rPr>
            </w:pPr>
            <w:r>
              <w:rPr>
                <w:rFonts w:hint="eastAsia"/>
                <w:szCs w:val="22"/>
              </w:rPr>
              <w:t>资金</w:t>
            </w:r>
            <w:r>
              <w:rPr>
                <w:szCs w:val="22"/>
              </w:rPr>
              <w:t>落实情况</w:t>
            </w:r>
          </w:p>
        </w:tc>
        <w:tc>
          <w:tcPr>
            <w:tcW w:w="6892" w:type="dxa"/>
            <w:tcBorders>
              <w:top w:val="single" w:color="auto" w:sz="4" w:space="0"/>
              <w:left w:val="single" w:color="auto" w:sz="4" w:space="0"/>
              <w:bottom w:val="single" w:color="auto" w:sz="4" w:space="0"/>
              <w:right w:val="single" w:color="auto" w:sz="4" w:space="0"/>
            </w:tcBorders>
            <w:vAlign w:val="center"/>
          </w:tcPr>
          <w:p w14:paraId="32A70518">
            <w:pPr>
              <w:pStyle w:val="10"/>
              <w:spacing w:line="23" w:lineRule="atLeast"/>
              <w:ind w:left="0"/>
              <w:rPr>
                <w:szCs w:val="22"/>
              </w:rPr>
            </w:pPr>
          </w:p>
        </w:tc>
      </w:tr>
      <w:tr w14:paraId="5E749C3A">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6E93990C">
            <w:pPr>
              <w:pStyle w:val="10"/>
              <w:spacing w:line="23" w:lineRule="atLeast"/>
              <w:ind w:left="0"/>
              <w:jc w:val="center"/>
              <w:rPr>
                <w:szCs w:val="22"/>
              </w:rPr>
            </w:pPr>
            <w:r>
              <w:rPr>
                <w:szCs w:val="22"/>
              </w:rPr>
              <w:t>1.</w:t>
            </w:r>
            <w:r>
              <w:rPr>
                <w:rFonts w:hint="eastAsia"/>
                <w:szCs w:val="22"/>
              </w:rPr>
              <w:t>3</w:t>
            </w:r>
            <w:r>
              <w:rPr>
                <w:szCs w:val="22"/>
              </w:rPr>
              <w:t>.1</w:t>
            </w:r>
          </w:p>
        </w:tc>
        <w:tc>
          <w:tcPr>
            <w:tcW w:w="2001" w:type="dxa"/>
            <w:tcBorders>
              <w:top w:val="single" w:color="auto" w:sz="4" w:space="0"/>
              <w:left w:val="single" w:color="auto" w:sz="4" w:space="0"/>
              <w:bottom w:val="single" w:color="auto" w:sz="4" w:space="0"/>
              <w:right w:val="single" w:color="auto" w:sz="4" w:space="0"/>
            </w:tcBorders>
            <w:vAlign w:val="center"/>
          </w:tcPr>
          <w:p w14:paraId="3FB9C17D">
            <w:pPr>
              <w:pStyle w:val="10"/>
              <w:spacing w:line="23" w:lineRule="atLeast"/>
              <w:ind w:left="0"/>
              <w:jc w:val="center"/>
              <w:rPr>
                <w:szCs w:val="22"/>
              </w:rPr>
            </w:pPr>
            <w:r>
              <w:rPr>
                <w:szCs w:val="22"/>
              </w:rPr>
              <w:t>★招标范围</w:t>
            </w:r>
          </w:p>
        </w:tc>
        <w:tc>
          <w:tcPr>
            <w:tcW w:w="6892" w:type="dxa"/>
            <w:tcBorders>
              <w:top w:val="single" w:color="auto" w:sz="4" w:space="0"/>
              <w:left w:val="single" w:color="auto" w:sz="4" w:space="0"/>
              <w:bottom w:val="single" w:color="auto" w:sz="4" w:space="0"/>
              <w:right w:val="single" w:color="auto" w:sz="4" w:space="0"/>
            </w:tcBorders>
            <w:vAlign w:val="center"/>
          </w:tcPr>
          <w:p w14:paraId="443D3CE1">
            <w:pPr>
              <w:pStyle w:val="10"/>
              <w:spacing w:line="23" w:lineRule="atLeast"/>
              <w:ind w:left="0"/>
              <w:rPr>
                <w:szCs w:val="22"/>
              </w:rPr>
            </w:pPr>
          </w:p>
        </w:tc>
      </w:tr>
      <w:tr w14:paraId="33B7A9FD">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AC62E01">
            <w:pPr>
              <w:pStyle w:val="10"/>
              <w:spacing w:line="23" w:lineRule="atLeast"/>
              <w:ind w:left="0"/>
              <w:jc w:val="center"/>
              <w:rPr>
                <w:szCs w:val="22"/>
              </w:rPr>
            </w:pPr>
            <w:r>
              <w:rPr>
                <w:szCs w:val="22"/>
              </w:rPr>
              <w:t>1.3.2</w:t>
            </w:r>
          </w:p>
        </w:tc>
        <w:tc>
          <w:tcPr>
            <w:tcW w:w="2001" w:type="dxa"/>
            <w:tcBorders>
              <w:top w:val="single" w:color="auto" w:sz="4" w:space="0"/>
              <w:left w:val="single" w:color="auto" w:sz="4" w:space="0"/>
              <w:bottom w:val="single" w:color="auto" w:sz="4" w:space="0"/>
              <w:right w:val="single" w:color="auto" w:sz="4" w:space="0"/>
            </w:tcBorders>
            <w:vAlign w:val="center"/>
          </w:tcPr>
          <w:p w14:paraId="1D0FD79F">
            <w:pPr>
              <w:pStyle w:val="10"/>
              <w:spacing w:line="23" w:lineRule="atLeast"/>
              <w:ind w:left="0"/>
              <w:jc w:val="center"/>
              <w:rPr>
                <w:szCs w:val="22"/>
              </w:rPr>
            </w:pPr>
            <w:r>
              <w:rPr>
                <w:szCs w:val="22"/>
              </w:rPr>
              <w:t>★计划工期</w:t>
            </w:r>
          </w:p>
        </w:tc>
        <w:tc>
          <w:tcPr>
            <w:tcW w:w="6892" w:type="dxa"/>
            <w:tcBorders>
              <w:top w:val="single" w:color="auto" w:sz="4" w:space="0"/>
              <w:left w:val="single" w:color="auto" w:sz="4" w:space="0"/>
              <w:bottom w:val="single" w:color="auto" w:sz="4" w:space="0"/>
              <w:right w:val="single" w:color="auto" w:sz="4" w:space="0"/>
            </w:tcBorders>
            <w:vAlign w:val="center"/>
          </w:tcPr>
          <w:p w14:paraId="1B427BCD">
            <w:pPr>
              <w:tabs>
                <w:tab w:val="left" w:pos="4392"/>
              </w:tabs>
              <w:spacing w:before="120" w:after="120" w:line="23" w:lineRule="atLeast"/>
              <w:ind w:left="0" w:leftChars="0" w:right="0" w:rightChars="0"/>
              <w:rPr>
                <w:rFonts w:hint="eastAsia"/>
                <w:szCs w:val="22"/>
              </w:rPr>
            </w:pPr>
            <w:r>
              <w:rPr>
                <w:rFonts w:hint="eastAsia"/>
                <w:szCs w:val="22"/>
              </w:rPr>
              <w:t>计划工期：</w:t>
            </w:r>
            <w:r>
              <w:rPr>
                <w:rFonts w:hint="eastAsia"/>
                <w:szCs w:val="22"/>
                <w:u w:val="single"/>
              </w:rPr>
              <w:t xml:space="preserve"> </w:t>
            </w:r>
            <w:r>
              <w:rPr>
                <w:rFonts w:hint="eastAsia"/>
                <w:szCs w:val="22"/>
                <w:u w:val="single"/>
                <w:lang w:val="en-US" w:eastAsia="zh-CN"/>
              </w:rPr>
              <w:t xml:space="preserve"> </w:t>
            </w:r>
            <w:r>
              <w:rPr>
                <w:rFonts w:hint="eastAsia"/>
                <w:szCs w:val="22"/>
                <w:u w:val="single"/>
              </w:rPr>
              <w:t xml:space="preserve"> </w:t>
            </w:r>
            <w:r>
              <w:rPr>
                <w:rFonts w:hint="eastAsia"/>
                <w:szCs w:val="22"/>
              </w:rPr>
              <w:t>日历天</w:t>
            </w:r>
          </w:p>
          <w:p w14:paraId="3EEEC4DD">
            <w:pPr>
              <w:tabs>
                <w:tab w:val="left" w:pos="4392"/>
              </w:tabs>
              <w:spacing w:before="120" w:after="120" w:line="23" w:lineRule="atLeast"/>
              <w:ind w:left="0" w:leftChars="0" w:right="0" w:rightChars="0"/>
              <w:rPr>
                <w:rFonts w:hint="eastAsia"/>
                <w:szCs w:val="22"/>
              </w:rPr>
            </w:pPr>
            <w:r>
              <w:rPr>
                <w:rFonts w:hint="eastAsia"/>
                <w:szCs w:val="22"/>
              </w:rPr>
              <w:t>计划开工日期：</w:t>
            </w:r>
            <w:r>
              <w:rPr>
                <w:rFonts w:hint="eastAsia"/>
                <w:szCs w:val="22"/>
                <w:u w:val="single"/>
              </w:rPr>
              <w:t xml:space="preserve">    </w:t>
            </w:r>
            <w:r>
              <w:rPr>
                <w:rFonts w:hint="eastAsia"/>
                <w:szCs w:val="22"/>
              </w:rPr>
              <w:t>年</w:t>
            </w:r>
            <w:r>
              <w:rPr>
                <w:rFonts w:hint="eastAsia"/>
                <w:szCs w:val="22"/>
                <w:u w:val="single"/>
              </w:rPr>
              <w:t xml:space="preserve">   </w:t>
            </w:r>
            <w:r>
              <w:rPr>
                <w:rFonts w:hint="eastAsia"/>
                <w:szCs w:val="22"/>
              </w:rPr>
              <w:t>月</w:t>
            </w:r>
            <w:r>
              <w:rPr>
                <w:rFonts w:hint="eastAsia"/>
                <w:szCs w:val="22"/>
                <w:u w:val="single"/>
              </w:rPr>
              <w:t xml:space="preserve">   </w:t>
            </w:r>
            <w:r>
              <w:rPr>
                <w:rFonts w:hint="eastAsia"/>
                <w:szCs w:val="22"/>
              </w:rPr>
              <w:t>日</w:t>
            </w:r>
          </w:p>
          <w:p w14:paraId="5732F5D9">
            <w:pPr>
              <w:tabs>
                <w:tab w:val="left" w:pos="4392"/>
              </w:tabs>
              <w:spacing w:before="120" w:after="120" w:line="23" w:lineRule="atLeast"/>
              <w:ind w:left="0" w:leftChars="0" w:right="0" w:rightChars="0"/>
              <w:rPr>
                <w:szCs w:val="22"/>
              </w:rPr>
            </w:pPr>
            <w:r>
              <w:rPr>
                <w:rFonts w:hint="eastAsia"/>
                <w:szCs w:val="22"/>
              </w:rPr>
              <w:t>计划竣工日期：</w:t>
            </w:r>
            <w:r>
              <w:rPr>
                <w:rFonts w:hint="eastAsia"/>
                <w:szCs w:val="22"/>
                <w:u w:val="single"/>
              </w:rPr>
              <w:t xml:space="preserve">    </w:t>
            </w:r>
            <w:r>
              <w:rPr>
                <w:rFonts w:hint="eastAsia"/>
                <w:szCs w:val="22"/>
              </w:rPr>
              <w:t>年</w:t>
            </w:r>
            <w:r>
              <w:rPr>
                <w:rFonts w:hint="eastAsia"/>
                <w:szCs w:val="22"/>
                <w:u w:val="single"/>
              </w:rPr>
              <w:t xml:space="preserve">   </w:t>
            </w:r>
            <w:r>
              <w:rPr>
                <w:rFonts w:hint="eastAsia"/>
                <w:szCs w:val="22"/>
              </w:rPr>
              <w:t>月</w:t>
            </w:r>
            <w:r>
              <w:rPr>
                <w:rFonts w:hint="eastAsia"/>
                <w:szCs w:val="22"/>
                <w:u w:val="single"/>
              </w:rPr>
              <w:t xml:space="preserve">   </w:t>
            </w:r>
            <w:r>
              <w:rPr>
                <w:rFonts w:hint="eastAsia"/>
                <w:szCs w:val="22"/>
              </w:rPr>
              <w:t>日</w:t>
            </w:r>
          </w:p>
        </w:tc>
      </w:tr>
      <w:tr w14:paraId="348DC0A1">
        <w:tblPrEx>
          <w:tblCellMar>
            <w:top w:w="0" w:type="dxa"/>
            <w:left w:w="108" w:type="dxa"/>
            <w:bottom w:w="0" w:type="dxa"/>
            <w:right w:w="108" w:type="dxa"/>
          </w:tblCellMar>
        </w:tblPrEx>
        <w:trPr>
          <w:trHeight w:val="633"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03069E8C">
            <w:pPr>
              <w:pStyle w:val="10"/>
              <w:spacing w:line="23" w:lineRule="atLeast"/>
              <w:ind w:left="0"/>
              <w:jc w:val="center"/>
              <w:rPr>
                <w:szCs w:val="22"/>
              </w:rPr>
            </w:pPr>
            <w:r>
              <w:rPr>
                <w:szCs w:val="22"/>
              </w:rPr>
              <w:t>1.3.3</w:t>
            </w:r>
          </w:p>
        </w:tc>
        <w:tc>
          <w:tcPr>
            <w:tcW w:w="2001" w:type="dxa"/>
            <w:tcBorders>
              <w:top w:val="single" w:color="auto" w:sz="4" w:space="0"/>
              <w:left w:val="single" w:color="auto" w:sz="4" w:space="0"/>
              <w:bottom w:val="single" w:color="auto" w:sz="4" w:space="0"/>
              <w:right w:val="single" w:color="auto" w:sz="4" w:space="0"/>
            </w:tcBorders>
            <w:vAlign w:val="center"/>
          </w:tcPr>
          <w:p w14:paraId="47A662D7">
            <w:pPr>
              <w:pStyle w:val="10"/>
              <w:spacing w:line="23" w:lineRule="atLeast"/>
              <w:ind w:left="0"/>
              <w:jc w:val="center"/>
              <w:rPr>
                <w:szCs w:val="22"/>
              </w:rPr>
            </w:pPr>
            <w:r>
              <w:rPr>
                <w:szCs w:val="22"/>
              </w:rPr>
              <w:t>★质量要求</w:t>
            </w:r>
          </w:p>
        </w:tc>
        <w:tc>
          <w:tcPr>
            <w:tcW w:w="6892" w:type="dxa"/>
            <w:tcBorders>
              <w:top w:val="single" w:color="auto" w:sz="4" w:space="0"/>
              <w:left w:val="single" w:color="auto" w:sz="4" w:space="0"/>
              <w:bottom w:val="single" w:color="auto" w:sz="4" w:space="0"/>
              <w:right w:val="single" w:color="auto" w:sz="4" w:space="0"/>
            </w:tcBorders>
            <w:vAlign w:val="center"/>
          </w:tcPr>
          <w:p w14:paraId="0F5816C4">
            <w:pPr>
              <w:pStyle w:val="10"/>
              <w:spacing w:line="23" w:lineRule="atLeast"/>
              <w:ind w:left="0"/>
              <w:rPr>
                <w:szCs w:val="22"/>
              </w:rPr>
            </w:pPr>
          </w:p>
        </w:tc>
      </w:tr>
      <w:tr w14:paraId="7E2923FB">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485A9CCB">
            <w:pPr>
              <w:pStyle w:val="10"/>
              <w:spacing w:line="23" w:lineRule="atLeast"/>
              <w:ind w:left="0"/>
              <w:jc w:val="center"/>
              <w:rPr>
                <w:szCs w:val="22"/>
              </w:rPr>
            </w:pPr>
            <w:r>
              <w:rPr>
                <w:szCs w:val="22"/>
              </w:rPr>
              <w:t>1.4.1</w:t>
            </w:r>
          </w:p>
        </w:tc>
        <w:tc>
          <w:tcPr>
            <w:tcW w:w="2001" w:type="dxa"/>
            <w:tcBorders>
              <w:top w:val="single" w:color="auto" w:sz="4" w:space="0"/>
              <w:left w:val="single" w:color="auto" w:sz="4" w:space="0"/>
              <w:bottom w:val="single" w:color="auto" w:sz="4" w:space="0"/>
              <w:right w:val="single" w:color="auto" w:sz="4" w:space="0"/>
            </w:tcBorders>
            <w:vAlign w:val="center"/>
          </w:tcPr>
          <w:p w14:paraId="5EED021D">
            <w:pPr>
              <w:pStyle w:val="10"/>
              <w:spacing w:line="23" w:lineRule="atLeast"/>
              <w:ind w:left="0"/>
              <w:jc w:val="center"/>
              <w:rPr>
                <w:szCs w:val="22"/>
              </w:rPr>
            </w:pPr>
            <w:r>
              <w:rPr>
                <w:szCs w:val="22"/>
              </w:rPr>
              <w:t>★投标人资质条件、能力</w:t>
            </w:r>
          </w:p>
        </w:tc>
        <w:tc>
          <w:tcPr>
            <w:tcW w:w="6892" w:type="dxa"/>
            <w:tcBorders>
              <w:top w:val="single" w:color="auto" w:sz="4" w:space="0"/>
              <w:left w:val="single" w:color="auto" w:sz="4" w:space="0"/>
              <w:bottom w:val="single" w:color="auto" w:sz="4" w:space="0"/>
              <w:right w:val="single" w:color="auto" w:sz="4" w:space="0"/>
            </w:tcBorders>
            <w:vAlign w:val="center"/>
          </w:tcPr>
          <w:p w14:paraId="7FF464FB">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b/>
                <w:bCs/>
                <w:szCs w:val="22"/>
              </w:rPr>
              <w:t>资质条件：</w:t>
            </w:r>
            <w:r>
              <w:rPr>
                <w:rFonts w:hint="eastAsia"/>
                <w:b/>
                <w:bCs/>
                <w:szCs w:val="22"/>
              </w:rPr>
              <w:t>同招标公告或投标邀请书；</w:t>
            </w:r>
          </w:p>
          <w:p w14:paraId="266F0001">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b/>
                <w:bCs/>
                <w:szCs w:val="22"/>
              </w:rPr>
              <w:t>财务要求：</w:t>
            </w:r>
            <w:r>
              <w:rPr>
                <w:rFonts w:hint="eastAsia"/>
                <w:b/>
                <w:bCs/>
                <w:szCs w:val="22"/>
              </w:rPr>
              <w:t>同招标公告或投标邀请书；</w:t>
            </w:r>
          </w:p>
          <w:p w14:paraId="4D0C0F83">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b/>
                <w:bCs/>
                <w:szCs w:val="22"/>
              </w:rPr>
              <w:t>类似工程业绩要求：</w:t>
            </w:r>
            <w:r>
              <w:rPr>
                <w:rFonts w:hint="eastAsia"/>
                <w:b/>
                <w:bCs/>
                <w:szCs w:val="22"/>
              </w:rPr>
              <w:t>同招标公告或投标邀请书；</w:t>
            </w:r>
          </w:p>
          <w:p w14:paraId="59A1690D">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b/>
                <w:bCs/>
                <w:szCs w:val="22"/>
              </w:rPr>
              <w:t>信誉要求：</w:t>
            </w:r>
            <w:r>
              <w:rPr>
                <w:rFonts w:hint="eastAsia"/>
                <w:b/>
                <w:bCs/>
                <w:szCs w:val="22"/>
              </w:rPr>
              <w:t>不存在投标人须知第1.4.3项规定的限制投标的情形；</w:t>
            </w:r>
          </w:p>
          <w:p w14:paraId="22AB597C">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b/>
                <w:bCs/>
                <w:szCs w:val="22"/>
              </w:rPr>
              <w:t>项目负责人</w:t>
            </w:r>
            <w:r>
              <w:rPr>
                <w:b/>
                <w:bCs/>
                <w:szCs w:val="22"/>
              </w:rPr>
              <w:t>：</w:t>
            </w:r>
            <w:r>
              <w:rPr>
                <w:rFonts w:hint="eastAsia"/>
                <w:b/>
                <w:bCs/>
                <w:szCs w:val="22"/>
              </w:rPr>
              <w:t>同招标公告或投标邀请书；</w:t>
            </w:r>
          </w:p>
          <w:p w14:paraId="5920B432">
            <w:pPr>
              <w:pStyle w:val="10"/>
              <w:keepNext w:val="0"/>
              <w:keepLines w:val="0"/>
              <w:pageBreakBefore w:val="0"/>
              <w:widowControl w:val="0"/>
              <w:kinsoku/>
              <w:wordWrap/>
              <w:overflowPunct/>
              <w:topLinePunct w:val="0"/>
              <w:autoSpaceDE/>
              <w:autoSpaceDN/>
              <w:bidi w:val="0"/>
              <w:adjustRightInd/>
              <w:snapToGrid/>
              <w:spacing w:line="23" w:lineRule="atLeast"/>
              <w:ind w:left="0"/>
              <w:jc w:val="both"/>
              <w:textAlignment w:val="auto"/>
              <w:rPr>
                <w:b/>
                <w:bCs/>
                <w:szCs w:val="22"/>
              </w:rPr>
            </w:pPr>
            <w:r>
              <w:rPr>
                <w:rFonts w:hint="eastAsia"/>
                <w:b/>
                <w:bCs/>
                <w:szCs w:val="22"/>
              </w:rPr>
              <w:t>技术负责人</w:t>
            </w:r>
            <w:r>
              <w:rPr>
                <w:b/>
                <w:bCs/>
                <w:szCs w:val="22"/>
              </w:rPr>
              <w:t>：</w:t>
            </w:r>
          </w:p>
          <w:p w14:paraId="6B644A27">
            <w:pPr>
              <w:pStyle w:val="10"/>
              <w:keepNext w:val="0"/>
              <w:keepLines w:val="0"/>
              <w:pageBreakBefore w:val="0"/>
              <w:widowControl w:val="0"/>
              <w:kinsoku/>
              <w:wordWrap/>
              <w:overflowPunct/>
              <w:topLinePunct w:val="0"/>
              <w:autoSpaceDE/>
              <w:autoSpaceDN/>
              <w:bidi w:val="0"/>
              <w:adjustRightInd/>
              <w:snapToGrid/>
              <w:spacing w:line="23" w:lineRule="atLeast"/>
              <w:ind w:left="0"/>
              <w:jc w:val="both"/>
              <w:textAlignment w:val="auto"/>
              <w:rPr>
                <w:rFonts w:ascii="宋体" w:hAnsi="宋体" w:eastAsia="宋体" w:cs="宋体"/>
                <w:sz w:val="22"/>
                <w:szCs w:val="22"/>
              </w:rPr>
            </w:pPr>
            <w:r>
              <w:rPr>
                <w:rFonts w:hint="eastAsia"/>
                <w:szCs w:val="22"/>
              </w:rPr>
              <w:t>○</w:t>
            </w:r>
            <w:r>
              <w:rPr>
                <w:rFonts w:hint="eastAsia" w:cstheme="minorBidi"/>
                <w:b w:val="0"/>
                <w:bCs w:val="0"/>
                <w:sz w:val="22"/>
                <w:szCs w:val="22"/>
                <w:lang w:val="en-US" w:eastAsia="zh-CN"/>
              </w:rPr>
              <w:t>具有</w:t>
            </w:r>
            <w:r>
              <w:rPr>
                <w:rFonts w:hint="eastAsia"/>
                <w:szCs w:val="22"/>
                <w:u w:val="single"/>
                <w:lang w:val="en-US" w:eastAsia="zh-CN"/>
              </w:rPr>
              <w:t xml:space="preserve">          </w:t>
            </w:r>
            <w:r>
              <w:rPr>
                <w:rFonts w:hint="eastAsia"/>
                <w:szCs w:val="22"/>
                <w:lang w:val="en-US" w:eastAsia="zh-CN"/>
              </w:rPr>
              <w:t>职称或</w:t>
            </w:r>
            <w:r>
              <w:rPr>
                <w:rFonts w:hint="eastAsia" w:ascii="宋体" w:hAnsi="宋体" w:eastAsia="宋体" w:cstheme="minorBidi"/>
                <w:sz w:val="22"/>
                <w:szCs w:val="22"/>
              </w:rPr>
              <w:t>项目经理要求相同的专业和等级的建造师；</w:t>
            </w:r>
          </w:p>
          <w:p w14:paraId="5DA20A4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ascii="宋体" w:hAnsi="宋体" w:eastAsia="宋体" w:cs="宋体"/>
                <w:sz w:val="22"/>
                <w:szCs w:val="22"/>
                <w:lang w:val="en-US" w:eastAsia="zh-CN"/>
              </w:rPr>
            </w:pPr>
            <w:r>
              <w:rPr>
                <w:rFonts w:hint="eastAsia"/>
                <w:szCs w:val="22"/>
              </w:rPr>
              <w:t>○</w:t>
            </w:r>
            <w:r>
              <w:rPr>
                <w:rFonts w:hint="eastAsia"/>
                <w:szCs w:val="22"/>
                <w:lang w:val="en-US" w:eastAsia="zh-CN"/>
              </w:rPr>
              <w:t>无要求；</w:t>
            </w:r>
          </w:p>
          <w:p w14:paraId="33D132C8">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default"/>
                <w:b/>
                <w:bCs/>
                <w:szCs w:val="22"/>
                <w:lang w:val="en-US" w:eastAsia="zh-CN"/>
              </w:rPr>
            </w:pPr>
            <w:r>
              <w:rPr>
                <w:rFonts w:hint="default"/>
                <w:b/>
                <w:bCs/>
                <w:szCs w:val="22"/>
                <w:lang w:val="en-US" w:eastAsia="zh-CN"/>
              </w:rPr>
              <w:t>其他要求：</w:t>
            </w:r>
          </w:p>
          <w:p w14:paraId="752BCB50">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lang w:val="en-US" w:eastAsia="zh-CN"/>
              </w:rPr>
            </w:pPr>
            <w:r>
              <w:rPr>
                <w:rFonts w:hint="default"/>
                <w:b w:val="0"/>
                <w:bCs w:val="0"/>
                <w:szCs w:val="22"/>
                <w:lang w:val="en-US" w:eastAsia="zh-CN"/>
              </w:rPr>
              <w:t>□</w:t>
            </w:r>
            <w:r>
              <w:rPr>
                <w:rFonts w:hint="eastAsia"/>
                <w:b w:val="0"/>
                <w:bCs w:val="0"/>
                <w:szCs w:val="22"/>
                <w:lang w:val="en-US" w:eastAsia="zh-CN"/>
              </w:rPr>
              <w:t>支持中小企业参与。</w:t>
            </w:r>
          </w:p>
          <w:p w14:paraId="3B7357F3">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lang w:val="en-US" w:eastAsia="zh-CN"/>
              </w:rPr>
            </w:pPr>
            <w:r>
              <w:rPr>
                <w:rFonts w:hint="eastAsia"/>
                <w:b w:val="0"/>
                <w:bCs w:val="0"/>
                <w:szCs w:val="22"/>
                <w:lang w:val="en-US" w:eastAsia="zh-CN"/>
              </w:rPr>
              <w:t>○本次招标仅面向中小企业发包（其中属于大企业的分支机构、存在控股股东为大企业、与大企业的负责人为同一人的情形的企业均不属于中小企业。若为联合体投标的，联合体所有单位均应属于中小企业）。</w:t>
            </w:r>
          </w:p>
          <w:p w14:paraId="191C8FB4">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lang w:val="en-US" w:eastAsia="zh-CN"/>
              </w:rPr>
            </w:pPr>
            <w:r>
              <w:rPr>
                <w:rFonts w:hint="eastAsia"/>
                <w:b w:val="0"/>
                <w:bCs w:val="0"/>
                <w:szCs w:val="22"/>
                <w:lang w:val="en-US" w:eastAsia="zh-CN"/>
              </w:rPr>
              <w:t>○本次招标原则上优先面向中小企业发包（其中属于大企业的分支机构、存在控股股东为大企业、与大企业的负责人为同一人的情形的企业均不属于中小企业。若为联合体投标的，联合体所有单位均应属于中小企业）。</w:t>
            </w:r>
          </w:p>
          <w:p w14:paraId="36EDC849">
            <w:pPr>
              <w:ind w:left="0" w:leftChars="0" w:firstLine="0" w:firstLineChars="0"/>
              <w:rPr>
                <w:rFonts w:hint="eastAsia"/>
              </w:rPr>
            </w:pPr>
            <w:r>
              <w:rPr>
                <w:rFonts w:hint="eastAsia"/>
              </w:rPr>
              <w:t>中小企业认定具体标准以《工业和信息化部、国家统计局、国家发展和改革委员会、财政部关于印发中小企业划型标准规定的通知》（工信部联企业〔2011〕300号）中的“</w:t>
            </w:r>
            <w:r>
              <w:rPr>
                <w:rFonts w:hint="eastAsia"/>
                <w:lang w:eastAsia="zh-CN"/>
              </w:rPr>
              <w:t>建筑业</w:t>
            </w:r>
            <w:r>
              <w:rPr>
                <w:rFonts w:hint="eastAsia"/>
              </w:rPr>
              <w:t>”划型标准为准，投标人应提供中小企业声明函。</w:t>
            </w:r>
          </w:p>
          <w:p w14:paraId="78193CC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u w:val="single"/>
                <w:lang w:eastAsia="zh-CN"/>
              </w:rPr>
            </w:pPr>
            <w:r>
              <w:rPr>
                <w:szCs w:val="22"/>
              </w:rPr>
              <w:t>□</w:t>
            </w:r>
            <w:r>
              <w:rPr>
                <w:rFonts w:hint="eastAsia"/>
                <w:szCs w:val="22"/>
                <w:u w:val="single"/>
                <w:lang w:eastAsia="zh-CN"/>
              </w:rPr>
              <w:t xml:space="preserve">            </w:t>
            </w:r>
            <w:r>
              <w:rPr>
                <w:rFonts w:hint="eastAsia"/>
                <w:szCs w:val="22"/>
                <w:u w:val="none"/>
                <w:lang w:eastAsia="zh-CN"/>
              </w:rPr>
              <w:t>。</w:t>
            </w:r>
          </w:p>
          <w:p w14:paraId="2FC612C0">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u w:val="single"/>
                <w:lang w:eastAsia="zh-CN"/>
              </w:rPr>
            </w:pPr>
            <w:r>
              <w:rPr>
                <w:rFonts w:hint="default"/>
                <w:b w:val="0"/>
                <w:bCs w:val="0"/>
                <w:szCs w:val="22"/>
                <w:lang w:val="en-US" w:eastAsia="zh-CN"/>
              </w:rPr>
              <w:t>若有弄虚作假行为经查实的，将被没收投标保证金。</w:t>
            </w:r>
          </w:p>
          <w:p w14:paraId="3FD3D730">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color w:val="FF0000"/>
                <w:szCs w:val="22"/>
                <w:u w:val="none"/>
                <w:lang w:eastAsia="zh-CN"/>
              </w:rPr>
            </w:pPr>
            <w:r>
              <w:rPr>
                <w:rFonts w:hint="eastAsia"/>
                <w:color w:val="FF0000"/>
                <w:szCs w:val="22"/>
                <w:u w:val="none"/>
                <w:lang w:eastAsia="zh-CN"/>
              </w:rPr>
              <w:t xml:space="preserve">注：（1）招标人在“投标人资质条件、能力和信誉”要求中，除 1.4.1 已列入的外，招标人不得脱离招标项目的具体特点和实际需要，随意和盲目地设定投标人要求，不得设定与招标项目具体特点和实际需要不相适应的资质资格、技术、商务条件或者业绩、奖项要求，不得设定企业股东背景、年平均承接项目数量或者金额、从业人员、纳税额、营业场所面积等规模条件，不得设定超过项目实际需要的企业注册资本、资产总额、净资产规模、营业收入、利润、授信额度等财务指标，不得设定与招标项目实际需要不相适应或者与合同履行无关的资质、人员资格等，不得设定特定行政区域或者特定行业的业绩、奖项，不得设定投标人在本地注册设立子公司、分公司、分支机构，在本地拥有一定办公面积，在本地缴纳社会保险等，不得限定或者指定特定的专利、商标、品牌、原产地或者供应商，不得限定潜在投标人或者投标人所有制形式或者组织形式，不得设定国家已经明令取消的资质资格、非国家法定的资格，不得设定政府部门、行业协会商会或者其他机构对投标人作出的荣誉奖励和慈善公益证明等，不得设定国家职业资格目录中准入类职业资格以外的人员资格，不得设定要求投标人提供材料供应商授权书等，否则属于以不合理条件限制、排斥潜在投标人或者投标人。 </w:t>
            </w:r>
          </w:p>
          <w:p w14:paraId="2A105B2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color w:val="FF0000"/>
                <w:szCs w:val="22"/>
                <w:u w:val="none"/>
                <w:lang w:eastAsia="zh-CN"/>
              </w:rPr>
            </w:pPr>
            <w:r>
              <w:rPr>
                <w:rFonts w:hint="eastAsia"/>
                <w:color w:val="FF0000"/>
                <w:szCs w:val="22"/>
                <w:u w:val="none"/>
                <w:lang w:eastAsia="zh-CN"/>
              </w:rPr>
              <w:t xml:space="preserve">（2）招标人应该按照住房城乡建设部关于印发《建筑业企业资质标准》的通知（建市〔2014〕159 号）和《住房城乡建设部关于简化建筑业企业资质标准部分指标的通知》（建市〔2016〕226号）和《住房和城乡建设部关于印发建设工程企业资质管理制度改革方案的通知》（建市〔2020〕94号）及其配套规定确定对投标人的施工资质等级要求。 </w:t>
            </w:r>
          </w:p>
          <w:p w14:paraId="3E4EBA32">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color w:val="FF0000"/>
                <w:szCs w:val="22"/>
                <w:u w:val="none"/>
                <w:lang w:eastAsia="zh-CN"/>
              </w:rPr>
            </w:pPr>
            <w:r>
              <w:rPr>
                <w:rFonts w:hint="eastAsia"/>
                <w:color w:val="FF0000"/>
                <w:szCs w:val="22"/>
                <w:u w:val="none"/>
                <w:lang w:eastAsia="zh-CN"/>
              </w:rPr>
              <w:t xml:space="preserve">（3）重组、分立后的企业，其重组、分立前承接的工程项目不作为有效业绩认定；合并后的新企业，原企业在合并前承接的工程项目，提供了企业合并相关证明材料的，作为有效业绩认定。 </w:t>
            </w:r>
          </w:p>
          <w:p w14:paraId="4B21B268">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u w:val="single"/>
                <w:lang w:eastAsia="zh-CN"/>
              </w:rPr>
            </w:pPr>
            <w:r>
              <w:rPr>
                <w:rFonts w:hint="eastAsia"/>
                <w:color w:val="FF0000"/>
                <w:szCs w:val="22"/>
                <w:u w:val="none"/>
                <w:lang w:eastAsia="zh-CN"/>
              </w:rPr>
              <w:t>（4）所提供类似工程业绩须符合企业的资质等级，超越资质等级取得的类似工程业绩以及在取得相应资质等级时间以前越级承担（含不具备资质非法承担）的类似工程业绩均无效。</w:t>
            </w:r>
          </w:p>
        </w:tc>
      </w:tr>
      <w:tr w14:paraId="733771EC">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DAF65C4">
            <w:pPr>
              <w:pStyle w:val="10"/>
              <w:spacing w:line="23" w:lineRule="atLeast"/>
              <w:ind w:left="0"/>
              <w:jc w:val="center"/>
              <w:rPr>
                <w:szCs w:val="22"/>
              </w:rPr>
            </w:pPr>
            <w:r>
              <w:rPr>
                <w:szCs w:val="22"/>
              </w:rPr>
              <w:t>1.4.2</w:t>
            </w:r>
          </w:p>
        </w:tc>
        <w:tc>
          <w:tcPr>
            <w:tcW w:w="2001" w:type="dxa"/>
            <w:tcBorders>
              <w:top w:val="single" w:color="auto" w:sz="4" w:space="0"/>
              <w:left w:val="single" w:color="auto" w:sz="4" w:space="0"/>
              <w:bottom w:val="single" w:color="auto" w:sz="4" w:space="0"/>
              <w:right w:val="single" w:color="auto" w:sz="4" w:space="0"/>
            </w:tcBorders>
            <w:vAlign w:val="center"/>
          </w:tcPr>
          <w:p w14:paraId="1B7110D1">
            <w:pPr>
              <w:pStyle w:val="10"/>
              <w:spacing w:line="23" w:lineRule="atLeast"/>
              <w:ind w:left="0"/>
              <w:jc w:val="center"/>
              <w:rPr>
                <w:szCs w:val="22"/>
              </w:rPr>
            </w:pPr>
            <w:r>
              <w:rPr>
                <w:szCs w:val="22"/>
              </w:rPr>
              <w:t>★是否接受联合体投标</w:t>
            </w:r>
          </w:p>
        </w:tc>
        <w:tc>
          <w:tcPr>
            <w:tcW w:w="6892" w:type="dxa"/>
            <w:tcBorders>
              <w:top w:val="single" w:color="auto" w:sz="4" w:space="0"/>
              <w:left w:val="single" w:color="auto" w:sz="4" w:space="0"/>
              <w:bottom w:val="single" w:color="auto" w:sz="4" w:space="0"/>
              <w:right w:val="single" w:color="auto" w:sz="4" w:space="0"/>
            </w:tcBorders>
            <w:vAlign w:val="center"/>
          </w:tcPr>
          <w:p w14:paraId="48CDE14A">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rFonts w:hint="eastAsia"/>
                <w:szCs w:val="22"/>
                <w:lang w:val="en-US" w:eastAsia="zh-CN"/>
              </w:rPr>
              <w:t>不允许</w:t>
            </w:r>
            <w:r>
              <w:rPr>
                <w:szCs w:val="22"/>
              </w:rPr>
              <w:t>。</w:t>
            </w:r>
          </w:p>
          <w:p w14:paraId="1B00BE03">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rFonts w:hint="eastAsia"/>
                <w:szCs w:val="22"/>
                <w:lang w:val="en-US" w:eastAsia="zh-CN"/>
              </w:rPr>
              <w:t>允许</w:t>
            </w:r>
            <w:r>
              <w:rPr>
                <w:szCs w:val="22"/>
              </w:rPr>
              <w:t>联合体投标的，应满足下列要求：</w:t>
            </w:r>
          </w:p>
          <w:p w14:paraId="4144B91B">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须具有</w:t>
            </w:r>
            <w:r>
              <w:rPr>
                <w:rFonts w:hint="eastAsia"/>
                <w:szCs w:val="22"/>
                <w:u w:val="single"/>
              </w:rPr>
              <w:t xml:space="preserve">  </w:t>
            </w:r>
            <w:r>
              <w:rPr>
                <w:rFonts w:hint="eastAsia"/>
                <w:szCs w:val="22"/>
                <w:u w:val="single"/>
                <w:lang w:val="en-US" w:eastAsia="zh-CN"/>
              </w:rPr>
              <w:t xml:space="preserve">  </w:t>
            </w:r>
            <w:r>
              <w:rPr>
                <w:rFonts w:hint="eastAsia"/>
                <w:szCs w:val="22"/>
                <w:u w:val="single"/>
              </w:rPr>
              <w:t xml:space="preserve">  </w:t>
            </w:r>
            <w:r>
              <w:rPr>
                <w:rFonts w:hint="eastAsia"/>
                <w:szCs w:val="22"/>
              </w:rPr>
              <w:t>的单位作为联合体牵头人。联合体成员家数（含联合体牵头人）须不超过</w:t>
            </w:r>
            <w:r>
              <w:rPr>
                <w:rFonts w:hint="eastAsia"/>
                <w:szCs w:val="22"/>
                <w:u w:val="single"/>
              </w:rPr>
              <w:t xml:space="preserve">   </w:t>
            </w:r>
            <w:r>
              <w:rPr>
                <w:rFonts w:hint="eastAsia"/>
                <w:szCs w:val="22"/>
              </w:rPr>
              <w:t>家。联合体需符合有关联合体投标的规定和要求，并提交了联合体协议，明确联合体牵头人和各方权利义务。</w:t>
            </w:r>
            <w:r>
              <w:rPr>
                <w:szCs w:val="22"/>
              </w:rPr>
              <w:t>联合体中各方不得再以自己名义单独或参加其他联合体在同一合同段中投标。</w:t>
            </w:r>
          </w:p>
        </w:tc>
      </w:tr>
      <w:tr w14:paraId="0AC155F1">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BD2775D">
            <w:pPr>
              <w:pStyle w:val="10"/>
              <w:spacing w:line="23" w:lineRule="atLeast"/>
              <w:ind w:left="0"/>
              <w:jc w:val="center"/>
              <w:rPr>
                <w:szCs w:val="22"/>
              </w:rPr>
            </w:pPr>
            <w:r>
              <w:rPr>
                <w:szCs w:val="22"/>
              </w:rPr>
              <w:t>1.4.3</w:t>
            </w:r>
          </w:p>
        </w:tc>
        <w:tc>
          <w:tcPr>
            <w:tcW w:w="2001" w:type="dxa"/>
            <w:tcBorders>
              <w:top w:val="single" w:color="auto" w:sz="4" w:space="0"/>
              <w:left w:val="single" w:color="auto" w:sz="4" w:space="0"/>
              <w:bottom w:val="single" w:color="auto" w:sz="4" w:space="0"/>
              <w:right w:val="single" w:color="auto" w:sz="4" w:space="0"/>
            </w:tcBorders>
            <w:vAlign w:val="center"/>
          </w:tcPr>
          <w:p w14:paraId="29D6DC8F">
            <w:pPr>
              <w:pStyle w:val="10"/>
              <w:spacing w:line="23" w:lineRule="atLeast"/>
              <w:ind w:left="0"/>
              <w:jc w:val="center"/>
              <w:rPr>
                <w:szCs w:val="22"/>
              </w:rPr>
            </w:pPr>
            <w:r>
              <w:rPr>
                <w:szCs w:val="22"/>
              </w:rPr>
              <w:t>限制投标的情形</w:t>
            </w:r>
          </w:p>
        </w:tc>
        <w:tc>
          <w:tcPr>
            <w:tcW w:w="6892" w:type="dxa"/>
            <w:tcBorders>
              <w:top w:val="single" w:color="auto" w:sz="4" w:space="0"/>
              <w:left w:val="single" w:color="auto" w:sz="4" w:space="0"/>
              <w:bottom w:val="single" w:color="auto" w:sz="4" w:space="0"/>
              <w:right w:val="single" w:color="auto" w:sz="4" w:space="0"/>
            </w:tcBorders>
            <w:vAlign w:val="center"/>
          </w:tcPr>
          <w:p w14:paraId="7674D564">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除投标人不得存在的12种情形之一外，投标人也不得存在下列情形：</w:t>
            </w:r>
          </w:p>
          <w:p w14:paraId="1FE9FFA8">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（13）与招标人存在利害关系且可能影响招标公正性的；</w:t>
            </w:r>
          </w:p>
          <w:p w14:paraId="04C94E38">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（14）在最近三年内投标人或其法定代表人、拟委任的项目经理有行贿犯罪行为的；</w:t>
            </w:r>
          </w:p>
          <w:p w14:paraId="1ED3F5B4">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（15）在最近一年内投标人拟委任的项目经理因违反《注册建造师管理规定》被建设主管部门或者其他有关部门行政处罚的；</w:t>
            </w:r>
          </w:p>
          <w:p w14:paraId="7F6BBFB9">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（16）单位负责人为同一人或者存在控股、管理关系的不同单位，不得在同一标段或未划分标段的同一项目中同时投标。</w:t>
            </w:r>
          </w:p>
          <w:p w14:paraId="770B3182">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szCs w:val="22"/>
              </w:rPr>
              <w:t>□</w:t>
            </w:r>
            <w:r>
              <w:rPr>
                <w:rFonts w:hint="eastAsia"/>
                <w:szCs w:val="22"/>
              </w:rPr>
              <w:t>（17）拟任项目经理在参加本项目投标时（指提交投标文件截止时间），在其他合同履行期间（合同履行期间是指从工程项目签订承包合同之日起至工程项目验收合格之日止的时间)的工程项目中担任项目经理或施工负责人的（</w:t>
            </w:r>
            <w:r>
              <w:rPr>
                <w:szCs w:val="22"/>
              </w:rPr>
              <w:t>□</w:t>
            </w:r>
            <w:r>
              <w:rPr>
                <w:rFonts w:hint="eastAsia"/>
                <w:szCs w:val="22"/>
              </w:rPr>
              <w:t>在本项目其他标段担任项目经理的除外）。</w:t>
            </w:r>
          </w:p>
          <w:p w14:paraId="36987FF7">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szCs w:val="22"/>
              </w:rPr>
              <w:t>□</w:t>
            </w:r>
            <w:r>
              <w:rPr>
                <w:rFonts w:hint="eastAsia"/>
                <w:szCs w:val="22"/>
              </w:rPr>
              <w:t>（18）根据国家或四川省有关部门制定的联合惩戒措施规范性文件（联合惩戒措施包括限制参与工程招投标或限制参与政府采购活动），被列为联合惩戒对象的；</w:t>
            </w:r>
          </w:p>
          <w:p w14:paraId="3E3DD081">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注：除此之外招标人不得另行增加其他限制投标情形。</w:t>
            </w:r>
          </w:p>
          <w:p w14:paraId="78EC827F">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本条（12）、（15）规定的事项，应以有关行政主管部门出具的已生效的行政处罚决定书为依据，“近三年”“近一年”应以行政处罚决定书的出具时间起算。</w:t>
            </w:r>
          </w:p>
          <w:p w14:paraId="3EBBB29E">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“被暂停或取消投标资格的”是指：</w:t>
            </w:r>
          </w:p>
          <w:p w14:paraId="5C084275">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投标人存在被行政主管部门依据法律、法规、规章作出暂停或取消一定时期投标资格的已生效行政处罚，其限制投标范围与所依据的法律、法规、规章适用范围相同，与行政处罚规定的限制投标行政区域无关。</w:t>
            </w:r>
          </w:p>
        </w:tc>
      </w:tr>
      <w:tr w14:paraId="3EEAE024">
        <w:tblPrEx>
          <w:tblCellMar>
            <w:top w:w="0" w:type="dxa"/>
            <w:left w:w="108" w:type="dxa"/>
            <w:bottom w:w="0" w:type="dxa"/>
            <w:right w:w="108" w:type="dxa"/>
          </w:tblCellMar>
        </w:tblPrEx>
        <w:trPr>
          <w:trHeight w:val="1025"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2A1AB888">
            <w:pPr>
              <w:pStyle w:val="10"/>
              <w:spacing w:line="23" w:lineRule="atLeast"/>
              <w:ind w:left="0"/>
              <w:jc w:val="center"/>
              <w:rPr>
                <w:szCs w:val="22"/>
              </w:rPr>
            </w:pPr>
            <w:r>
              <w:rPr>
                <w:rFonts w:hint="eastAsia"/>
                <w:szCs w:val="22"/>
              </w:rPr>
              <w:t>1.4.4</w:t>
            </w:r>
          </w:p>
        </w:tc>
        <w:tc>
          <w:tcPr>
            <w:tcW w:w="2001" w:type="dxa"/>
            <w:tcBorders>
              <w:top w:val="single" w:color="auto" w:sz="4" w:space="0"/>
              <w:left w:val="single" w:color="auto" w:sz="4" w:space="0"/>
              <w:bottom w:val="single" w:color="auto" w:sz="4" w:space="0"/>
              <w:right w:val="single" w:color="auto" w:sz="4" w:space="0"/>
            </w:tcBorders>
            <w:vAlign w:val="center"/>
          </w:tcPr>
          <w:p w14:paraId="4685FAE1">
            <w:pPr>
              <w:pStyle w:val="10"/>
              <w:spacing w:line="23" w:lineRule="atLeast"/>
              <w:ind w:left="0"/>
              <w:jc w:val="center"/>
              <w:rPr>
                <w:szCs w:val="22"/>
              </w:rPr>
            </w:pPr>
            <w:r>
              <w:rPr>
                <w:rFonts w:hint="eastAsia"/>
                <w:szCs w:val="22"/>
              </w:rPr>
              <w:t>★投标其他要求</w:t>
            </w:r>
          </w:p>
        </w:tc>
        <w:tc>
          <w:tcPr>
            <w:tcW w:w="6892" w:type="dxa"/>
            <w:tcBorders>
              <w:top w:val="single" w:color="auto" w:sz="4" w:space="0"/>
              <w:left w:val="single" w:color="auto" w:sz="4" w:space="0"/>
              <w:bottom w:val="single" w:color="auto" w:sz="4" w:space="0"/>
              <w:right w:val="single" w:color="auto" w:sz="4" w:space="0"/>
            </w:tcBorders>
            <w:vAlign w:val="center"/>
          </w:tcPr>
          <w:p w14:paraId="359D5876">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1、投标人须具备有效的安全生产许可证（依法不需要提供的除外）。</w:t>
            </w:r>
          </w:p>
          <w:p w14:paraId="7AC9E3E8">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 xml:space="preserve">□2、其他要求: </w:t>
            </w:r>
            <w:r>
              <w:rPr>
                <w:rFonts w:hint="eastAsia"/>
                <w:szCs w:val="22"/>
                <w:u w:val="single"/>
              </w:rPr>
              <w:t xml:space="preserve">                  </w:t>
            </w:r>
          </w:p>
        </w:tc>
      </w:tr>
      <w:tr w14:paraId="4346D44C">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4B85870">
            <w:pPr>
              <w:pStyle w:val="10"/>
              <w:spacing w:line="23" w:lineRule="atLeast"/>
              <w:ind w:left="0"/>
              <w:jc w:val="center"/>
              <w:rPr>
                <w:szCs w:val="22"/>
              </w:rPr>
            </w:pPr>
            <w:r>
              <w:rPr>
                <w:szCs w:val="22"/>
              </w:rPr>
              <w:t>1.</w:t>
            </w:r>
            <w:r>
              <w:rPr>
                <w:rFonts w:hint="eastAsia"/>
                <w:szCs w:val="22"/>
              </w:rPr>
              <w:t>9</w:t>
            </w:r>
            <w:r>
              <w:rPr>
                <w:szCs w:val="22"/>
              </w:rPr>
              <w:t>.1</w:t>
            </w:r>
          </w:p>
        </w:tc>
        <w:tc>
          <w:tcPr>
            <w:tcW w:w="2001" w:type="dxa"/>
            <w:tcBorders>
              <w:top w:val="single" w:color="auto" w:sz="4" w:space="0"/>
              <w:left w:val="single" w:color="auto" w:sz="4" w:space="0"/>
              <w:bottom w:val="single" w:color="auto" w:sz="4" w:space="0"/>
              <w:right w:val="single" w:color="auto" w:sz="4" w:space="0"/>
            </w:tcBorders>
            <w:vAlign w:val="center"/>
          </w:tcPr>
          <w:p w14:paraId="401BA618">
            <w:pPr>
              <w:pStyle w:val="10"/>
              <w:spacing w:line="23" w:lineRule="atLeast"/>
              <w:ind w:left="0"/>
              <w:jc w:val="center"/>
              <w:rPr>
                <w:szCs w:val="22"/>
              </w:rPr>
            </w:pPr>
            <w:r>
              <w:rPr>
                <w:rFonts w:hint="eastAsia"/>
                <w:szCs w:val="22"/>
              </w:rPr>
              <w:t>踏勘现场</w:t>
            </w:r>
          </w:p>
        </w:tc>
        <w:tc>
          <w:tcPr>
            <w:tcW w:w="6892" w:type="dxa"/>
            <w:tcBorders>
              <w:top w:val="single" w:color="auto" w:sz="4" w:space="0"/>
              <w:left w:val="single" w:color="auto" w:sz="4" w:space="0"/>
              <w:bottom w:val="single" w:color="auto" w:sz="4" w:space="0"/>
              <w:right w:val="single" w:color="auto" w:sz="4" w:space="0"/>
            </w:tcBorders>
            <w:vAlign w:val="center"/>
          </w:tcPr>
          <w:p w14:paraId="496B3AA5">
            <w:pPr>
              <w:pStyle w:val="10"/>
              <w:keepNext w:val="0"/>
              <w:keepLines w:val="0"/>
              <w:pageBreakBefore w:val="0"/>
              <w:kinsoku/>
              <w:wordWrap/>
              <w:overflowPunct/>
              <w:topLinePunct w:val="0"/>
              <w:autoSpaceDE/>
              <w:autoSpaceDN/>
              <w:bidi w:val="0"/>
              <w:adjustRightInd/>
              <w:snapToGrid/>
              <w:spacing w:line="23" w:lineRule="atLeast"/>
              <w:ind w:left="0" w:leftChars="0" w:firstLine="0" w:firstLineChars="0"/>
              <w:textAlignment w:val="auto"/>
              <w:rPr>
                <w:szCs w:val="22"/>
              </w:rPr>
            </w:pPr>
            <w:r>
              <w:rPr>
                <w:rFonts w:hint="eastAsia"/>
                <w:szCs w:val="22"/>
              </w:rPr>
              <w:t>○不组织。由投标人自行踏勘，由此造成的一切后果由投标人自行承担。</w:t>
            </w:r>
          </w:p>
          <w:p w14:paraId="4D64D381">
            <w:pPr>
              <w:pStyle w:val="10"/>
              <w:keepNext w:val="0"/>
              <w:keepLines w:val="0"/>
              <w:pageBreakBefore w:val="0"/>
              <w:kinsoku/>
              <w:wordWrap/>
              <w:overflowPunct/>
              <w:topLinePunct w:val="0"/>
              <w:autoSpaceDE/>
              <w:autoSpaceDN/>
              <w:bidi w:val="0"/>
              <w:adjustRightInd/>
              <w:snapToGrid/>
              <w:spacing w:line="23" w:lineRule="atLeast"/>
              <w:ind w:left="0" w:leftChars="0" w:firstLine="0" w:firstLineChars="0"/>
              <w:textAlignment w:val="auto"/>
              <w:rPr>
                <w:szCs w:val="22"/>
              </w:rPr>
            </w:pPr>
            <w:r>
              <w:rPr>
                <w:rFonts w:hint="eastAsia"/>
                <w:szCs w:val="22"/>
              </w:rPr>
              <w:t>○组织，踏勘时间：</w:t>
            </w:r>
            <w:r>
              <w:rPr>
                <w:rFonts w:hint="eastAsia"/>
                <w:szCs w:val="22"/>
                <w:u w:val="single"/>
              </w:rPr>
              <w:t xml:space="preserve">       </w:t>
            </w:r>
            <w:r>
              <w:rPr>
                <w:rFonts w:hint="eastAsia"/>
                <w:szCs w:val="22"/>
              </w:rPr>
              <w:t>踏勘集中地点：</w:t>
            </w:r>
            <w:r>
              <w:rPr>
                <w:rFonts w:hint="eastAsia"/>
                <w:szCs w:val="22"/>
                <w:u w:val="single"/>
              </w:rPr>
              <w:t xml:space="preserve">        </w:t>
            </w:r>
          </w:p>
        </w:tc>
      </w:tr>
      <w:tr w14:paraId="1598DAA7">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4C8EFA83">
            <w:pPr>
              <w:pStyle w:val="10"/>
              <w:spacing w:line="23" w:lineRule="atLeast"/>
              <w:ind w:left="0"/>
              <w:jc w:val="center"/>
              <w:rPr>
                <w:szCs w:val="22"/>
              </w:rPr>
            </w:pPr>
            <w:r>
              <w:rPr>
                <w:szCs w:val="22"/>
              </w:rPr>
              <w:t>1.</w:t>
            </w:r>
            <w:r>
              <w:rPr>
                <w:rFonts w:hint="eastAsia"/>
                <w:szCs w:val="22"/>
              </w:rPr>
              <w:t>10</w:t>
            </w:r>
            <w:r>
              <w:rPr>
                <w:szCs w:val="22"/>
              </w:rPr>
              <w:t>.1</w:t>
            </w:r>
          </w:p>
        </w:tc>
        <w:tc>
          <w:tcPr>
            <w:tcW w:w="2001" w:type="dxa"/>
            <w:tcBorders>
              <w:top w:val="single" w:color="auto" w:sz="4" w:space="0"/>
              <w:left w:val="single" w:color="auto" w:sz="4" w:space="0"/>
              <w:bottom w:val="single" w:color="auto" w:sz="4" w:space="0"/>
              <w:right w:val="single" w:color="auto" w:sz="4" w:space="0"/>
            </w:tcBorders>
            <w:vAlign w:val="center"/>
          </w:tcPr>
          <w:p w14:paraId="28FFE566">
            <w:pPr>
              <w:pStyle w:val="10"/>
              <w:spacing w:line="23" w:lineRule="atLeast"/>
              <w:ind w:left="0"/>
              <w:jc w:val="center"/>
              <w:rPr>
                <w:szCs w:val="22"/>
              </w:rPr>
            </w:pPr>
            <w:r>
              <w:rPr>
                <w:rFonts w:hint="eastAsia"/>
                <w:szCs w:val="22"/>
              </w:rPr>
              <w:t>投标预备会</w:t>
            </w:r>
          </w:p>
        </w:tc>
        <w:tc>
          <w:tcPr>
            <w:tcW w:w="6892" w:type="dxa"/>
            <w:tcBorders>
              <w:top w:val="single" w:color="auto" w:sz="4" w:space="0"/>
              <w:left w:val="single" w:color="auto" w:sz="4" w:space="0"/>
              <w:bottom w:val="single" w:color="auto" w:sz="4" w:space="0"/>
              <w:right w:val="single" w:color="auto" w:sz="4" w:space="0"/>
            </w:tcBorders>
            <w:vAlign w:val="center"/>
          </w:tcPr>
          <w:p w14:paraId="725DC030">
            <w:pPr>
              <w:pStyle w:val="10"/>
              <w:spacing w:line="23" w:lineRule="atLeast"/>
              <w:ind w:left="0" w:leftChars="0" w:firstLine="0" w:firstLineChars="0"/>
              <w:rPr>
                <w:szCs w:val="22"/>
              </w:rPr>
            </w:pPr>
            <w:r>
              <w:rPr>
                <w:rFonts w:hint="eastAsia"/>
                <w:szCs w:val="22"/>
              </w:rPr>
              <w:t>○不召开</w:t>
            </w:r>
          </w:p>
          <w:p w14:paraId="5928EBFE">
            <w:pPr>
              <w:pStyle w:val="10"/>
              <w:spacing w:line="23" w:lineRule="atLeast"/>
              <w:ind w:left="0" w:leftChars="0" w:firstLine="0" w:firstLineChars="0"/>
              <w:rPr>
                <w:szCs w:val="22"/>
              </w:rPr>
            </w:pPr>
            <w:r>
              <w:rPr>
                <w:rFonts w:hint="eastAsia"/>
                <w:szCs w:val="22"/>
              </w:rPr>
              <w:t>○召开，召开时间：</w:t>
            </w:r>
            <w:r>
              <w:rPr>
                <w:rFonts w:hint="eastAsia"/>
                <w:szCs w:val="22"/>
                <w:u w:val="single"/>
              </w:rPr>
              <w:t xml:space="preserve">                 </w:t>
            </w:r>
          </w:p>
          <w:p w14:paraId="0B5B4E25">
            <w:pPr>
              <w:pStyle w:val="10"/>
              <w:keepNext w:val="0"/>
              <w:keepLines w:val="0"/>
              <w:pageBreakBefore w:val="0"/>
              <w:kinsoku/>
              <w:wordWrap/>
              <w:overflowPunct/>
              <w:topLinePunct w:val="0"/>
              <w:autoSpaceDE/>
              <w:autoSpaceDN/>
              <w:bidi w:val="0"/>
              <w:adjustRightInd/>
              <w:snapToGrid/>
              <w:spacing w:line="23" w:lineRule="atLeast"/>
              <w:ind w:left="0" w:firstLine="880" w:firstLineChars="400"/>
              <w:textAlignment w:val="auto"/>
              <w:rPr>
                <w:szCs w:val="22"/>
              </w:rPr>
            </w:pPr>
            <w:r>
              <w:rPr>
                <w:rFonts w:hint="eastAsia"/>
                <w:szCs w:val="22"/>
              </w:rPr>
              <w:t>召开地点：</w:t>
            </w:r>
            <w:r>
              <w:rPr>
                <w:rFonts w:hint="eastAsia"/>
                <w:szCs w:val="22"/>
                <w:u w:val="single"/>
              </w:rPr>
              <w:t xml:space="preserve">                 </w:t>
            </w:r>
          </w:p>
        </w:tc>
      </w:tr>
      <w:tr w14:paraId="41DB3FD2">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41279034">
            <w:pPr>
              <w:pStyle w:val="10"/>
              <w:spacing w:line="23" w:lineRule="atLeast"/>
              <w:ind w:left="0"/>
              <w:jc w:val="center"/>
              <w:rPr>
                <w:szCs w:val="22"/>
              </w:rPr>
            </w:pPr>
            <w:r>
              <w:rPr>
                <w:rFonts w:hint="eastAsia"/>
                <w:szCs w:val="22"/>
              </w:rPr>
              <w:t>1.11</w:t>
            </w:r>
          </w:p>
        </w:tc>
        <w:tc>
          <w:tcPr>
            <w:tcW w:w="2001" w:type="dxa"/>
            <w:tcBorders>
              <w:top w:val="single" w:color="auto" w:sz="4" w:space="0"/>
              <w:left w:val="single" w:color="auto" w:sz="4" w:space="0"/>
              <w:bottom w:val="single" w:color="auto" w:sz="4" w:space="0"/>
              <w:right w:val="single" w:color="auto" w:sz="4" w:space="0"/>
            </w:tcBorders>
            <w:vAlign w:val="center"/>
          </w:tcPr>
          <w:p w14:paraId="116B68AE">
            <w:pPr>
              <w:pStyle w:val="10"/>
              <w:spacing w:line="23" w:lineRule="atLeast"/>
              <w:ind w:left="0"/>
              <w:jc w:val="center"/>
              <w:rPr>
                <w:szCs w:val="22"/>
              </w:rPr>
            </w:pPr>
            <w:r>
              <w:rPr>
                <w:szCs w:val="22"/>
              </w:rPr>
              <w:t>★</w:t>
            </w:r>
            <w:r>
              <w:rPr>
                <w:rFonts w:hint="eastAsia"/>
                <w:szCs w:val="22"/>
              </w:rPr>
              <w:t>分包</w:t>
            </w:r>
          </w:p>
        </w:tc>
        <w:tc>
          <w:tcPr>
            <w:tcW w:w="6892" w:type="dxa"/>
            <w:tcBorders>
              <w:top w:val="single" w:color="auto" w:sz="4" w:space="0"/>
              <w:left w:val="single" w:color="auto" w:sz="4" w:space="0"/>
              <w:bottom w:val="single" w:color="auto" w:sz="4" w:space="0"/>
              <w:right w:val="single" w:color="auto" w:sz="4" w:space="0"/>
            </w:tcBorders>
            <w:vAlign w:val="center"/>
          </w:tcPr>
          <w:p w14:paraId="772A6547">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○不允许</w:t>
            </w:r>
          </w:p>
          <w:p w14:paraId="753DA0D1">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○允许：</w:t>
            </w:r>
          </w:p>
          <w:p w14:paraId="394B1303">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□1、总承包单位可以将承包工程中的部分工程（非主体、非关键性工作）发包给具有相应资质条件的分包单位</w:t>
            </w:r>
            <w:r>
              <w:rPr>
                <w:szCs w:val="22"/>
              </w:rPr>
              <w:t>，必须经项目业主认可。</w:t>
            </w:r>
          </w:p>
          <w:p w14:paraId="2C9B1A0D">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□2、其他：</w:t>
            </w:r>
            <w:r>
              <w:rPr>
                <w:rFonts w:hint="eastAsia"/>
                <w:szCs w:val="22"/>
                <w:u w:val="single"/>
              </w:rPr>
              <w:t xml:space="preserve">                    </w:t>
            </w:r>
            <w:r>
              <w:rPr>
                <w:szCs w:val="22"/>
              </w:rPr>
              <w:t>。</w:t>
            </w:r>
          </w:p>
          <w:p w14:paraId="51555A97">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注：不得要求投标人在投标文件中提供拟分包人的营业执照、资质证书、分包协议等证明文件。</w:t>
            </w:r>
          </w:p>
        </w:tc>
      </w:tr>
      <w:tr w14:paraId="71F48D0B">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67FA90F1">
            <w:pPr>
              <w:pStyle w:val="10"/>
              <w:spacing w:line="23" w:lineRule="atLeast"/>
              <w:ind w:left="0"/>
              <w:jc w:val="center"/>
              <w:rPr>
                <w:szCs w:val="22"/>
              </w:rPr>
            </w:pPr>
            <w:r>
              <w:rPr>
                <w:rFonts w:hint="eastAsia"/>
                <w:szCs w:val="22"/>
              </w:rPr>
              <w:t>1.12</w:t>
            </w:r>
          </w:p>
        </w:tc>
        <w:tc>
          <w:tcPr>
            <w:tcW w:w="2001" w:type="dxa"/>
            <w:tcBorders>
              <w:top w:val="single" w:color="auto" w:sz="4" w:space="0"/>
              <w:left w:val="single" w:color="auto" w:sz="4" w:space="0"/>
              <w:bottom w:val="single" w:color="auto" w:sz="4" w:space="0"/>
              <w:right w:val="single" w:color="auto" w:sz="4" w:space="0"/>
            </w:tcBorders>
            <w:vAlign w:val="center"/>
          </w:tcPr>
          <w:p w14:paraId="6FD6D4E5">
            <w:pPr>
              <w:pStyle w:val="10"/>
              <w:spacing w:line="23" w:lineRule="atLeast"/>
              <w:ind w:left="0"/>
              <w:jc w:val="center"/>
              <w:rPr>
                <w:szCs w:val="22"/>
              </w:rPr>
            </w:pPr>
            <w:r>
              <w:rPr>
                <w:rFonts w:hint="eastAsia"/>
                <w:szCs w:val="22"/>
              </w:rPr>
              <w:t>偏离</w:t>
            </w:r>
          </w:p>
        </w:tc>
        <w:tc>
          <w:tcPr>
            <w:tcW w:w="6892" w:type="dxa"/>
            <w:tcBorders>
              <w:top w:val="single" w:color="auto" w:sz="4" w:space="0"/>
              <w:left w:val="single" w:color="auto" w:sz="4" w:space="0"/>
              <w:bottom w:val="single" w:color="auto" w:sz="4" w:space="0"/>
              <w:right w:val="single" w:color="auto" w:sz="4" w:space="0"/>
            </w:tcBorders>
            <w:vAlign w:val="center"/>
          </w:tcPr>
          <w:p w14:paraId="5DFE8E29">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○不允许</w:t>
            </w:r>
          </w:p>
          <w:p w14:paraId="668B164B">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○允许，具体要求详见第三章《评标办法》“评标办法前附表”中第</w:t>
            </w:r>
          </w:p>
          <w:p w14:paraId="09342E8E">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u w:val="single"/>
              </w:rPr>
              <w:t xml:space="preserve">    </w:t>
            </w:r>
            <w:r>
              <w:rPr>
                <w:rFonts w:hint="eastAsia"/>
                <w:szCs w:val="22"/>
              </w:rPr>
              <w:t>条规定。</w:t>
            </w:r>
          </w:p>
        </w:tc>
      </w:tr>
      <w:tr w14:paraId="734B801C">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A5D97BC">
            <w:pPr>
              <w:pStyle w:val="10"/>
              <w:spacing w:line="23" w:lineRule="atLeast"/>
              <w:ind w:left="0"/>
              <w:jc w:val="center"/>
              <w:rPr>
                <w:szCs w:val="22"/>
              </w:rPr>
            </w:pPr>
            <w:r>
              <w:rPr>
                <w:szCs w:val="22"/>
              </w:rPr>
              <w:t>2.1</w:t>
            </w:r>
          </w:p>
        </w:tc>
        <w:tc>
          <w:tcPr>
            <w:tcW w:w="2001" w:type="dxa"/>
            <w:tcBorders>
              <w:top w:val="single" w:color="auto" w:sz="4" w:space="0"/>
              <w:left w:val="single" w:color="auto" w:sz="4" w:space="0"/>
              <w:bottom w:val="single" w:color="auto" w:sz="4" w:space="0"/>
              <w:right w:val="single" w:color="auto" w:sz="4" w:space="0"/>
            </w:tcBorders>
            <w:vAlign w:val="center"/>
          </w:tcPr>
          <w:p w14:paraId="0DA376A6">
            <w:pPr>
              <w:pStyle w:val="10"/>
              <w:spacing w:line="23" w:lineRule="atLeast"/>
              <w:ind w:left="0"/>
              <w:jc w:val="center"/>
              <w:rPr>
                <w:szCs w:val="22"/>
              </w:rPr>
            </w:pPr>
            <w:r>
              <w:rPr>
                <w:szCs w:val="22"/>
              </w:rPr>
              <w:t>构成招标文件的其他材料</w:t>
            </w:r>
          </w:p>
        </w:tc>
        <w:tc>
          <w:tcPr>
            <w:tcW w:w="6892" w:type="dxa"/>
            <w:tcBorders>
              <w:top w:val="single" w:color="auto" w:sz="4" w:space="0"/>
              <w:left w:val="single" w:color="auto" w:sz="4" w:space="0"/>
              <w:bottom w:val="single" w:color="auto" w:sz="4" w:space="0"/>
              <w:right w:val="single" w:color="auto" w:sz="4" w:space="0"/>
            </w:tcBorders>
            <w:vAlign w:val="center"/>
          </w:tcPr>
          <w:p w14:paraId="7E9CD511">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p>
        </w:tc>
      </w:tr>
      <w:tr w14:paraId="5FB25C17">
        <w:tblPrEx>
          <w:tblCellMar>
            <w:top w:w="0" w:type="dxa"/>
            <w:left w:w="108" w:type="dxa"/>
            <w:bottom w:w="0" w:type="dxa"/>
            <w:right w:w="108" w:type="dxa"/>
          </w:tblCellMar>
        </w:tblPrEx>
        <w:trPr>
          <w:trHeight w:val="90"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30FB775C">
            <w:pPr>
              <w:pStyle w:val="10"/>
              <w:spacing w:line="23" w:lineRule="atLeast"/>
              <w:ind w:left="0"/>
              <w:jc w:val="center"/>
              <w:rPr>
                <w:szCs w:val="22"/>
              </w:rPr>
            </w:pPr>
            <w:r>
              <w:rPr>
                <w:szCs w:val="22"/>
              </w:rPr>
              <w:t>2.2.1</w:t>
            </w:r>
          </w:p>
        </w:tc>
        <w:tc>
          <w:tcPr>
            <w:tcW w:w="2001" w:type="dxa"/>
            <w:tcBorders>
              <w:top w:val="single" w:color="auto" w:sz="4" w:space="0"/>
              <w:left w:val="single" w:color="auto" w:sz="4" w:space="0"/>
              <w:bottom w:val="single" w:color="auto" w:sz="4" w:space="0"/>
              <w:right w:val="single" w:color="auto" w:sz="4" w:space="0"/>
            </w:tcBorders>
            <w:vAlign w:val="center"/>
          </w:tcPr>
          <w:p w14:paraId="589966C9">
            <w:pPr>
              <w:pStyle w:val="10"/>
              <w:spacing w:line="23" w:lineRule="atLeast"/>
              <w:ind w:left="0"/>
              <w:jc w:val="center"/>
              <w:rPr>
                <w:szCs w:val="22"/>
              </w:rPr>
            </w:pPr>
            <w:r>
              <w:rPr>
                <w:szCs w:val="22"/>
              </w:rPr>
              <w:t>投标人要求澄清招标文件的截止时间</w:t>
            </w:r>
          </w:p>
        </w:tc>
        <w:tc>
          <w:tcPr>
            <w:tcW w:w="6892" w:type="dxa"/>
            <w:tcBorders>
              <w:top w:val="single" w:color="auto" w:sz="4" w:space="0"/>
              <w:left w:val="single" w:color="auto" w:sz="4" w:space="0"/>
              <w:bottom w:val="single" w:color="auto" w:sz="4" w:space="0"/>
              <w:right w:val="single" w:color="auto" w:sz="4" w:space="0"/>
            </w:tcBorders>
            <w:vAlign w:val="center"/>
          </w:tcPr>
          <w:p w14:paraId="676CC354">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ascii="宋体" w:hAnsi="宋体"/>
                <w:szCs w:val="21"/>
              </w:rPr>
              <w:t>投标人可在</w:t>
            </w:r>
            <w:r>
              <w:rPr>
                <w:rFonts w:hint="eastAsia"/>
                <w:szCs w:val="22"/>
                <w:u w:val="single"/>
              </w:rPr>
              <w:t xml:space="preserve">    </w:t>
            </w:r>
            <w:r>
              <w:rPr>
                <w:szCs w:val="22"/>
              </w:rPr>
              <w:t>年</w:t>
            </w:r>
            <w:r>
              <w:rPr>
                <w:rFonts w:hint="eastAsia"/>
                <w:szCs w:val="22"/>
                <w:u w:val="single"/>
              </w:rPr>
              <w:t xml:space="preserve">  </w:t>
            </w:r>
            <w:r>
              <w:rPr>
                <w:szCs w:val="22"/>
              </w:rPr>
              <w:t>月</w:t>
            </w:r>
            <w:r>
              <w:rPr>
                <w:rFonts w:hint="eastAsia"/>
                <w:szCs w:val="22"/>
                <w:u w:val="single"/>
              </w:rPr>
              <w:t xml:space="preserve">  </w:t>
            </w:r>
            <w:r>
              <w:rPr>
                <w:szCs w:val="22"/>
              </w:rPr>
              <w:t>日</w:t>
            </w:r>
            <w:r>
              <w:rPr>
                <w:rFonts w:hint="eastAsia"/>
                <w:szCs w:val="22"/>
                <w:u w:val="single"/>
              </w:rPr>
              <w:t xml:space="preserve">   </w:t>
            </w:r>
            <w:r>
              <w:rPr>
                <w:szCs w:val="22"/>
              </w:rPr>
              <w:t>时</w:t>
            </w:r>
            <w:r>
              <w:rPr>
                <w:rFonts w:hint="eastAsia"/>
                <w:szCs w:val="22"/>
                <w:u w:val="single"/>
              </w:rPr>
              <w:t xml:space="preserve"> </w:t>
            </w:r>
            <w:r>
              <w:rPr>
                <w:rFonts w:hint="eastAsia"/>
                <w:szCs w:val="22"/>
                <w:u w:val="single"/>
                <w:lang w:val="en-US" w:eastAsia="zh-CN"/>
              </w:rPr>
              <w:t xml:space="preserve"> </w:t>
            </w:r>
            <w:r>
              <w:rPr>
                <w:rFonts w:hint="eastAsia"/>
                <w:szCs w:val="22"/>
                <w:u w:val="single"/>
              </w:rPr>
              <w:t xml:space="preserve"> </w:t>
            </w:r>
            <w:r>
              <w:rPr>
                <w:rFonts w:hint="eastAsia"/>
                <w:szCs w:val="22"/>
              </w:rPr>
              <w:t>分</w:t>
            </w:r>
            <w:r>
              <w:rPr>
                <w:rFonts w:hint="eastAsia" w:ascii="宋体" w:hAnsi="宋体"/>
                <w:szCs w:val="21"/>
              </w:rPr>
              <w:t>之前（投标人在此时间之后提出的问题，招标人不再进行澄清和答复）在《</w:t>
            </w:r>
            <w:r>
              <w:rPr>
                <w:rFonts w:hint="eastAsia" w:hAnsi="宋体"/>
                <w:szCs w:val="21"/>
              </w:rPr>
              <w:t>成都市公共资源电子交易云平台</w:t>
            </w:r>
            <w:r>
              <w:rPr>
                <w:rFonts w:hint="eastAsia" w:ascii="宋体" w:hAnsi="宋体"/>
                <w:szCs w:val="21"/>
              </w:rPr>
              <w:t>》（www.cdggzy.com）上提问答疑区上提出问题,招标人将在投标截止时间15日前以答疑的形式上传至《</w:t>
            </w:r>
            <w:r>
              <w:rPr>
                <w:rFonts w:hint="eastAsia" w:hAnsi="宋体"/>
                <w:szCs w:val="21"/>
              </w:rPr>
              <w:t>成都市公共资源电子交易云平台</w:t>
            </w:r>
            <w:r>
              <w:rPr>
                <w:rFonts w:hint="eastAsia" w:ascii="宋体" w:hAnsi="宋体"/>
                <w:szCs w:val="21"/>
              </w:rPr>
              <w:t>》（www.cdggzy.com）上提问答疑区进行答复。</w:t>
            </w:r>
          </w:p>
        </w:tc>
      </w:tr>
      <w:tr w14:paraId="36B33B0C">
        <w:tblPrEx>
          <w:tblCellMar>
            <w:top w:w="0" w:type="dxa"/>
            <w:left w:w="108" w:type="dxa"/>
            <w:bottom w:w="0" w:type="dxa"/>
            <w:right w:w="108" w:type="dxa"/>
          </w:tblCellMar>
        </w:tblPrEx>
        <w:trPr>
          <w:trHeight w:val="1032"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058BEE2B">
            <w:pPr>
              <w:pStyle w:val="10"/>
              <w:spacing w:line="23" w:lineRule="atLeast"/>
              <w:ind w:left="0"/>
              <w:jc w:val="center"/>
              <w:rPr>
                <w:szCs w:val="22"/>
              </w:rPr>
            </w:pPr>
            <w:r>
              <w:rPr>
                <w:szCs w:val="22"/>
              </w:rPr>
              <w:t>2.2.2</w:t>
            </w:r>
          </w:p>
        </w:tc>
        <w:tc>
          <w:tcPr>
            <w:tcW w:w="2001" w:type="dxa"/>
            <w:tcBorders>
              <w:top w:val="single" w:color="auto" w:sz="4" w:space="0"/>
              <w:left w:val="single" w:color="auto" w:sz="4" w:space="0"/>
              <w:bottom w:val="single" w:color="auto" w:sz="4" w:space="0"/>
              <w:right w:val="single" w:color="auto" w:sz="4" w:space="0"/>
            </w:tcBorders>
            <w:vAlign w:val="center"/>
          </w:tcPr>
          <w:p w14:paraId="48AC5183">
            <w:pPr>
              <w:pStyle w:val="10"/>
              <w:spacing w:line="23" w:lineRule="atLeast"/>
              <w:ind w:left="0"/>
              <w:jc w:val="center"/>
              <w:rPr>
                <w:szCs w:val="22"/>
              </w:rPr>
            </w:pPr>
            <w:r>
              <w:rPr>
                <w:szCs w:val="22"/>
              </w:rPr>
              <w:t>投标截止时间</w:t>
            </w:r>
          </w:p>
        </w:tc>
        <w:tc>
          <w:tcPr>
            <w:tcW w:w="6892" w:type="dxa"/>
            <w:tcBorders>
              <w:top w:val="single" w:color="auto" w:sz="4" w:space="0"/>
              <w:left w:val="single" w:color="auto" w:sz="4" w:space="0"/>
              <w:bottom w:val="single" w:color="auto" w:sz="4" w:space="0"/>
              <w:right w:val="single" w:color="auto" w:sz="4" w:space="0"/>
            </w:tcBorders>
            <w:vAlign w:val="center"/>
          </w:tcPr>
          <w:p w14:paraId="3F7CA749">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u w:val="single"/>
              </w:rPr>
              <w:t xml:space="preserve">    </w:t>
            </w:r>
            <w:r>
              <w:rPr>
                <w:szCs w:val="22"/>
              </w:rPr>
              <w:t>年</w:t>
            </w:r>
            <w:r>
              <w:rPr>
                <w:rFonts w:hint="eastAsia"/>
                <w:szCs w:val="22"/>
                <w:u w:val="single"/>
              </w:rPr>
              <w:t xml:space="preserve">   </w:t>
            </w:r>
            <w:r>
              <w:rPr>
                <w:szCs w:val="22"/>
              </w:rPr>
              <w:t>月</w:t>
            </w:r>
            <w:r>
              <w:rPr>
                <w:rFonts w:hint="eastAsia"/>
                <w:szCs w:val="22"/>
                <w:u w:val="single"/>
              </w:rPr>
              <w:t xml:space="preserve">   </w:t>
            </w:r>
            <w:r>
              <w:rPr>
                <w:szCs w:val="22"/>
              </w:rPr>
              <w:t>日</w:t>
            </w:r>
            <w:r>
              <w:rPr>
                <w:rFonts w:hint="eastAsia"/>
                <w:szCs w:val="22"/>
                <w:u w:val="single"/>
              </w:rPr>
              <w:t xml:space="preserve">  </w:t>
            </w:r>
            <w:r>
              <w:rPr>
                <w:szCs w:val="22"/>
              </w:rPr>
              <w:t>时</w:t>
            </w:r>
            <w:r>
              <w:rPr>
                <w:rFonts w:hint="eastAsia"/>
                <w:szCs w:val="22"/>
                <w:u w:val="single"/>
              </w:rPr>
              <w:t xml:space="preserve">  </w:t>
            </w:r>
            <w:r>
              <w:rPr>
                <w:rFonts w:hint="eastAsia"/>
                <w:szCs w:val="22"/>
              </w:rPr>
              <w:t>分</w:t>
            </w:r>
            <w:r>
              <w:rPr>
                <w:szCs w:val="22"/>
              </w:rPr>
              <w:t>（以交易中心系统时间为准）</w:t>
            </w:r>
          </w:p>
          <w:p w14:paraId="13365949">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szCs w:val="22"/>
              </w:rPr>
              <w:t>注：若有补遗文件修改的，以补遗文件中确定的时间为准。</w:t>
            </w:r>
          </w:p>
        </w:tc>
      </w:tr>
      <w:tr w14:paraId="15B4F13E">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83B56C6">
            <w:pPr>
              <w:pStyle w:val="10"/>
              <w:spacing w:line="23" w:lineRule="atLeast"/>
              <w:ind w:left="0"/>
              <w:jc w:val="center"/>
              <w:rPr>
                <w:szCs w:val="22"/>
              </w:rPr>
            </w:pPr>
            <w:r>
              <w:rPr>
                <w:szCs w:val="22"/>
              </w:rPr>
              <w:t>2.2.3</w:t>
            </w:r>
          </w:p>
        </w:tc>
        <w:tc>
          <w:tcPr>
            <w:tcW w:w="2001" w:type="dxa"/>
            <w:tcBorders>
              <w:top w:val="single" w:color="auto" w:sz="4" w:space="0"/>
              <w:left w:val="single" w:color="auto" w:sz="4" w:space="0"/>
              <w:bottom w:val="single" w:color="auto" w:sz="4" w:space="0"/>
              <w:right w:val="single" w:color="auto" w:sz="4" w:space="0"/>
            </w:tcBorders>
            <w:vAlign w:val="center"/>
          </w:tcPr>
          <w:p w14:paraId="59C317AF">
            <w:pPr>
              <w:pStyle w:val="10"/>
              <w:spacing w:line="23" w:lineRule="atLeast"/>
              <w:ind w:left="0"/>
              <w:jc w:val="center"/>
              <w:rPr>
                <w:szCs w:val="22"/>
              </w:rPr>
            </w:pPr>
            <w:r>
              <w:rPr>
                <w:szCs w:val="22"/>
              </w:rPr>
              <w:t>投标人确认收到招标文件澄清的时间</w:t>
            </w:r>
          </w:p>
        </w:tc>
        <w:tc>
          <w:tcPr>
            <w:tcW w:w="6892" w:type="dxa"/>
            <w:tcBorders>
              <w:top w:val="single" w:color="auto" w:sz="4" w:space="0"/>
              <w:left w:val="single" w:color="auto" w:sz="4" w:space="0"/>
              <w:bottom w:val="single" w:color="auto" w:sz="4" w:space="0"/>
              <w:right w:val="single" w:color="auto" w:sz="4" w:space="0"/>
            </w:tcBorders>
            <w:vAlign w:val="center"/>
          </w:tcPr>
          <w:p w14:paraId="2C154270">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招标人将于投标截止时间15日前在《成都市公共资源电子交易云平台》（www.cdggzy.com）上提问答疑区上传经备案后的答疑及补遗文件，投标人请及时在该区自行下载本标段的答疑及补遗文件，投标人应在投标期间随时该区查询本标段的答疑及补遗文件，投标人未自行下载本标段所有答疑及补遗文件，由此造成的后果由投标人自行承担。</w:t>
            </w:r>
          </w:p>
        </w:tc>
      </w:tr>
      <w:tr w14:paraId="30DE43E6">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EA8B9B1">
            <w:pPr>
              <w:pStyle w:val="10"/>
              <w:spacing w:line="23" w:lineRule="atLeast"/>
              <w:ind w:left="0"/>
              <w:jc w:val="center"/>
              <w:rPr>
                <w:szCs w:val="22"/>
              </w:rPr>
            </w:pPr>
            <w:r>
              <w:rPr>
                <w:szCs w:val="22"/>
              </w:rPr>
              <w:t>2.3.2</w:t>
            </w:r>
          </w:p>
        </w:tc>
        <w:tc>
          <w:tcPr>
            <w:tcW w:w="2001" w:type="dxa"/>
            <w:tcBorders>
              <w:top w:val="single" w:color="auto" w:sz="4" w:space="0"/>
              <w:left w:val="single" w:color="auto" w:sz="4" w:space="0"/>
              <w:bottom w:val="single" w:color="auto" w:sz="4" w:space="0"/>
              <w:right w:val="single" w:color="auto" w:sz="4" w:space="0"/>
            </w:tcBorders>
            <w:vAlign w:val="center"/>
          </w:tcPr>
          <w:p w14:paraId="00E8E371">
            <w:pPr>
              <w:pStyle w:val="10"/>
              <w:spacing w:line="23" w:lineRule="atLeast"/>
              <w:ind w:left="0"/>
              <w:jc w:val="center"/>
              <w:rPr>
                <w:szCs w:val="22"/>
              </w:rPr>
            </w:pPr>
            <w:r>
              <w:rPr>
                <w:szCs w:val="22"/>
              </w:rPr>
              <w:t>投标人确认收到招标文件修改的时间</w:t>
            </w:r>
          </w:p>
        </w:tc>
        <w:tc>
          <w:tcPr>
            <w:tcW w:w="6892" w:type="dxa"/>
            <w:tcBorders>
              <w:top w:val="single" w:color="auto" w:sz="4" w:space="0"/>
              <w:left w:val="single" w:color="auto" w:sz="4" w:space="0"/>
              <w:bottom w:val="single" w:color="auto" w:sz="4" w:space="0"/>
              <w:right w:val="single" w:color="auto" w:sz="4" w:space="0"/>
            </w:tcBorders>
            <w:vAlign w:val="center"/>
          </w:tcPr>
          <w:p w14:paraId="778A025C">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招标人将于投标截止时间 15 日前在《成都市公共资源电子交易云平台》（www.cdggzy.com）上招标相关文件下载区上传经修改并备案后的招标文件（若有时），投标人请及时在招标相关文件下载区自行下载本标段修改后的招标文件，投标人应在投标期间随时在《成都市公共资源电子交易云平台》（www.cdggzy.com）上招标相关文件下载区查询本标段是否有修改后的招标文件，投标人未自行下载的，由此造成的后果由投标人自行承担。</w:t>
            </w:r>
          </w:p>
        </w:tc>
      </w:tr>
      <w:tr w14:paraId="4917A317">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2DA2C033">
            <w:pPr>
              <w:pStyle w:val="10"/>
              <w:spacing w:line="23" w:lineRule="atLeast"/>
              <w:ind w:left="0"/>
              <w:jc w:val="center"/>
              <w:rPr>
                <w:szCs w:val="22"/>
              </w:rPr>
            </w:pPr>
            <w:r>
              <w:rPr>
                <w:szCs w:val="22"/>
              </w:rPr>
              <w:t>3.1</w:t>
            </w:r>
            <w:r>
              <w:rPr>
                <w:rFonts w:hint="eastAsia"/>
                <w:szCs w:val="22"/>
              </w:rPr>
              <w:t>.1</w:t>
            </w:r>
          </w:p>
        </w:tc>
        <w:tc>
          <w:tcPr>
            <w:tcW w:w="2001" w:type="dxa"/>
            <w:tcBorders>
              <w:top w:val="single" w:color="auto" w:sz="4" w:space="0"/>
              <w:left w:val="single" w:color="auto" w:sz="4" w:space="0"/>
              <w:bottom w:val="single" w:color="auto" w:sz="4" w:space="0"/>
              <w:right w:val="single" w:color="auto" w:sz="4" w:space="0"/>
            </w:tcBorders>
            <w:vAlign w:val="center"/>
          </w:tcPr>
          <w:p w14:paraId="0EF3D325">
            <w:pPr>
              <w:pStyle w:val="10"/>
              <w:spacing w:line="23" w:lineRule="atLeast"/>
              <w:ind w:left="0"/>
              <w:jc w:val="center"/>
              <w:rPr>
                <w:szCs w:val="22"/>
              </w:rPr>
            </w:pPr>
            <w:r>
              <w:rPr>
                <w:szCs w:val="22"/>
              </w:rPr>
              <w:t>构成投标文件的其他材料</w:t>
            </w:r>
          </w:p>
        </w:tc>
        <w:tc>
          <w:tcPr>
            <w:tcW w:w="6892" w:type="dxa"/>
            <w:tcBorders>
              <w:top w:val="single" w:color="auto" w:sz="4" w:space="0"/>
              <w:left w:val="single" w:color="auto" w:sz="4" w:space="0"/>
              <w:bottom w:val="single" w:color="auto" w:sz="4" w:space="0"/>
              <w:right w:val="single" w:color="auto" w:sz="4" w:space="0"/>
            </w:tcBorders>
            <w:vAlign w:val="center"/>
          </w:tcPr>
          <w:p w14:paraId="66833611">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szCs w:val="22"/>
              </w:rPr>
              <w:t>投标人认为有必要提供的其他材料</w:t>
            </w:r>
          </w:p>
        </w:tc>
      </w:tr>
      <w:tr w14:paraId="7F6F4B95">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18A3A4F4">
            <w:pPr>
              <w:pStyle w:val="10"/>
              <w:spacing w:line="23" w:lineRule="atLeast"/>
              <w:ind w:left="0"/>
              <w:jc w:val="center"/>
              <w:rPr>
                <w:szCs w:val="22"/>
              </w:rPr>
            </w:pPr>
            <w:r>
              <w:rPr>
                <w:szCs w:val="22"/>
              </w:rPr>
              <w:t>3.3</w:t>
            </w:r>
            <w:r>
              <w:rPr>
                <w:rFonts w:hint="eastAsia"/>
                <w:szCs w:val="22"/>
              </w:rPr>
              <w:t>.1</w:t>
            </w:r>
          </w:p>
        </w:tc>
        <w:tc>
          <w:tcPr>
            <w:tcW w:w="2001" w:type="dxa"/>
            <w:tcBorders>
              <w:top w:val="single" w:color="auto" w:sz="4" w:space="0"/>
              <w:left w:val="single" w:color="auto" w:sz="4" w:space="0"/>
              <w:bottom w:val="single" w:color="auto" w:sz="4" w:space="0"/>
              <w:right w:val="single" w:color="auto" w:sz="4" w:space="0"/>
            </w:tcBorders>
            <w:vAlign w:val="center"/>
          </w:tcPr>
          <w:p w14:paraId="02D6176C">
            <w:pPr>
              <w:pStyle w:val="10"/>
              <w:spacing w:line="23" w:lineRule="atLeast"/>
              <w:ind w:left="0"/>
              <w:jc w:val="center"/>
              <w:rPr>
                <w:szCs w:val="22"/>
              </w:rPr>
            </w:pPr>
            <w:r>
              <w:rPr>
                <w:szCs w:val="22"/>
              </w:rPr>
              <w:t>★投标有效期</w:t>
            </w:r>
          </w:p>
        </w:tc>
        <w:tc>
          <w:tcPr>
            <w:tcW w:w="6892" w:type="dxa"/>
            <w:tcBorders>
              <w:top w:val="single" w:color="auto" w:sz="4" w:space="0"/>
              <w:left w:val="single" w:color="auto" w:sz="4" w:space="0"/>
              <w:bottom w:val="single" w:color="auto" w:sz="4" w:space="0"/>
              <w:right w:val="single" w:color="auto" w:sz="4" w:space="0"/>
            </w:tcBorders>
            <w:vAlign w:val="center"/>
          </w:tcPr>
          <w:p w14:paraId="253E71C5">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u w:val="single"/>
                <w:lang w:val="en-US" w:eastAsia="zh-CN"/>
              </w:rPr>
              <w:t xml:space="preserve">   </w:t>
            </w:r>
            <w:r>
              <w:rPr>
                <w:rFonts w:hint="eastAsia"/>
                <w:szCs w:val="22"/>
              </w:rPr>
              <w:t>日</w:t>
            </w:r>
            <w:r>
              <w:rPr>
                <w:szCs w:val="22"/>
              </w:rPr>
              <w:t>历天（从投标截止之日算起）</w:t>
            </w:r>
          </w:p>
          <w:p w14:paraId="1331955A">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注:不能在投标有效期内完成评标和定标的,招标人应当通知所有投标人延长投标有效期;拒绝延长投标有效期的投标人有权收回投标保证金;没有拒绝延长投标有效期的投标人自动延长其投标担保的有效期,但不得修改投标文件的实质性内容。因延长投标有效期造成投标人损失的,招标人应当给予补偿,但因不可抗力需延长投标有效期的除外。</w:t>
            </w:r>
          </w:p>
        </w:tc>
      </w:tr>
      <w:tr w14:paraId="3991F6F4">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0E8E17FF">
            <w:pPr>
              <w:pStyle w:val="10"/>
              <w:spacing w:line="23" w:lineRule="atLeast"/>
              <w:ind w:left="0"/>
              <w:jc w:val="center"/>
              <w:rPr>
                <w:szCs w:val="22"/>
              </w:rPr>
            </w:pPr>
            <w:r>
              <w:rPr>
                <w:szCs w:val="22"/>
              </w:rPr>
              <w:t>3.4.1</w:t>
            </w:r>
          </w:p>
        </w:tc>
        <w:tc>
          <w:tcPr>
            <w:tcW w:w="2001" w:type="dxa"/>
            <w:tcBorders>
              <w:top w:val="single" w:color="auto" w:sz="4" w:space="0"/>
              <w:left w:val="single" w:color="auto" w:sz="4" w:space="0"/>
              <w:bottom w:val="single" w:color="auto" w:sz="4" w:space="0"/>
              <w:right w:val="single" w:color="auto" w:sz="4" w:space="0"/>
            </w:tcBorders>
            <w:vAlign w:val="center"/>
          </w:tcPr>
          <w:p w14:paraId="2C821368">
            <w:pPr>
              <w:pStyle w:val="10"/>
              <w:spacing w:line="23" w:lineRule="atLeast"/>
              <w:ind w:left="0"/>
              <w:jc w:val="center"/>
              <w:rPr>
                <w:szCs w:val="22"/>
              </w:rPr>
            </w:pPr>
            <w:r>
              <w:rPr>
                <w:szCs w:val="22"/>
              </w:rPr>
              <w:t>★投标保证金</w:t>
            </w:r>
          </w:p>
        </w:tc>
        <w:tc>
          <w:tcPr>
            <w:tcW w:w="6892" w:type="dxa"/>
            <w:tcBorders>
              <w:top w:val="single" w:color="auto" w:sz="4" w:space="0"/>
              <w:left w:val="single" w:color="auto" w:sz="4" w:space="0"/>
              <w:bottom w:val="single" w:color="auto" w:sz="4" w:space="0"/>
              <w:right w:val="single" w:color="auto" w:sz="4" w:space="0"/>
            </w:tcBorders>
            <w:vAlign w:val="center"/>
          </w:tcPr>
          <w:p w14:paraId="31564A1B">
            <w:pPr>
              <w:spacing w:line="23" w:lineRule="atLeast"/>
              <w:ind w:left="18" w:leftChars="8"/>
              <w:rPr>
                <w:rFonts w:ascii="宋体" w:hAnsi="宋体"/>
                <w:color w:val="auto"/>
                <w:szCs w:val="22"/>
                <w:highlight w:val="none"/>
              </w:rPr>
            </w:pPr>
            <w:r>
              <w:rPr>
                <w:rFonts w:hint="eastAsia" w:ascii="宋体" w:hAnsi="宋体"/>
                <w:color w:val="auto"/>
                <w:szCs w:val="22"/>
                <w:highlight w:val="none"/>
              </w:rPr>
              <w:t>○不提交</w:t>
            </w:r>
          </w:p>
          <w:p w14:paraId="44063A24">
            <w:pPr>
              <w:spacing w:line="23" w:lineRule="atLeast"/>
              <w:ind w:left="18" w:leftChars="8"/>
              <w:rPr>
                <w:rFonts w:ascii="宋体" w:hAnsi="宋体"/>
                <w:color w:val="auto"/>
                <w:szCs w:val="22"/>
                <w:highlight w:val="none"/>
              </w:rPr>
            </w:pPr>
            <w:r>
              <w:rPr>
                <w:rFonts w:hint="eastAsia" w:ascii="宋体" w:hAnsi="宋体"/>
                <w:color w:val="auto"/>
                <w:szCs w:val="22"/>
                <w:highlight w:val="none"/>
              </w:rPr>
              <w:t>○提交，投标保证金的金额：</w:t>
            </w:r>
            <w:r>
              <w:rPr>
                <w:rFonts w:hint="eastAsia" w:ascii="宋体" w:hAnsi="宋体"/>
                <w:color w:val="auto"/>
                <w:szCs w:val="22"/>
                <w:highlight w:val="none"/>
                <w:u w:val="single"/>
              </w:rPr>
              <w:t xml:space="preserve">        </w:t>
            </w:r>
            <w:r>
              <w:rPr>
                <w:rFonts w:hint="eastAsia" w:ascii="宋体" w:hAnsi="宋体"/>
                <w:color w:val="auto"/>
                <w:szCs w:val="22"/>
                <w:highlight w:val="none"/>
              </w:rPr>
              <w:t>。</w:t>
            </w:r>
          </w:p>
          <w:p w14:paraId="22CDD0F5">
            <w:pPr>
              <w:spacing w:line="23" w:lineRule="atLeas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投标保证金须按招标文件要求、以投标人名义提交。提交单位名称应与投标单位一致，不得以分支机构等其他名义提交，且仅限当次投标项目（标段）有效，不得重复替代使用。</w:t>
            </w:r>
          </w:p>
          <w:p w14:paraId="78F55AE8">
            <w:pPr>
              <w:spacing w:line="23" w:lineRule="atLeas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投标保证金的缴纳方式为以下三种方式，由投标人任选一种方式递交：</w:t>
            </w:r>
          </w:p>
          <w:p w14:paraId="6528A4B3">
            <w:pPr>
              <w:spacing w:line="23" w:lineRule="atLeas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第一种递交方式——通过基本账户银行转账或银行电汇或银行汇票或网银</w:t>
            </w:r>
          </w:p>
          <w:p w14:paraId="45091D2A">
            <w:pPr>
              <w:spacing w:line="23" w:lineRule="atLeas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第二种递交方式——电子银行保函</w:t>
            </w:r>
          </w:p>
          <w:p w14:paraId="356AEAF7">
            <w:pPr>
              <w:spacing w:line="23" w:lineRule="atLeast"/>
              <w:rPr>
                <w:rFonts w:ascii="宋体"/>
                <w:kern w:val="0"/>
                <w:szCs w:val="22"/>
              </w:rPr>
            </w:pPr>
            <w:r>
              <w:rPr>
                <w:rFonts w:hint="eastAsia" w:ascii="宋体" w:hAnsi="宋体"/>
                <w:color w:val="000000" w:themeColor="text1"/>
                <w:szCs w:val="22"/>
                <w14:textFill>
                  <w14:solidFill>
                    <w14:schemeClr w14:val="tx1"/>
                  </w14:solidFill>
                </w14:textFill>
              </w:rPr>
              <w:t>第三种递交方式——电子保证保险保单</w:t>
            </w:r>
          </w:p>
          <w:p w14:paraId="0C0E9B17">
            <w:pPr>
              <w:spacing w:line="23" w:lineRule="atLeast"/>
              <w:rPr>
                <w:rFonts w:ascii="宋体"/>
                <w:kern w:val="0"/>
                <w:szCs w:val="22"/>
              </w:rPr>
            </w:pPr>
            <w:r>
              <w:rPr>
                <w:rFonts w:ascii="宋体" w:hAnsi="宋体"/>
                <w:color w:val="000000" w:themeColor="text1"/>
                <w:szCs w:val="22"/>
                <w14:textFill>
                  <w14:solidFill>
                    <w14:schemeClr w14:val="tx1"/>
                  </w14:solidFill>
                </w14:textFill>
              </w:rPr>
              <w:t>A</w:t>
            </w:r>
            <w:r>
              <w:rPr>
                <w:rFonts w:hint="eastAsia" w:ascii="宋体" w:hAnsi="宋体"/>
                <w:color w:val="000000" w:themeColor="text1"/>
                <w:szCs w:val="22"/>
                <w14:textFill>
                  <w14:solidFill>
                    <w14:schemeClr w14:val="tx1"/>
                  </w14:solidFill>
                </w14:textFill>
              </w:rPr>
              <w:t>、采用第一种方式递交投标保证金的注意事项：</w:t>
            </w:r>
          </w:p>
          <w:p w14:paraId="0D894F4A">
            <w:pPr>
              <w:spacing w:line="23" w:lineRule="atLeast"/>
              <w:rPr>
                <w:rFonts w:ascii="宋体"/>
                <w:kern w:val="0"/>
                <w:szCs w:val="22"/>
                <w:highlight w:val="none"/>
              </w:rPr>
            </w:pPr>
            <w:r>
              <w:rPr>
                <w:rFonts w:hint="eastAsia" w:ascii="宋体" w:hAnsi="宋体"/>
                <w:color w:val="000000" w:themeColor="text1"/>
                <w:szCs w:val="22"/>
                <w14:textFill>
                  <w14:solidFill>
                    <w14:schemeClr w14:val="tx1"/>
                  </w14:solidFill>
                </w14:textFill>
              </w:rPr>
              <w:t>（</w:t>
            </w:r>
            <w:r>
              <w:rPr>
                <w:rFonts w:ascii="宋体" w:hAnsi="宋体"/>
                <w:color w:val="000000" w:themeColor="text1"/>
                <w:szCs w:val="22"/>
                <w14:textFill>
                  <w14:solidFill>
                    <w14:schemeClr w14:val="tx1"/>
                  </w14:solidFill>
                </w14:textFill>
              </w:rPr>
              <w:t>1</w:t>
            </w:r>
            <w:r>
              <w:rPr>
                <w:rFonts w:hint="eastAsia" w:ascii="宋体" w:hAnsi="宋体"/>
                <w:color w:val="000000" w:themeColor="text1"/>
                <w:szCs w:val="22"/>
                <w14:textFill>
                  <w14:solidFill>
                    <w14:schemeClr w14:val="tx1"/>
                  </w14:solidFill>
                </w14:textFill>
              </w:rPr>
              <w:t>）</w:t>
            </w:r>
            <w:r>
              <w:rPr>
                <w:rFonts w:hint="eastAsia"/>
                <w:color w:val="000000" w:themeColor="text1"/>
                <w:szCs w:val="22"/>
                <w14:textFill>
                  <w14:solidFill>
                    <w14:schemeClr w14:val="tx1"/>
                  </w14:solidFill>
                </w14:textFill>
              </w:rPr>
              <w:t>投标人应根据</w:t>
            </w:r>
            <w:r>
              <w:rPr>
                <w:rFonts w:hint="eastAsia"/>
                <w:szCs w:val="22"/>
              </w:rPr>
              <w:t>“拟投标项目回执”</w:t>
            </w:r>
            <w:r>
              <w:rPr>
                <w:rFonts w:hint="eastAsia"/>
                <w:color w:val="000000" w:themeColor="text1"/>
                <w:szCs w:val="22"/>
                <w14:textFill>
                  <w14:solidFill>
                    <w14:schemeClr w14:val="tx1"/>
                  </w14:solidFill>
                </w14:textFill>
              </w:rPr>
              <w:t>上载明的投标保证金收款账户名、账号、开户银行、应交金额等要求交纳保证金，应从其基本账户将投标保证金一次性转至</w:t>
            </w:r>
            <w:r>
              <w:rPr>
                <w:rFonts w:hint="eastAsia"/>
                <w:szCs w:val="22"/>
              </w:rPr>
              <w:t>“拟投标项目回执”</w:t>
            </w:r>
            <w:r>
              <w:rPr>
                <w:rFonts w:hint="eastAsia"/>
                <w:color w:val="000000" w:themeColor="text1"/>
                <w:szCs w:val="22"/>
                <w14:textFill>
                  <w14:solidFill>
                    <w14:schemeClr w14:val="tx1"/>
                  </w14:solidFill>
                </w14:textFill>
              </w:rPr>
              <w:t>上的收款账号，投标保证金递交截止</w:t>
            </w:r>
            <w:r>
              <w:rPr>
                <w:rFonts w:hint="eastAsia"/>
                <w:color w:val="000000" w:themeColor="text1"/>
                <w:szCs w:val="22"/>
                <w:highlight w:val="none"/>
                <w14:textFill>
                  <w14:solidFill>
                    <w14:schemeClr w14:val="tx1"/>
                  </w14:solidFill>
                </w14:textFill>
              </w:rPr>
              <w:t>时间为投标截止前一个工作日下午16点00分（以到账时间为准）</w:t>
            </w:r>
            <w:r>
              <w:rPr>
                <w:rFonts w:hint="eastAsia" w:ascii="宋体" w:hAnsi="宋体"/>
                <w:color w:val="000000" w:themeColor="text1"/>
                <w:szCs w:val="22"/>
                <w:highlight w:val="none"/>
                <w14:textFill>
                  <w14:solidFill>
                    <w14:schemeClr w14:val="tx1"/>
                  </w14:solidFill>
                </w14:textFill>
              </w:rPr>
              <w:t>。</w:t>
            </w:r>
          </w:p>
          <w:p w14:paraId="41DEE776">
            <w:pPr>
              <w:widowControl/>
              <w:spacing w:line="23" w:lineRule="atLeast"/>
              <w:ind w:right="-4"/>
              <w:jc w:val="left"/>
              <w:rPr>
                <w:rFonts w:ascii="宋体" w:hAnsi="宋体"/>
                <w:color w:val="auto"/>
                <w:szCs w:val="22"/>
                <w:highlight w:val="none"/>
              </w:rPr>
            </w:pPr>
            <w:r>
              <w:rPr>
                <w:rFonts w:hint="eastAsia"/>
                <w:color w:val="auto"/>
                <w:szCs w:val="22"/>
                <w:highlight w:val="none"/>
              </w:rPr>
              <w:t>（</w:t>
            </w:r>
            <w:r>
              <w:rPr>
                <w:color w:val="auto"/>
                <w:szCs w:val="22"/>
                <w:highlight w:val="none"/>
              </w:rPr>
              <w:t>2</w:t>
            </w:r>
            <w:r>
              <w:rPr>
                <w:rFonts w:hint="eastAsia"/>
                <w:color w:val="auto"/>
                <w:szCs w:val="22"/>
                <w:highlight w:val="none"/>
              </w:rPr>
              <w:t>）</w:t>
            </w:r>
            <w:r>
              <w:rPr>
                <w:rFonts w:hint="eastAsia" w:ascii="宋体" w:hAnsi="宋体"/>
                <w:color w:val="auto"/>
                <w:szCs w:val="22"/>
                <w:highlight w:val="none"/>
                <w:u w:val="single"/>
                <w:lang w:val="en-US" w:eastAsia="zh-CN"/>
              </w:rPr>
              <w:t xml:space="preserve">               </w:t>
            </w:r>
            <w:r>
              <w:rPr>
                <w:rFonts w:hint="eastAsia" w:ascii="宋体" w:hAnsi="宋体"/>
                <w:color w:val="FF0000"/>
                <w:szCs w:val="22"/>
                <w:highlight w:val="none"/>
                <w:lang w:val="en-US" w:eastAsia="zh-CN"/>
              </w:rPr>
              <w:t>（交易中心名称）</w:t>
            </w:r>
            <w:r>
              <w:rPr>
                <w:rFonts w:hint="eastAsia" w:ascii="宋体" w:hAnsi="宋体"/>
                <w:color w:val="auto"/>
                <w:szCs w:val="22"/>
                <w:highlight w:val="none"/>
              </w:rPr>
              <w:t>投标保证金专用账户的相关信息如下：</w:t>
            </w:r>
          </w:p>
          <w:p w14:paraId="07E7B5EC">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开户单位：</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以“拟投标项目回执”提供的开户单位为准</w:t>
            </w:r>
          </w:p>
          <w:p w14:paraId="5F3AD535">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开</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户</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行：</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以“拟投标项目回执”提供的开户行为准</w:t>
            </w:r>
          </w:p>
          <w:p w14:paraId="6F122E1D">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账</w:t>
            </w:r>
            <w:r>
              <w:rPr>
                <w:rFonts w:ascii="宋体" w:hAnsi="宋体"/>
                <w:color w:val="000000" w:themeColor="text1"/>
                <w:szCs w:val="22"/>
                <w14:textFill>
                  <w14:solidFill>
                    <w14:schemeClr w14:val="tx1"/>
                  </w14:solidFill>
                </w14:textFill>
              </w:rPr>
              <w:t xml:space="preserve">    </w:t>
            </w:r>
            <w:r>
              <w:rPr>
                <w:rFonts w:hint="eastAsia" w:ascii="宋体" w:hAnsi="宋体"/>
                <w:color w:val="000000" w:themeColor="text1"/>
                <w:szCs w:val="22"/>
                <w14:textFill>
                  <w14:solidFill>
                    <w14:schemeClr w14:val="tx1"/>
                  </w14:solidFill>
                </w14:textFill>
              </w:rPr>
              <w:t>号： 以“拟投标项目回执”提供的账号为准</w:t>
            </w:r>
          </w:p>
          <w:p w14:paraId="278002E7">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注：在成都银行开设基本账户的投标人，必须使用同城交换或银行电汇的方式提交投标保证金，不能使用通存通兑的方式提交。</w:t>
            </w:r>
          </w:p>
          <w:p w14:paraId="00803FD9">
            <w:pPr>
              <w:spacing w:line="23" w:lineRule="atLeast"/>
              <w:rPr>
                <w:szCs w:val="22"/>
              </w:rPr>
            </w:pPr>
            <w:r>
              <w:rPr>
                <w:rFonts w:hint="eastAsia"/>
                <w:szCs w:val="22"/>
              </w:rPr>
              <w:t>B、采用第二种方式递交投标保证金的注意事项：</w:t>
            </w:r>
          </w:p>
          <w:p w14:paraId="531E1FBA">
            <w:pPr>
              <w:spacing w:line="23" w:lineRule="atLeast"/>
              <w:rPr>
                <w:szCs w:val="22"/>
              </w:rPr>
            </w:pPr>
            <w:r>
              <w:rPr>
                <w:rFonts w:hint="eastAsia"/>
                <w:szCs w:val="22"/>
              </w:rPr>
              <w:t>（1）递交电子银行保函的投标人，应由投标人在交易平台(成都市公共资源电子交易云平台)自行选择银行出具电子银行保函，并通过其单位账户支付费用（如有），且须在投标截止时间前1个工作日16点00分之前将电子银行保函加密推送至交易平台(成都市公共资源电子交易云平台)。银行保函费用是否为单位账户交纳，以投标情况公示表为准。</w:t>
            </w:r>
          </w:p>
          <w:p w14:paraId="45B40FBE">
            <w:pPr>
              <w:spacing w:line="23" w:lineRule="atLeast"/>
              <w:rPr>
                <w:szCs w:val="22"/>
              </w:rPr>
            </w:pPr>
            <w:r>
              <w:rPr>
                <w:rFonts w:hint="eastAsia"/>
                <w:szCs w:val="22"/>
              </w:rPr>
              <w:t>（2）电子银行保函的格式以银行格式为准，保函的内容应包括投标保证金金额、保函的有效期限、银行担保的内容（即：如因投标人原因发生招标文件规定的投标保证金不予退还的情况，由银行向招标人足额支付投标保证金）。</w:t>
            </w:r>
          </w:p>
          <w:p w14:paraId="27CCC3EB">
            <w:pPr>
              <w:spacing w:line="23" w:lineRule="atLeast"/>
              <w:rPr>
                <w:szCs w:val="22"/>
              </w:rPr>
            </w:pPr>
            <w:r>
              <w:rPr>
                <w:rFonts w:hint="eastAsia"/>
                <w:szCs w:val="22"/>
              </w:rPr>
              <w:t>C、采用第三种方式递交投标保证金的注意事项：</w:t>
            </w:r>
          </w:p>
          <w:p w14:paraId="7584C451">
            <w:pPr>
              <w:spacing w:line="23" w:lineRule="atLeast"/>
              <w:rPr>
                <w:szCs w:val="22"/>
              </w:rPr>
            </w:pPr>
            <w:r>
              <w:rPr>
                <w:rFonts w:hint="eastAsia"/>
                <w:szCs w:val="22"/>
              </w:rPr>
              <w:t>(1)递交电子保证保险保单的投标人，应由投标人在交易平台(成都市公共资源电子交易云平台)自行选择保险机构出具电子保证保险保单，并通过其单位账户支付保费，且须在投标截止时间前1个工作日16点00分之前将电子保单加密推送至交易平台(成都市公共资源电子交易云平台)。保证保险保费是否为单位账户交纳，以投标情况公示表为准。</w:t>
            </w:r>
          </w:p>
          <w:p w14:paraId="016C4F3E">
            <w:pPr>
              <w:spacing w:line="23" w:lineRule="atLeast"/>
              <w:rPr>
                <w:szCs w:val="22"/>
              </w:rPr>
            </w:pPr>
            <w:r>
              <w:rPr>
                <w:rFonts w:hint="eastAsia"/>
                <w:szCs w:val="22"/>
              </w:rPr>
              <w:t>(2)保证保险的格式以保险机构的保单格式为准，保单内容应包括投标保证金金额、保单的有效期限、保证的内容等。</w:t>
            </w:r>
          </w:p>
          <w:p w14:paraId="0D391E80">
            <w:pPr>
              <w:widowControl/>
              <w:spacing w:line="23" w:lineRule="atLeast"/>
              <w:ind w:right="-4"/>
              <w:jc w:val="left"/>
              <w:rPr>
                <w:rFonts w:hint="eastAsia" w:ascii="宋体" w:hAnsi="宋体"/>
                <w:kern w:val="0"/>
                <w:szCs w:val="22"/>
              </w:rPr>
            </w:pPr>
            <w:r>
              <w:rPr>
                <w:rFonts w:hint="eastAsia"/>
                <w:szCs w:val="22"/>
              </w:rPr>
              <w:t>(3)投标人在招标投标过程中存在提供虚假保证资料或虚假保单、围标串标等违法违规行为经调查属实的，记入企业不良信用信息，同时推送至相关监管部门，在投标保证保险业务开展过程中实施联合惩戒。</w:t>
            </w:r>
          </w:p>
          <w:p w14:paraId="3FF5C5E6">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D、项目（标段）投标保证金的提交情况应于开标时在交易中心开标系统中公布。</w:t>
            </w:r>
          </w:p>
          <w:p w14:paraId="52B5F221">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E、本标段投标人不按本招标文件要求提交投标保证金的，该投标文件将被否决投标。</w:t>
            </w:r>
          </w:p>
          <w:p w14:paraId="2916B335">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F、联合体投标的，投标保证金须由联合体牵头人递交，并对联合体各成员均具有同等约束力。</w:t>
            </w:r>
          </w:p>
          <w:p w14:paraId="66E5BC36">
            <w:pPr>
              <w:widowControl/>
              <w:spacing w:line="23" w:lineRule="atLeast"/>
              <w:ind w:right="-4"/>
              <w:jc w:val="left"/>
              <w:rPr>
                <w:rFonts w:hint="eastAsia" w:ascii="宋体" w:hAnsi="宋体"/>
                <w:color w:val="000000" w:themeColor="text1"/>
                <w:kern w:val="0"/>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注：1、</w:t>
            </w:r>
            <w:r>
              <w:rPr>
                <w:rFonts w:hint="eastAsia" w:ascii="宋体" w:hAnsi="宋体"/>
                <w:color w:val="000000" w:themeColor="text1"/>
                <w:kern w:val="0"/>
                <w:szCs w:val="22"/>
                <w14:textFill>
                  <w14:solidFill>
                    <w14:schemeClr w14:val="tx1"/>
                  </w14:solidFill>
                </w14:textFill>
              </w:rPr>
              <w:t>在开标(投标截止时间)时,</w:t>
            </w:r>
            <w:r>
              <w:rPr>
                <w:rFonts w:hint="eastAsia" w:ascii="宋体" w:hAnsi="宋体"/>
                <w:color w:val="000000" w:themeColor="text1"/>
                <w:kern w:val="0"/>
                <w:szCs w:val="22"/>
                <w:lang w:eastAsia="zh-CN"/>
                <w14:textFill>
                  <w14:solidFill>
                    <w14:schemeClr w14:val="tx1"/>
                  </w14:solidFill>
                </w14:textFill>
              </w:rPr>
              <w:t>交易中心</w:t>
            </w:r>
            <w:r>
              <w:rPr>
                <w:rFonts w:hint="eastAsia" w:ascii="宋体" w:hAnsi="宋体"/>
                <w:szCs w:val="22"/>
              </w:rPr>
              <w:t>对投标人投标保证金提交信息有异常的情况在投标情况公示表上进行标记“*”，招标人（招标代理）如实记录并推送给评标委员会，由评标委员会予以评审。</w:t>
            </w:r>
          </w:p>
          <w:p w14:paraId="16725A28">
            <w:pPr>
              <w:widowControl/>
              <w:spacing w:line="23" w:lineRule="atLeast"/>
              <w:ind w:right="-4"/>
              <w:jc w:val="lef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2、</w:t>
            </w:r>
            <w:r>
              <w:rPr>
                <w:rFonts w:hint="eastAsia" w:ascii="宋体" w:hAnsi="宋体"/>
                <w:szCs w:val="22"/>
              </w:rPr>
              <w:t>投标人应根据投标保证金交纳要求以及“拟投标项目回执”中的投标保证金收款账户名称、收款账号（下载招标文件时由系统自动生成收款账号）、开户银行等信息提交保证金，并通过交款银行查询是否提交成功</w:t>
            </w:r>
            <w:r>
              <w:rPr>
                <w:rFonts w:hint="eastAsia" w:ascii="宋体" w:hAnsi="宋体"/>
                <w:color w:val="000000" w:themeColor="text1"/>
                <w:szCs w:val="22"/>
                <w14:textFill>
                  <w14:solidFill>
                    <w14:schemeClr w14:val="tx1"/>
                  </w14:solidFill>
                </w14:textFill>
              </w:rPr>
              <w:t>。</w:t>
            </w:r>
          </w:p>
          <w:p w14:paraId="2981F403">
            <w:pPr>
              <w:widowControl/>
              <w:spacing w:line="23" w:lineRule="atLeast"/>
              <w:ind w:right="-4"/>
              <w:jc w:val="left"/>
              <w:rPr>
                <w:rFonts w:hint="eastAsia" w:hAnsi="宋体"/>
                <w:szCs w:val="22"/>
              </w:rPr>
            </w:pPr>
            <w:r>
              <w:rPr>
                <w:rFonts w:hint="eastAsia" w:hAnsi="宋体"/>
                <w:szCs w:val="22"/>
              </w:rPr>
              <w:t>3</w:t>
            </w:r>
            <w:r>
              <w:rPr>
                <w:rFonts w:hint="eastAsia" w:ascii="宋体" w:hAnsi="宋体"/>
                <w:szCs w:val="22"/>
              </w:rPr>
              <w:t>、</w:t>
            </w:r>
            <w:r>
              <w:rPr>
                <w:rFonts w:hint="eastAsia" w:hAnsi="宋体"/>
                <w:szCs w:val="22"/>
              </w:rPr>
              <w:t>投标保证金不得超过项目估算价的百分之二（各级国家机关、事业单位和团体组织招标的工程建设项目投标保证金不得超过招标项目估算价的百分之一），且最高不得超过八十万元人民币。投标保证金有效期应当与投标有效期一致。</w:t>
            </w:r>
          </w:p>
          <w:p w14:paraId="75D75FEF">
            <w:pPr>
              <w:pStyle w:val="10"/>
              <w:keepNext w:val="0"/>
              <w:keepLines w:val="0"/>
              <w:pageBreakBefore w:val="0"/>
              <w:kinsoku/>
              <w:wordWrap/>
              <w:overflowPunct/>
              <w:topLinePunct w:val="0"/>
              <w:autoSpaceDE/>
              <w:autoSpaceDN/>
              <w:bidi w:val="0"/>
              <w:adjustRightInd/>
              <w:snapToGrid/>
              <w:spacing w:line="23" w:lineRule="atLeast"/>
              <w:ind w:left="0"/>
              <w:jc w:val="both"/>
              <w:textAlignment w:val="auto"/>
              <w:rPr>
                <w:szCs w:val="22"/>
              </w:rPr>
            </w:pPr>
            <w:r>
              <w:rPr>
                <w:rFonts w:hint="eastAsia" w:hAnsi="宋体"/>
                <w:szCs w:val="22"/>
              </w:rPr>
              <w:t>4</w:t>
            </w:r>
            <w:r>
              <w:rPr>
                <w:rFonts w:hint="eastAsia" w:ascii="宋体" w:hAnsi="宋体"/>
                <w:szCs w:val="22"/>
              </w:rPr>
              <w:t>、</w:t>
            </w:r>
            <w:r>
              <w:rPr>
                <w:rFonts w:hint="eastAsia" w:ascii="宋体" w:hAnsi="宋体" w:cs="Arial"/>
                <w:szCs w:val="22"/>
              </w:rPr>
              <w:t>投标保证金金额为</w:t>
            </w:r>
            <w:r>
              <w:rPr>
                <w:rFonts w:ascii="宋体" w:hAnsi="宋体" w:cs="Arial"/>
                <w:szCs w:val="22"/>
              </w:rPr>
              <w:t>1—9</w:t>
            </w:r>
            <w:r>
              <w:rPr>
                <w:rFonts w:hint="eastAsia" w:ascii="宋体" w:hAnsi="宋体" w:cs="Arial"/>
                <w:szCs w:val="22"/>
              </w:rPr>
              <w:t>9</w:t>
            </w:r>
            <w:r>
              <w:rPr>
                <w:rFonts w:ascii="宋体" w:hAnsi="宋体" w:cs="Arial"/>
                <w:szCs w:val="22"/>
              </w:rPr>
              <w:t>99</w:t>
            </w:r>
            <w:r>
              <w:rPr>
                <w:rFonts w:hint="eastAsia" w:ascii="宋体" w:hAnsi="宋体" w:cs="Arial"/>
                <w:szCs w:val="22"/>
              </w:rPr>
              <w:t>元的，按照“取整就低”原则取整到千位（即缴纳：0，</w:t>
            </w:r>
            <w:r>
              <w:rPr>
                <w:rFonts w:ascii="宋体" w:hAnsi="宋体" w:cs="Arial"/>
                <w:szCs w:val="22"/>
              </w:rPr>
              <w:t>1000</w:t>
            </w:r>
            <w:r>
              <w:rPr>
                <w:rFonts w:hint="eastAsia" w:ascii="宋体" w:hAnsi="宋体" w:cs="Arial"/>
                <w:szCs w:val="22"/>
              </w:rPr>
              <w:t>、</w:t>
            </w:r>
            <w:r>
              <w:rPr>
                <w:rFonts w:ascii="宋体" w:hAnsi="宋体" w:cs="Arial"/>
                <w:szCs w:val="22"/>
              </w:rPr>
              <w:t>2000</w:t>
            </w:r>
            <w:r>
              <w:rPr>
                <w:rFonts w:hint="eastAsia" w:ascii="宋体" w:hAnsi="宋体" w:cs="Arial"/>
                <w:szCs w:val="22"/>
              </w:rPr>
              <w:t>、</w:t>
            </w:r>
            <w:r>
              <w:rPr>
                <w:rFonts w:ascii="宋体" w:hAnsi="宋体" w:cs="Arial"/>
                <w:szCs w:val="22"/>
              </w:rPr>
              <w:t>3000</w:t>
            </w:r>
            <w:r>
              <w:rPr>
                <w:rFonts w:hint="eastAsia" w:ascii="宋体" w:hAnsi="宋体" w:cs="Arial"/>
                <w:szCs w:val="22"/>
              </w:rPr>
              <w:t>………</w:t>
            </w:r>
            <w:r>
              <w:rPr>
                <w:rFonts w:ascii="宋体" w:hAnsi="宋体" w:cs="Arial"/>
                <w:szCs w:val="22"/>
              </w:rPr>
              <w:t>9000</w:t>
            </w:r>
            <w:r>
              <w:rPr>
                <w:rFonts w:hint="eastAsia" w:ascii="宋体" w:hAnsi="宋体" w:cs="Arial"/>
                <w:szCs w:val="22"/>
              </w:rPr>
              <w:t>元）；投标保证金金额为</w:t>
            </w:r>
            <w:r>
              <w:rPr>
                <w:rFonts w:ascii="宋体" w:hAnsi="宋体" w:cs="Arial"/>
                <w:szCs w:val="22"/>
              </w:rPr>
              <w:t>10000—</w:t>
            </w:r>
            <w:r>
              <w:rPr>
                <w:rFonts w:hint="eastAsia" w:ascii="宋体" w:hAnsi="宋体" w:cs="Arial"/>
                <w:szCs w:val="22"/>
              </w:rPr>
              <w:t>199</w:t>
            </w:r>
            <w:r>
              <w:rPr>
                <w:rFonts w:ascii="宋体" w:hAnsi="宋体" w:cs="Arial"/>
                <w:szCs w:val="22"/>
              </w:rPr>
              <w:t>999</w:t>
            </w:r>
            <w:r>
              <w:rPr>
                <w:rFonts w:hint="eastAsia" w:ascii="宋体" w:hAnsi="宋体" w:cs="Arial"/>
                <w:szCs w:val="22"/>
              </w:rPr>
              <w:t>元的，按照“取整就低”原则取整到万位（即缴纳：</w:t>
            </w:r>
            <w:r>
              <w:rPr>
                <w:rFonts w:ascii="宋体" w:hAnsi="宋体" w:cs="Arial"/>
                <w:szCs w:val="22"/>
              </w:rPr>
              <w:t>10000</w:t>
            </w:r>
            <w:r>
              <w:rPr>
                <w:rFonts w:hint="eastAsia" w:ascii="宋体" w:hAnsi="宋体" w:cs="Arial"/>
                <w:szCs w:val="22"/>
              </w:rPr>
              <w:t>、</w:t>
            </w:r>
            <w:r>
              <w:rPr>
                <w:rFonts w:ascii="宋体" w:hAnsi="宋体" w:cs="Arial"/>
                <w:szCs w:val="22"/>
              </w:rPr>
              <w:t>20000</w:t>
            </w:r>
            <w:r>
              <w:rPr>
                <w:rFonts w:hint="eastAsia" w:ascii="宋体" w:hAnsi="宋体" w:cs="Arial"/>
                <w:szCs w:val="22"/>
              </w:rPr>
              <w:t>、</w:t>
            </w:r>
            <w:r>
              <w:rPr>
                <w:rFonts w:ascii="宋体" w:hAnsi="宋体" w:cs="Arial"/>
                <w:szCs w:val="22"/>
              </w:rPr>
              <w:t>30000</w:t>
            </w:r>
            <w:r>
              <w:rPr>
                <w:rFonts w:hint="eastAsia" w:ascii="宋体" w:hAnsi="宋体" w:cs="Arial"/>
                <w:szCs w:val="22"/>
              </w:rPr>
              <w:t>………1</w:t>
            </w:r>
            <w:r>
              <w:rPr>
                <w:rFonts w:ascii="宋体" w:hAnsi="宋体" w:cs="Arial"/>
                <w:szCs w:val="22"/>
              </w:rPr>
              <w:t>90000</w:t>
            </w:r>
            <w:r>
              <w:rPr>
                <w:rFonts w:hint="eastAsia" w:ascii="宋体" w:hAnsi="宋体" w:cs="Arial"/>
                <w:szCs w:val="22"/>
              </w:rPr>
              <w:t>元）；投标保证金金额为200</w:t>
            </w:r>
            <w:r>
              <w:rPr>
                <w:rFonts w:ascii="宋体" w:hAnsi="宋体" w:cs="Arial"/>
                <w:szCs w:val="22"/>
              </w:rPr>
              <w:t>000—</w:t>
            </w:r>
            <w:r>
              <w:rPr>
                <w:rFonts w:hint="eastAsia" w:ascii="宋体" w:hAnsi="宋体" w:cs="Arial"/>
                <w:szCs w:val="22"/>
              </w:rPr>
              <w:t>3</w:t>
            </w:r>
            <w:r>
              <w:rPr>
                <w:rFonts w:ascii="宋体" w:hAnsi="宋体" w:cs="Arial"/>
                <w:szCs w:val="22"/>
              </w:rPr>
              <w:t>99999</w:t>
            </w:r>
            <w:r>
              <w:rPr>
                <w:rFonts w:hint="eastAsia" w:ascii="宋体" w:hAnsi="宋体" w:cs="Arial"/>
                <w:szCs w:val="22"/>
              </w:rPr>
              <w:t>元的，按照“取整就低”原则以2万元递增取整（即缴纳：20</w:t>
            </w:r>
            <w:r>
              <w:rPr>
                <w:rFonts w:ascii="宋体" w:hAnsi="宋体" w:cs="Arial"/>
                <w:szCs w:val="22"/>
              </w:rPr>
              <w:t>0000</w:t>
            </w:r>
            <w:r>
              <w:rPr>
                <w:rFonts w:hint="eastAsia" w:ascii="宋体" w:hAnsi="宋体" w:cs="Arial"/>
                <w:szCs w:val="22"/>
              </w:rPr>
              <w:t>、</w:t>
            </w:r>
            <w:r>
              <w:rPr>
                <w:rFonts w:ascii="宋体" w:hAnsi="宋体" w:cs="Arial"/>
                <w:szCs w:val="22"/>
              </w:rPr>
              <w:t>2</w:t>
            </w:r>
            <w:r>
              <w:rPr>
                <w:rFonts w:hint="eastAsia" w:ascii="宋体" w:hAnsi="宋体" w:cs="Arial"/>
                <w:szCs w:val="22"/>
              </w:rPr>
              <w:t>20</w:t>
            </w:r>
            <w:r>
              <w:rPr>
                <w:rFonts w:ascii="宋体" w:hAnsi="宋体" w:cs="Arial"/>
                <w:szCs w:val="22"/>
              </w:rPr>
              <w:t>000</w:t>
            </w:r>
            <w:r>
              <w:rPr>
                <w:rFonts w:hint="eastAsia" w:ascii="宋体" w:hAnsi="宋体" w:cs="Arial"/>
                <w:szCs w:val="22"/>
              </w:rPr>
              <w:t>、24</w:t>
            </w:r>
            <w:r>
              <w:rPr>
                <w:rFonts w:ascii="宋体" w:hAnsi="宋体" w:cs="Arial"/>
                <w:szCs w:val="22"/>
              </w:rPr>
              <w:t>0000</w:t>
            </w:r>
            <w:r>
              <w:rPr>
                <w:rFonts w:hint="eastAsia" w:ascii="宋体" w:hAnsi="宋体" w:cs="Arial"/>
                <w:szCs w:val="22"/>
              </w:rPr>
              <w:t>………38</w:t>
            </w:r>
            <w:r>
              <w:rPr>
                <w:rFonts w:ascii="宋体" w:hAnsi="宋体" w:cs="Arial"/>
                <w:szCs w:val="22"/>
              </w:rPr>
              <w:t>0000</w:t>
            </w:r>
            <w:r>
              <w:rPr>
                <w:rFonts w:hint="eastAsia" w:ascii="宋体" w:hAnsi="宋体" w:cs="Arial"/>
                <w:szCs w:val="22"/>
              </w:rPr>
              <w:t>元）；投标保证金金额为400</w:t>
            </w:r>
            <w:r>
              <w:rPr>
                <w:rFonts w:ascii="宋体" w:hAnsi="宋体" w:cs="Arial"/>
                <w:szCs w:val="22"/>
              </w:rPr>
              <w:t>000—</w:t>
            </w:r>
            <w:r>
              <w:rPr>
                <w:rFonts w:hint="eastAsia" w:ascii="宋体" w:hAnsi="宋体" w:cs="Arial"/>
                <w:szCs w:val="22"/>
              </w:rPr>
              <w:t>800000元的，按照“取整就低”原则以5万元递增取整（即缴纳：40</w:t>
            </w:r>
            <w:r>
              <w:rPr>
                <w:rFonts w:ascii="宋体" w:hAnsi="宋体" w:cs="Arial"/>
                <w:szCs w:val="22"/>
              </w:rPr>
              <w:t>0000</w:t>
            </w:r>
            <w:r>
              <w:rPr>
                <w:rFonts w:hint="eastAsia" w:ascii="宋体" w:hAnsi="宋体" w:cs="Arial"/>
                <w:szCs w:val="22"/>
              </w:rPr>
              <w:t>、450</w:t>
            </w:r>
            <w:r>
              <w:rPr>
                <w:rFonts w:ascii="宋体" w:hAnsi="宋体" w:cs="Arial"/>
                <w:szCs w:val="22"/>
              </w:rPr>
              <w:t>000</w:t>
            </w:r>
            <w:r>
              <w:rPr>
                <w:rFonts w:hint="eastAsia" w:ascii="宋体" w:hAnsi="宋体" w:cs="Arial"/>
                <w:szCs w:val="22"/>
              </w:rPr>
              <w:t>、50</w:t>
            </w:r>
            <w:r>
              <w:rPr>
                <w:rFonts w:ascii="宋体" w:hAnsi="宋体" w:cs="Arial"/>
                <w:szCs w:val="22"/>
              </w:rPr>
              <w:t>0000</w:t>
            </w:r>
            <w:r>
              <w:rPr>
                <w:rFonts w:hint="eastAsia" w:ascii="宋体" w:hAnsi="宋体" w:cs="Arial"/>
                <w:szCs w:val="22"/>
              </w:rPr>
              <w:t>………80</w:t>
            </w:r>
            <w:r>
              <w:rPr>
                <w:rFonts w:ascii="宋体" w:hAnsi="宋体" w:cs="Arial"/>
                <w:szCs w:val="22"/>
              </w:rPr>
              <w:t>0000</w:t>
            </w:r>
            <w:r>
              <w:rPr>
                <w:rFonts w:hint="eastAsia" w:ascii="宋体" w:hAnsi="宋体" w:cs="Arial"/>
                <w:szCs w:val="22"/>
              </w:rPr>
              <w:t>元）</w:t>
            </w:r>
            <w:r>
              <w:rPr>
                <w:rFonts w:hint="eastAsia" w:ascii="宋体" w:hAnsi="宋体" w:cs="Arial"/>
                <w:color w:val="000000" w:themeColor="text1"/>
                <w:szCs w:val="22"/>
                <w14:textFill>
                  <w14:solidFill>
                    <w14:schemeClr w14:val="tx1"/>
                  </w14:solidFill>
                </w14:textFill>
              </w:rPr>
              <w:t>。</w:t>
            </w:r>
          </w:p>
        </w:tc>
      </w:tr>
      <w:tr w14:paraId="5C1901B9">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0659AB4">
            <w:pPr>
              <w:pStyle w:val="10"/>
              <w:spacing w:line="23" w:lineRule="atLeast"/>
              <w:ind w:left="0"/>
              <w:jc w:val="center"/>
              <w:rPr>
                <w:szCs w:val="22"/>
              </w:rPr>
            </w:pPr>
            <w:r>
              <w:rPr>
                <w:rFonts w:hint="eastAsia"/>
                <w:szCs w:val="22"/>
              </w:rPr>
              <w:t>3.4.3</w:t>
            </w:r>
          </w:p>
        </w:tc>
        <w:tc>
          <w:tcPr>
            <w:tcW w:w="2001" w:type="dxa"/>
            <w:tcBorders>
              <w:top w:val="single" w:color="auto" w:sz="4" w:space="0"/>
              <w:left w:val="single" w:color="auto" w:sz="4" w:space="0"/>
              <w:bottom w:val="single" w:color="auto" w:sz="4" w:space="0"/>
              <w:right w:val="single" w:color="auto" w:sz="4" w:space="0"/>
            </w:tcBorders>
            <w:vAlign w:val="center"/>
          </w:tcPr>
          <w:p w14:paraId="69B7D565">
            <w:pPr>
              <w:pStyle w:val="10"/>
              <w:spacing w:line="23" w:lineRule="atLeast"/>
              <w:ind w:left="0"/>
              <w:jc w:val="center"/>
              <w:rPr>
                <w:szCs w:val="22"/>
              </w:rPr>
            </w:pPr>
            <w:r>
              <w:rPr>
                <w:rFonts w:hint="eastAsia"/>
                <w:szCs w:val="22"/>
              </w:rPr>
              <w:t>投标保证金的退还</w:t>
            </w:r>
          </w:p>
        </w:tc>
        <w:tc>
          <w:tcPr>
            <w:tcW w:w="6892" w:type="dxa"/>
            <w:tcBorders>
              <w:top w:val="single" w:color="auto" w:sz="4" w:space="0"/>
              <w:left w:val="single" w:color="auto" w:sz="4" w:space="0"/>
              <w:bottom w:val="single" w:color="auto" w:sz="4" w:space="0"/>
              <w:right w:val="single" w:color="auto" w:sz="4" w:space="0"/>
            </w:tcBorders>
            <w:vAlign w:val="center"/>
          </w:tcPr>
          <w:p w14:paraId="4F4AC767">
            <w:pPr>
              <w:tabs>
                <w:tab w:val="left" w:pos="0"/>
              </w:tabs>
              <w:spacing w:line="23" w:lineRule="atLeast"/>
              <w:rPr>
                <w:rFonts w:hint="eastAsia"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投标保证金的递交与退还的相关规定按照成发改法规函【2019】159号文执行。</w:t>
            </w:r>
          </w:p>
          <w:p w14:paraId="427A73A8">
            <w:pPr>
              <w:tabs>
                <w:tab w:val="left" w:pos="0"/>
              </w:tabs>
              <w:spacing w:before="120" w:after="120" w:line="23" w:lineRule="atLeast"/>
              <w:rPr>
                <w:rFonts w:hint="eastAsia" w:ascii="宋体" w:hAnsi="宋体" w:cs="Arial"/>
                <w:b/>
                <w:color w:val="000000" w:themeColor="text1"/>
                <w:szCs w:val="22"/>
                <w14:textFill>
                  <w14:solidFill>
                    <w14:schemeClr w14:val="tx1"/>
                  </w14:solidFill>
                </w14:textFill>
              </w:rPr>
            </w:pPr>
            <w:r>
              <w:rPr>
                <w:rFonts w:hint="eastAsia" w:ascii="宋体" w:hAnsi="宋体" w:cs="Arial"/>
                <w:b/>
                <w:color w:val="000000" w:themeColor="text1"/>
                <w:szCs w:val="22"/>
                <w14:textFill>
                  <w14:solidFill>
                    <w14:schemeClr w14:val="tx1"/>
                  </w14:solidFill>
                </w14:textFill>
              </w:rPr>
              <w:t>（一）</w:t>
            </w:r>
            <w:r>
              <w:rPr>
                <w:rFonts w:ascii="宋体" w:hAnsi="宋体" w:cs="Arial"/>
                <w:b/>
                <w:color w:val="000000" w:themeColor="text1"/>
                <w:szCs w:val="22"/>
                <w14:textFill>
                  <w14:solidFill>
                    <w14:schemeClr w14:val="tx1"/>
                  </w14:solidFill>
                </w14:textFill>
              </w:rPr>
              <w:t>投标保证金的正常退还程序</w:t>
            </w:r>
          </w:p>
          <w:p w14:paraId="2919C73E">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1．非中标候选人的投标保证金及保函，由</w:t>
            </w:r>
            <w:r>
              <w:rPr>
                <w:rFonts w:hint="eastAsia" w:ascii="宋体" w:hAnsi="宋体" w:cs="Arial"/>
                <w:color w:val="000000" w:themeColor="text1"/>
                <w:szCs w:val="22"/>
                <w:lang w:eastAsia="zh-CN"/>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在评标结束后第7个工作日发起退还。</w:t>
            </w:r>
          </w:p>
          <w:p w14:paraId="27B9DB26">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2．对于中标的中标候选人，在投标有效期内，由</w:t>
            </w:r>
            <w:r>
              <w:rPr>
                <w:rFonts w:hint="eastAsia" w:ascii="宋体" w:hAnsi="宋体" w:cs="Arial"/>
                <w:color w:val="000000" w:themeColor="text1"/>
                <w:szCs w:val="22"/>
                <w:lang w:eastAsia="zh-CN"/>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按照该项目（标段）招标人的书面意见将投标保证金及保函退还至投标人；超过投标有效期的，在有效期届满后第1个工作日由</w:t>
            </w:r>
            <w:r>
              <w:rPr>
                <w:rFonts w:hint="eastAsia" w:ascii="宋体" w:hAnsi="宋体"/>
                <w:color w:val="000000" w:themeColor="text1"/>
                <w:szCs w:val="22"/>
                <w:lang w:eastAsia="zh-CN"/>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对投标保证金及保函直接发起退还；对其余中标候选人，在评标结束后10个工作日内</w:t>
            </w:r>
            <w:r>
              <w:rPr>
                <w:rFonts w:hint="eastAsia"/>
                <w:szCs w:val="22"/>
              </w:rPr>
              <w:t>招</w:t>
            </w:r>
            <w:r>
              <w:rPr>
                <w:rFonts w:hint="eastAsia" w:ascii="宋体" w:hAnsi="宋体"/>
                <w:color w:val="000000" w:themeColor="text1"/>
                <w:szCs w:val="22"/>
                <w14:textFill>
                  <w14:solidFill>
                    <w14:schemeClr w14:val="tx1"/>
                  </w14:solidFill>
                </w14:textFill>
              </w:rPr>
              <w:t>标人未向交易中心提出暂不予退还投标保证金及保函的，由交易中心直接发起退还。</w:t>
            </w:r>
          </w:p>
          <w:p w14:paraId="327A2619">
            <w:pPr>
              <w:tabs>
                <w:tab w:val="left" w:pos="0"/>
              </w:tabs>
              <w:spacing w:before="120" w:after="120" w:line="23" w:lineRule="atLeast"/>
              <w:rPr>
                <w:rFonts w:hint="eastAsia" w:ascii="宋体" w:hAnsi="宋体" w:cs="Arial"/>
                <w:b/>
                <w:color w:val="000000" w:themeColor="text1"/>
                <w:szCs w:val="22"/>
                <w14:textFill>
                  <w14:solidFill>
                    <w14:schemeClr w14:val="tx1"/>
                  </w14:solidFill>
                </w14:textFill>
              </w:rPr>
            </w:pPr>
            <w:r>
              <w:rPr>
                <w:rFonts w:ascii="宋体" w:hAnsi="宋体" w:cs="Arial"/>
                <w:b/>
                <w:color w:val="000000" w:themeColor="text1"/>
                <w:szCs w:val="22"/>
                <w14:textFill>
                  <w14:solidFill>
                    <w14:schemeClr w14:val="tx1"/>
                  </w14:solidFill>
                </w14:textFill>
              </w:rPr>
              <w:t>（二）投标保证金的非正常退还程序</w:t>
            </w:r>
          </w:p>
          <w:p w14:paraId="26392DE7">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hint="eastAsia" w:ascii="宋体" w:hAnsi="宋体" w:cs="Arial"/>
                <w:color w:val="000000" w:themeColor="text1"/>
                <w:szCs w:val="22"/>
                <w14:textFill>
                  <w14:solidFill>
                    <w14:schemeClr w14:val="tx1"/>
                  </w14:solidFill>
                </w14:textFill>
              </w:rPr>
              <w:t>１、</w:t>
            </w:r>
            <w:r>
              <w:rPr>
                <w:rFonts w:ascii="宋体" w:hAnsi="宋体" w:cs="Arial"/>
                <w:color w:val="000000" w:themeColor="text1"/>
                <w:szCs w:val="22"/>
                <w14:textFill>
                  <w14:solidFill>
                    <w14:schemeClr w14:val="tx1"/>
                  </w14:solidFill>
                </w14:textFill>
              </w:rPr>
              <w:t>投标人涉嫌违法违规或被投诉的，正处于调查处理期间，招标监督部门应及时</w:t>
            </w:r>
            <w:r>
              <w:rPr>
                <w:rFonts w:hint="eastAsia" w:ascii="宋体" w:hAnsi="宋体" w:cs="Arial"/>
                <w:color w:val="000000" w:themeColor="text1"/>
                <w:szCs w:val="22"/>
                <w14:textFill>
                  <w14:solidFill>
                    <w14:schemeClr w14:val="tx1"/>
                  </w14:solidFill>
                </w14:textFill>
              </w:rPr>
              <w:t>书面</w:t>
            </w:r>
            <w:r>
              <w:rPr>
                <w:rFonts w:ascii="宋体" w:hAnsi="宋体" w:cs="Arial"/>
                <w:color w:val="000000" w:themeColor="text1"/>
                <w:szCs w:val="22"/>
                <w14:textFill>
                  <w14:solidFill>
                    <w14:schemeClr w14:val="tx1"/>
                  </w14:solidFill>
                </w14:textFill>
              </w:rPr>
              <w:t>通知交易中心，投标保证金暂不退还。待行政监督部门出具调查处理结果后，交易中心</w:t>
            </w:r>
            <w:r>
              <w:rPr>
                <w:rFonts w:hint="eastAsia" w:ascii="宋体" w:hAnsi="宋体"/>
                <w:color w:val="000000" w:themeColor="text1"/>
                <w:szCs w:val="22"/>
                <w14:textFill>
                  <w14:solidFill>
                    <w14:schemeClr w14:val="tx1"/>
                  </w14:solidFill>
                </w14:textFill>
              </w:rPr>
              <w:t>根据处理意见发起退还。</w:t>
            </w:r>
          </w:p>
          <w:p w14:paraId="30DCDDFE">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2、招标人因特殊情况书面要求所有投标人延长投标有效期，并相应延长投标保证金有效期的，须在正常退还程序启动之前书面告知交易中心。</w:t>
            </w:r>
            <w:r>
              <w:rPr>
                <w:rFonts w:hint="eastAsia" w:ascii="宋体" w:hAnsi="宋体"/>
                <w:color w:val="000000" w:themeColor="text1"/>
                <w:szCs w:val="22"/>
                <w14:textFill>
                  <w14:solidFill>
                    <w14:schemeClr w14:val="tx1"/>
                  </w14:solidFill>
                </w14:textFill>
              </w:rPr>
              <w:t>若投标人向</w:t>
            </w:r>
            <w:r>
              <w:rPr>
                <w:rFonts w:ascii="宋体" w:hAnsi="宋体" w:cs="Arial"/>
                <w:color w:val="000000" w:themeColor="text1"/>
                <w:szCs w:val="22"/>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书面表达拒绝延长并放弃投标的，由交易中心将投标保证金退还至投标人。</w:t>
            </w:r>
          </w:p>
          <w:p w14:paraId="7FBD9394">
            <w:pPr>
              <w:tabs>
                <w:tab w:val="left" w:pos="0"/>
              </w:tabs>
              <w:spacing w:before="120" w:after="120" w:line="23" w:lineRule="atLeast"/>
              <w:rPr>
                <w:rFonts w:hint="eastAsia" w:ascii="宋体" w:hAnsi="宋体" w:cs="Arial"/>
                <w:b/>
                <w:color w:val="000000" w:themeColor="text1"/>
                <w:szCs w:val="22"/>
                <w14:textFill>
                  <w14:solidFill>
                    <w14:schemeClr w14:val="tx1"/>
                  </w14:solidFill>
                </w14:textFill>
              </w:rPr>
            </w:pPr>
            <w:r>
              <w:rPr>
                <w:rFonts w:ascii="宋体" w:hAnsi="宋体" w:cs="Arial"/>
                <w:b/>
                <w:color w:val="000000" w:themeColor="text1"/>
                <w:szCs w:val="22"/>
                <w14:textFill>
                  <w14:solidFill>
                    <w14:schemeClr w14:val="tx1"/>
                  </w14:solidFill>
                </w14:textFill>
              </w:rPr>
              <w:t>（三）投标保证金的退还方式</w:t>
            </w:r>
          </w:p>
          <w:p w14:paraId="6E97D2AE">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1．以现金方式提交的投标保证金</w:t>
            </w:r>
            <w:r>
              <w:rPr>
                <w:rFonts w:ascii="宋体" w:hAnsi="宋体" w:cs="Arial"/>
                <w:color w:val="000000" w:themeColor="text1"/>
                <w:szCs w:val="22"/>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将保证金退还至原拨付账户；以保函方式提交的投标保证金，</w:t>
            </w:r>
            <w:r>
              <w:rPr>
                <w:rFonts w:ascii="宋体" w:hAnsi="宋体" w:cs="Arial"/>
                <w:color w:val="000000" w:themeColor="text1"/>
                <w:szCs w:val="22"/>
                <w14:textFill>
                  <w14:solidFill>
                    <w14:schemeClr w14:val="tx1"/>
                  </w14:solidFill>
                </w14:textFill>
              </w:rPr>
              <w:t>交易中心</w:t>
            </w:r>
            <w:r>
              <w:rPr>
                <w:rFonts w:hint="eastAsia" w:ascii="宋体" w:hAnsi="宋体"/>
                <w:color w:val="000000" w:themeColor="text1"/>
                <w:szCs w:val="22"/>
                <w14:textFill>
                  <w14:solidFill>
                    <w14:schemeClr w14:val="tx1"/>
                  </w14:solidFill>
                </w14:textFill>
              </w:rPr>
              <w:t>按保函约定方式退还。</w:t>
            </w:r>
          </w:p>
          <w:p w14:paraId="53BD8566">
            <w:pPr>
              <w:tabs>
                <w:tab w:val="left" w:pos="0"/>
              </w:tabs>
              <w:spacing w:before="120" w:after="120" w:line="23" w:lineRule="atLeast"/>
              <w:rPr>
                <w:szCs w:val="22"/>
              </w:rPr>
            </w:pPr>
            <w:r>
              <w:rPr>
                <w:rFonts w:hint="eastAsia" w:ascii="宋体" w:hAnsi="宋体"/>
                <w:color w:val="000000" w:themeColor="text1"/>
                <w:szCs w:val="22"/>
                <w14:textFill>
                  <w14:solidFill>
                    <w14:schemeClr w14:val="tx1"/>
                  </w14:solidFill>
                </w14:textFill>
              </w:rPr>
              <w:t>2．以现金方式提交的投标保证金，其利息按照专用账户开户银行退款当日挂牌对公活期存款利率计算，在退还投标保证金的同时将利息划拨至投标保证金的原拨付账户。</w:t>
            </w:r>
          </w:p>
        </w:tc>
      </w:tr>
      <w:tr w14:paraId="2B8DC7ED">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095B25E3">
            <w:pPr>
              <w:pStyle w:val="10"/>
              <w:spacing w:line="23" w:lineRule="atLeast"/>
              <w:ind w:left="0"/>
              <w:jc w:val="center"/>
              <w:rPr>
                <w:szCs w:val="22"/>
              </w:rPr>
            </w:pPr>
            <w:r>
              <w:rPr>
                <w:rFonts w:hint="eastAsia"/>
                <w:szCs w:val="22"/>
              </w:rPr>
              <w:t>3.4.4</w:t>
            </w:r>
          </w:p>
        </w:tc>
        <w:tc>
          <w:tcPr>
            <w:tcW w:w="2001" w:type="dxa"/>
            <w:tcBorders>
              <w:top w:val="single" w:color="auto" w:sz="4" w:space="0"/>
              <w:left w:val="single" w:color="auto" w:sz="4" w:space="0"/>
              <w:bottom w:val="single" w:color="auto" w:sz="4" w:space="0"/>
              <w:right w:val="single" w:color="auto" w:sz="4" w:space="0"/>
            </w:tcBorders>
            <w:vAlign w:val="center"/>
          </w:tcPr>
          <w:p w14:paraId="1DB9FF6E">
            <w:pPr>
              <w:pStyle w:val="10"/>
              <w:spacing w:line="23" w:lineRule="atLeast"/>
              <w:ind w:left="0"/>
              <w:jc w:val="center"/>
              <w:rPr>
                <w:szCs w:val="22"/>
              </w:rPr>
            </w:pPr>
            <w:r>
              <w:rPr>
                <w:szCs w:val="22"/>
              </w:rPr>
              <w:t>投标保证金不予退还的情形</w:t>
            </w:r>
          </w:p>
        </w:tc>
        <w:tc>
          <w:tcPr>
            <w:tcW w:w="6892" w:type="dxa"/>
            <w:tcBorders>
              <w:top w:val="single" w:color="auto" w:sz="4" w:space="0"/>
              <w:left w:val="single" w:color="auto" w:sz="4" w:space="0"/>
              <w:bottom w:val="single" w:color="auto" w:sz="4" w:space="0"/>
              <w:right w:val="single" w:color="auto" w:sz="4" w:space="0"/>
            </w:tcBorders>
            <w:vAlign w:val="center"/>
          </w:tcPr>
          <w:p w14:paraId="4250621F">
            <w:pPr>
              <w:spacing w:before="120" w:after="120" w:line="23" w:lineRule="atLeast"/>
              <w:rPr>
                <w:rFonts w:hint="eastAsia" w:ascii="宋体" w:hAnsi="宋体" w:cs="宋体"/>
                <w:color w:val="000000" w:themeColor="text1"/>
                <w:kern w:val="0"/>
                <w:szCs w:val="22"/>
                <w14:textFill>
                  <w14:solidFill>
                    <w14:schemeClr w14:val="tx1"/>
                  </w14:solidFill>
                </w14:textFill>
              </w:rPr>
            </w:pPr>
            <w:r>
              <w:rPr>
                <w:rFonts w:ascii="宋体" w:hAnsi="宋体" w:cs="Arial"/>
                <w:b/>
                <w:color w:val="000000" w:themeColor="text1"/>
                <w:szCs w:val="22"/>
                <w14:textFill>
                  <w14:solidFill>
                    <w14:schemeClr w14:val="tx1"/>
                  </w14:solidFill>
                </w14:textFill>
              </w:rPr>
              <w:t>投标人有下列情形之一的，不予退还投标保证金：</w:t>
            </w:r>
          </w:p>
          <w:p w14:paraId="4367D0AD">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hint="eastAsia" w:ascii="宋体" w:hAnsi="宋体" w:cs="Arial"/>
                <w:color w:val="000000" w:themeColor="text1"/>
                <w:szCs w:val="22"/>
                <w14:textFill>
                  <w14:solidFill>
                    <w14:schemeClr w14:val="tx1"/>
                  </w14:solidFill>
                </w14:textFill>
              </w:rPr>
              <w:t>（一）</w:t>
            </w:r>
            <w:r>
              <w:rPr>
                <w:rFonts w:ascii="宋体" w:hAnsi="宋体" w:cs="Arial"/>
                <w:color w:val="000000" w:themeColor="text1"/>
                <w:szCs w:val="22"/>
                <w14:textFill>
                  <w14:solidFill>
                    <w14:schemeClr w14:val="tx1"/>
                  </w14:solidFill>
                </w14:textFill>
              </w:rPr>
              <w:t>在提交投标文件截止时间后到招标文件规定的投标有效期终止之前，投标人</w:t>
            </w:r>
            <w:r>
              <w:rPr>
                <w:rFonts w:hint="eastAsia" w:ascii="宋体" w:hAnsi="宋体" w:cs="Arial"/>
                <w:szCs w:val="22"/>
              </w:rPr>
              <w:t>撤销、修改、补充或替代投标文件的</w:t>
            </w:r>
            <w:r>
              <w:rPr>
                <w:rFonts w:ascii="宋体" w:hAnsi="宋体" w:cs="Arial"/>
                <w:color w:val="000000" w:themeColor="text1"/>
                <w:szCs w:val="22"/>
                <w14:textFill>
                  <w14:solidFill>
                    <w14:schemeClr w14:val="tx1"/>
                  </w14:solidFill>
                </w14:textFill>
              </w:rPr>
              <w:t>；</w:t>
            </w:r>
          </w:p>
          <w:p w14:paraId="79B2CDC9">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（二）</w:t>
            </w:r>
            <w:r>
              <w:rPr>
                <w:rFonts w:hint="eastAsia" w:ascii="宋体" w:hAnsi="宋体" w:cs="Arial"/>
                <w:szCs w:val="22"/>
              </w:rPr>
              <w:t>确定中标人前放弃中标候选人资格的，</w:t>
            </w:r>
            <w:r>
              <w:rPr>
                <w:rFonts w:ascii="宋体" w:hAnsi="宋体" w:cs="Arial"/>
                <w:color w:val="000000" w:themeColor="text1"/>
                <w:szCs w:val="22"/>
                <w14:textFill>
                  <w14:solidFill>
                    <w14:schemeClr w14:val="tx1"/>
                  </w14:solidFill>
                </w14:textFill>
              </w:rPr>
              <w:t>中标通知书发出后，中标人放弃中标项目的，无正当理由不与招标人签订合同的，在签订合同时向招标人提出附加条件或者更改合同实质性内容的，或者拒不提交所要求的履约保证金的；</w:t>
            </w:r>
          </w:p>
          <w:p w14:paraId="3340A1F5">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（三）投标人在投标活动中串通投标、弄虚作假的</w:t>
            </w:r>
            <w:r>
              <w:rPr>
                <w:rFonts w:hint="eastAsia" w:ascii="宋体" w:hAnsi="宋体" w:cs="Arial"/>
                <w:szCs w:val="22"/>
              </w:rPr>
              <w:t>、隐瞒限制投标情形的</w:t>
            </w:r>
            <w:r>
              <w:rPr>
                <w:rFonts w:ascii="宋体" w:hAnsi="宋体" w:cs="Arial"/>
                <w:color w:val="000000" w:themeColor="text1"/>
                <w:szCs w:val="22"/>
                <w14:textFill>
                  <w14:solidFill>
                    <w14:schemeClr w14:val="tx1"/>
                  </w14:solidFill>
                </w14:textFill>
              </w:rPr>
              <w:t>；</w:t>
            </w:r>
          </w:p>
          <w:p w14:paraId="7BDC935E">
            <w:pPr>
              <w:tabs>
                <w:tab w:val="left" w:pos="0"/>
              </w:tabs>
              <w:spacing w:before="120" w:after="120" w:line="23" w:lineRule="atLeast"/>
              <w:rPr>
                <w:rFonts w:hint="eastAsia" w:ascii="宋体" w:hAnsi="宋体" w:cs="Arial"/>
                <w:color w:val="000000" w:themeColor="text1"/>
                <w:szCs w:val="22"/>
                <w14:textFill>
                  <w14:solidFill>
                    <w14:schemeClr w14:val="tx1"/>
                  </w14:solidFill>
                </w14:textFill>
              </w:rPr>
            </w:pPr>
            <w:r>
              <w:rPr>
                <w:rFonts w:ascii="宋体" w:hAnsi="宋体" w:cs="Arial"/>
                <w:color w:val="000000" w:themeColor="text1"/>
                <w:szCs w:val="22"/>
                <w14:textFill>
                  <w14:solidFill>
                    <w14:schemeClr w14:val="tx1"/>
                  </w14:solidFill>
                </w14:textFill>
              </w:rPr>
              <w:t>（四）法律法规规定不予退还的其他情形。</w:t>
            </w:r>
          </w:p>
          <w:p w14:paraId="3F71C844">
            <w:pPr>
              <w:spacing w:before="120" w:after="120" w:line="23" w:lineRule="atLeast"/>
              <w:ind w:left="18" w:leftChars="8"/>
              <w:rPr>
                <w:szCs w:val="22"/>
              </w:rPr>
            </w:pPr>
            <w:r>
              <w:rPr>
                <w:rFonts w:ascii="宋体" w:hAnsi="宋体" w:cs="Arial"/>
                <w:color w:val="000000" w:themeColor="text1"/>
                <w:szCs w:val="22"/>
                <w14:textFill>
                  <w14:solidFill>
                    <w14:schemeClr w14:val="tx1"/>
                  </w14:solidFill>
                </w14:textFill>
              </w:rPr>
              <w:t>不予退还投标保证金的，由交易中心</w:t>
            </w:r>
            <w:r>
              <w:rPr>
                <w:rFonts w:hint="eastAsia" w:ascii="宋体" w:hAnsi="宋体"/>
                <w:color w:val="000000" w:themeColor="text1"/>
                <w:szCs w:val="22"/>
                <w14:textFill>
                  <w14:solidFill>
                    <w14:schemeClr w14:val="tx1"/>
                  </w14:solidFill>
                </w14:textFill>
              </w:rPr>
              <w:t>依据招标人和行政监督部门的书面意见，将投标保证金转至招标人的基本账户</w:t>
            </w:r>
            <w:r>
              <w:rPr>
                <w:rFonts w:hint="eastAsia" w:ascii="宋体" w:hAnsi="宋体" w:cs="Arial"/>
                <w:szCs w:val="22"/>
              </w:rPr>
              <w:t>（采用“第一种递交方式”缴纳投标保证金时适用）</w:t>
            </w:r>
            <w:r>
              <w:rPr>
                <w:rFonts w:hint="eastAsia" w:ascii="宋体" w:hAnsi="宋体"/>
                <w:color w:val="000000" w:themeColor="text1"/>
                <w:szCs w:val="22"/>
                <w14:textFill>
                  <w14:solidFill>
                    <w14:schemeClr w14:val="tx1"/>
                  </w14:solidFill>
                </w14:textFill>
              </w:rPr>
              <w:t>。</w:t>
            </w:r>
          </w:p>
        </w:tc>
      </w:tr>
      <w:tr w14:paraId="53898317">
        <w:tblPrEx>
          <w:tblCellMar>
            <w:top w:w="0" w:type="dxa"/>
            <w:left w:w="108" w:type="dxa"/>
            <w:bottom w:w="0" w:type="dxa"/>
            <w:right w:w="108" w:type="dxa"/>
          </w:tblCellMar>
        </w:tblPrEx>
        <w:trPr>
          <w:trHeight w:val="965"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7D14C71A">
            <w:pPr>
              <w:pStyle w:val="10"/>
              <w:spacing w:line="23" w:lineRule="atLeast"/>
              <w:ind w:left="0"/>
              <w:jc w:val="center"/>
              <w:rPr>
                <w:szCs w:val="22"/>
              </w:rPr>
            </w:pPr>
            <w:r>
              <w:rPr>
                <w:szCs w:val="22"/>
              </w:rPr>
              <w:t>3.</w:t>
            </w:r>
            <w:r>
              <w:rPr>
                <w:rFonts w:hint="eastAsia"/>
                <w:szCs w:val="22"/>
              </w:rPr>
              <w:t>5</w:t>
            </w:r>
            <w:r>
              <w:rPr>
                <w:szCs w:val="22"/>
              </w:rPr>
              <w:t>.</w:t>
            </w:r>
            <w:r>
              <w:rPr>
                <w:rFonts w:hint="eastAsia"/>
                <w:szCs w:val="22"/>
              </w:rPr>
              <w:t>2</w:t>
            </w:r>
          </w:p>
        </w:tc>
        <w:tc>
          <w:tcPr>
            <w:tcW w:w="2001" w:type="dxa"/>
            <w:tcBorders>
              <w:top w:val="single" w:color="auto" w:sz="4" w:space="0"/>
              <w:left w:val="single" w:color="auto" w:sz="4" w:space="0"/>
              <w:bottom w:val="single" w:color="auto" w:sz="4" w:space="0"/>
              <w:right w:val="single" w:color="auto" w:sz="4" w:space="0"/>
            </w:tcBorders>
            <w:vAlign w:val="center"/>
          </w:tcPr>
          <w:p w14:paraId="5FB93948">
            <w:pPr>
              <w:pStyle w:val="10"/>
              <w:spacing w:line="23" w:lineRule="atLeast"/>
              <w:ind w:left="0"/>
              <w:jc w:val="center"/>
              <w:rPr>
                <w:szCs w:val="22"/>
              </w:rPr>
            </w:pPr>
            <w:r>
              <w:rPr>
                <w:rFonts w:hint="eastAsia"/>
                <w:szCs w:val="22"/>
              </w:rPr>
              <w:t>近年财务状况的年份要求</w:t>
            </w:r>
          </w:p>
        </w:tc>
        <w:tc>
          <w:tcPr>
            <w:tcW w:w="6892" w:type="dxa"/>
            <w:tcBorders>
              <w:top w:val="single" w:color="auto" w:sz="4" w:space="0"/>
              <w:left w:val="single" w:color="auto" w:sz="4" w:space="0"/>
              <w:bottom w:val="single" w:color="auto" w:sz="4" w:space="0"/>
              <w:right w:val="single" w:color="auto" w:sz="4" w:space="0"/>
            </w:tcBorders>
            <w:vAlign w:val="center"/>
          </w:tcPr>
          <w:p w14:paraId="038ECA5F">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○无</w:t>
            </w:r>
          </w:p>
          <w:p w14:paraId="78F75CB9">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rFonts w:hint="eastAsia" w:ascii="Times New Roman" w:hAnsi="Times New Roman"/>
                <w:color w:val="auto"/>
                <w:sz w:val="22"/>
                <w:szCs w:val="22"/>
                <w:highlight w:val="none"/>
              </w:rPr>
              <w:t>近</w:t>
            </w:r>
            <w:r>
              <w:rPr>
                <w:rFonts w:hint="eastAsia" w:ascii="Times New Roman" w:hAnsi="Times New Roman"/>
                <w:color w:val="auto"/>
                <w:sz w:val="22"/>
                <w:szCs w:val="22"/>
                <w:highlight w:val="none"/>
                <w:u w:val="single"/>
                <w:lang w:val="en-US" w:eastAsia="zh-CN"/>
              </w:rPr>
              <w:t xml:space="preserve">   </w:t>
            </w:r>
            <w:r>
              <w:rPr>
                <w:rFonts w:hint="eastAsia" w:ascii="Times New Roman" w:hAnsi="Times New Roman"/>
                <w:color w:val="auto"/>
                <w:sz w:val="22"/>
                <w:szCs w:val="22"/>
                <w:highlight w:val="none"/>
              </w:rPr>
              <w:t>年</w:t>
            </w:r>
            <w:r>
              <w:rPr>
                <w:rFonts w:hint="eastAsia" w:ascii="Times New Roman" w:hAnsi="Times New Roman"/>
                <w:color w:val="FF0000"/>
                <w:sz w:val="22"/>
                <w:szCs w:val="22"/>
                <w:highlight w:val="none"/>
              </w:rPr>
              <w:t>（限定在3年以内）</w:t>
            </w:r>
            <w:r>
              <w:rPr>
                <w:rFonts w:hint="eastAsia" w:ascii="Times New Roman" w:hAnsi="Times New Roman"/>
                <w:color w:val="auto"/>
                <w:sz w:val="22"/>
                <w:szCs w:val="22"/>
                <w:highlight w:val="none"/>
              </w:rPr>
              <w:t>无亏损</w:t>
            </w:r>
          </w:p>
        </w:tc>
      </w:tr>
      <w:tr w14:paraId="7EFA6410">
        <w:tblPrEx>
          <w:tblCellMar>
            <w:top w:w="0" w:type="dxa"/>
            <w:left w:w="108" w:type="dxa"/>
            <w:bottom w:w="0" w:type="dxa"/>
            <w:right w:w="108" w:type="dxa"/>
          </w:tblCellMar>
        </w:tblPrEx>
        <w:trPr>
          <w:trHeight w:val="985"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7DE33E28">
            <w:pPr>
              <w:pStyle w:val="10"/>
              <w:spacing w:line="23" w:lineRule="atLeast"/>
              <w:ind w:left="0"/>
              <w:jc w:val="center"/>
              <w:rPr>
                <w:szCs w:val="22"/>
              </w:rPr>
            </w:pPr>
            <w:r>
              <w:rPr>
                <w:szCs w:val="22"/>
              </w:rPr>
              <w:t>3.</w:t>
            </w:r>
            <w:r>
              <w:rPr>
                <w:rFonts w:hint="eastAsia"/>
                <w:szCs w:val="22"/>
              </w:rPr>
              <w:t>5</w:t>
            </w:r>
            <w:r>
              <w:rPr>
                <w:szCs w:val="22"/>
              </w:rPr>
              <w:t>.</w:t>
            </w:r>
            <w:r>
              <w:rPr>
                <w:rFonts w:hint="eastAsia"/>
                <w:szCs w:val="22"/>
              </w:rPr>
              <w:t>3</w:t>
            </w:r>
          </w:p>
        </w:tc>
        <w:tc>
          <w:tcPr>
            <w:tcW w:w="2001" w:type="dxa"/>
            <w:tcBorders>
              <w:top w:val="single" w:color="auto" w:sz="4" w:space="0"/>
              <w:left w:val="single" w:color="auto" w:sz="4" w:space="0"/>
              <w:bottom w:val="single" w:color="auto" w:sz="4" w:space="0"/>
              <w:right w:val="single" w:color="auto" w:sz="4" w:space="0"/>
            </w:tcBorders>
            <w:vAlign w:val="center"/>
          </w:tcPr>
          <w:p w14:paraId="6847F475">
            <w:pPr>
              <w:pStyle w:val="10"/>
              <w:spacing w:line="23" w:lineRule="atLeast"/>
              <w:ind w:left="0"/>
              <w:jc w:val="center"/>
              <w:rPr>
                <w:szCs w:val="22"/>
              </w:rPr>
            </w:pPr>
            <w:r>
              <w:rPr>
                <w:rFonts w:hint="eastAsia"/>
                <w:szCs w:val="22"/>
              </w:rPr>
              <w:t>近年完成的类似项目的年份要求</w:t>
            </w:r>
          </w:p>
        </w:tc>
        <w:tc>
          <w:tcPr>
            <w:tcW w:w="6892" w:type="dxa"/>
            <w:tcBorders>
              <w:top w:val="single" w:color="auto" w:sz="4" w:space="0"/>
              <w:left w:val="single" w:color="auto" w:sz="4" w:space="0"/>
              <w:bottom w:val="single" w:color="auto" w:sz="4" w:space="0"/>
              <w:right w:val="single" w:color="auto" w:sz="4" w:space="0"/>
            </w:tcBorders>
            <w:vAlign w:val="center"/>
          </w:tcPr>
          <w:p w14:paraId="425EEB48">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○无</w:t>
            </w:r>
          </w:p>
          <w:p w14:paraId="6CD607EA">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rFonts w:hint="eastAsia"/>
                <w:szCs w:val="22"/>
                <w:u w:val="single"/>
              </w:rPr>
              <w:t xml:space="preserve">  </w:t>
            </w:r>
            <w:r>
              <w:rPr>
                <w:rFonts w:hint="eastAsia"/>
                <w:szCs w:val="22"/>
                <w:u w:val="single"/>
                <w:lang w:val="en-US" w:eastAsia="zh-CN"/>
              </w:rPr>
              <w:t xml:space="preserve"> </w:t>
            </w:r>
            <w:r>
              <w:rPr>
                <w:szCs w:val="22"/>
                <w:u w:val="single"/>
              </w:rPr>
              <w:t xml:space="preserve">  </w:t>
            </w:r>
            <w:r>
              <w:rPr>
                <w:rFonts w:hint="eastAsia"/>
                <w:szCs w:val="22"/>
              </w:rPr>
              <w:t>年</w:t>
            </w:r>
            <w:r>
              <w:rPr>
                <w:rFonts w:hint="eastAsia"/>
                <w:szCs w:val="22"/>
                <w:u w:val="single"/>
              </w:rPr>
              <w:t xml:space="preserve">   </w:t>
            </w:r>
            <w:r>
              <w:rPr>
                <w:rFonts w:hint="eastAsia"/>
                <w:szCs w:val="22"/>
              </w:rPr>
              <w:t>月</w:t>
            </w:r>
            <w:r>
              <w:rPr>
                <w:rFonts w:hint="eastAsia"/>
                <w:szCs w:val="22"/>
                <w:u w:val="single"/>
              </w:rPr>
              <w:t xml:space="preserve">   </w:t>
            </w:r>
            <w:r>
              <w:rPr>
                <w:rFonts w:hint="eastAsia"/>
                <w:szCs w:val="22"/>
              </w:rPr>
              <w:t>日至投标截止时间</w:t>
            </w:r>
          </w:p>
        </w:tc>
      </w:tr>
      <w:tr w14:paraId="2B493DE7">
        <w:tblPrEx>
          <w:tblCellMar>
            <w:top w:w="0" w:type="dxa"/>
            <w:left w:w="108" w:type="dxa"/>
            <w:bottom w:w="0" w:type="dxa"/>
            <w:right w:w="108" w:type="dxa"/>
          </w:tblCellMar>
        </w:tblPrEx>
        <w:trPr>
          <w:trHeight w:val="1105"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00FBED4B">
            <w:pPr>
              <w:pStyle w:val="10"/>
              <w:spacing w:line="23" w:lineRule="atLeast"/>
              <w:ind w:left="0"/>
              <w:jc w:val="center"/>
              <w:rPr>
                <w:szCs w:val="22"/>
              </w:rPr>
            </w:pPr>
            <w:r>
              <w:rPr>
                <w:rFonts w:hint="eastAsia"/>
                <w:szCs w:val="22"/>
              </w:rPr>
              <w:t>3.5.4</w:t>
            </w:r>
          </w:p>
        </w:tc>
        <w:tc>
          <w:tcPr>
            <w:tcW w:w="2001" w:type="dxa"/>
            <w:tcBorders>
              <w:top w:val="single" w:color="auto" w:sz="4" w:space="0"/>
              <w:left w:val="single" w:color="auto" w:sz="4" w:space="0"/>
              <w:bottom w:val="single" w:color="auto" w:sz="4" w:space="0"/>
              <w:right w:val="single" w:color="auto" w:sz="4" w:space="0"/>
            </w:tcBorders>
            <w:vAlign w:val="center"/>
          </w:tcPr>
          <w:p w14:paraId="42798F7D">
            <w:pPr>
              <w:pStyle w:val="10"/>
              <w:spacing w:line="23" w:lineRule="atLeast"/>
              <w:ind w:left="0"/>
              <w:jc w:val="center"/>
              <w:rPr>
                <w:szCs w:val="22"/>
              </w:rPr>
            </w:pPr>
            <w:r>
              <w:rPr>
                <w:rFonts w:hint="eastAsia"/>
                <w:szCs w:val="22"/>
              </w:rPr>
              <w:t>正在施工和新承接的项目情况</w:t>
            </w:r>
          </w:p>
        </w:tc>
        <w:tc>
          <w:tcPr>
            <w:tcW w:w="6892" w:type="dxa"/>
            <w:tcBorders>
              <w:top w:val="single" w:color="auto" w:sz="4" w:space="0"/>
              <w:left w:val="single" w:color="auto" w:sz="4" w:space="0"/>
              <w:bottom w:val="single" w:color="auto" w:sz="4" w:space="0"/>
              <w:right w:val="single" w:color="auto" w:sz="4" w:space="0"/>
            </w:tcBorders>
            <w:vAlign w:val="center"/>
          </w:tcPr>
          <w:p w14:paraId="7F54C2EE">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○无</w:t>
            </w:r>
          </w:p>
          <w:p w14:paraId="35EF553E">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rFonts w:hint="eastAsia"/>
                <w:szCs w:val="22"/>
                <w:u w:val="single"/>
              </w:rPr>
              <w:t xml:space="preserve"> </w:t>
            </w:r>
            <w:r>
              <w:rPr>
                <w:rFonts w:hint="eastAsia"/>
                <w:szCs w:val="22"/>
                <w:u w:val="single"/>
                <w:lang w:val="en-US" w:eastAsia="zh-CN"/>
              </w:rPr>
              <w:t xml:space="preserve"> </w:t>
            </w:r>
            <w:r>
              <w:rPr>
                <w:rFonts w:hint="eastAsia"/>
                <w:szCs w:val="22"/>
                <w:u w:val="single"/>
              </w:rPr>
              <w:t xml:space="preserve"> </w:t>
            </w:r>
            <w:r>
              <w:rPr>
                <w:szCs w:val="22"/>
                <w:u w:val="single"/>
              </w:rPr>
              <w:t xml:space="preserve">  </w:t>
            </w:r>
            <w:r>
              <w:rPr>
                <w:rFonts w:hint="eastAsia"/>
                <w:szCs w:val="22"/>
              </w:rPr>
              <w:t>年</w:t>
            </w:r>
            <w:r>
              <w:rPr>
                <w:rFonts w:hint="eastAsia"/>
                <w:szCs w:val="22"/>
                <w:u w:val="single"/>
              </w:rPr>
              <w:t xml:space="preserve">   </w:t>
            </w:r>
            <w:r>
              <w:rPr>
                <w:rFonts w:hint="eastAsia"/>
                <w:szCs w:val="22"/>
              </w:rPr>
              <w:t>月</w:t>
            </w:r>
            <w:r>
              <w:rPr>
                <w:rFonts w:hint="eastAsia"/>
                <w:szCs w:val="22"/>
                <w:u w:val="single"/>
              </w:rPr>
              <w:t xml:space="preserve">   </w:t>
            </w:r>
            <w:r>
              <w:rPr>
                <w:rFonts w:hint="eastAsia"/>
                <w:szCs w:val="22"/>
              </w:rPr>
              <w:t>日至投标截止时间</w:t>
            </w:r>
          </w:p>
        </w:tc>
      </w:tr>
      <w:tr w14:paraId="49796690">
        <w:tblPrEx>
          <w:tblCellMar>
            <w:top w:w="0" w:type="dxa"/>
            <w:left w:w="108" w:type="dxa"/>
            <w:bottom w:w="0" w:type="dxa"/>
            <w:right w:w="108" w:type="dxa"/>
          </w:tblCellMar>
        </w:tblPrEx>
        <w:trPr>
          <w:trHeight w:val="1163"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3B96FE6E">
            <w:pPr>
              <w:pStyle w:val="10"/>
              <w:spacing w:line="23" w:lineRule="atLeast"/>
              <w:ind w:left="0"/>
              <w:jc w:val="center"/>
              <w:rPr>
                <w:szCs w:val="22"/>
              </w:rPr>
            </w:pPr>
            <w:r>
              <w:rPr>
                <w:rFonts w:hint="eastAsia"/>
                <w:szCs w:val="22"/>
              </w:rPr>
              <w:t>3.5.5</w:t>
            </w:r>
          </w:p>
        </w:tc>
        <w:tc>
          <w:tcPr>
            <w:tcW w:w="2001" w:type="dxa"/>
            <w:tcBorders>
              <w:top w:val="single" w:color="auto" w:sz="4" w:space="0"/>
              <w:left w:val="single" w:color="auto" w:sz="4" w:space="0"/>
              <w:bottom w:val="single" w:color="auto" w:sz="4" w:space="0"/>
              <w:right w:val="single" w:color="auto" w:sz="4" w:space="0"/>
            </w:tcBorders>
            <w:vAlign w:val="center"/>
          </w:tcPr>
          <w:p w14:paraId="6C594177">
            <w:pPr>
              <w:pStyle w:val="10"/>
              <w:spacing w:line="23" w:lineRule="atLeast"/>
              <w:ind w:left="0"/>
              <w:jc w:val="center"/>
              <w:rPr>
                <w:szCs w:val="22"/>
              </w:rPr>
            </w:pPr>
            <w:r>
              <w:rPr>
                <w:szCs w:val="22"/>
              </w:rPr>
              <w:t>近年发生的诉讼及仲裁情况的年份要求</w:t>
            </w:r>
          </w:p>
        </w:tc>
        <w:tc>
          <w:tcPr>
            <w:tcW w:w="6892" w:type="dxa"/>
            <w:tcBorders>
              <w:top w:val="single" w:color="auto" w:sz="4" w:space="0"/>
              <w:left w:val="single" w:color="auto" w:sz="4" w:space="0"/>
              <w:bottom w:val="single" w:color="auto" w:sz="4" w:space="0"/>
              <w:right w:val="single" w:color="auto" w:sz="4" w:space="0"/>
            </w:tcBorders>
            <w:vAlign w:val="center"/>
          </w:tcPr>
          <w:p w14:paraId="32F942F9">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○无</w:t>
            </w:r>
          </w:p>
          <w:p w14:paraId="7E590982">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rFonts w:hint="eastAsia"/>
                <w:szCs w:val="22"/>
                <w:u w:val="single"/>
              </w:rPr>
              <w:t xml:space="preserve"> </w:t>
            </w:r>
            <w:r>
              <w:rPr>
                <w:rFonts w:hint="eastAsia"/>
                <w:szCs w:val="22"/>
                <w:u w:val="single"/>
                <w:lang w:val="en-US" w:eastAsia="zh-CN"/>
              </w:rPr>
              <w:t xml:space="preserve"> </w:t>
            </w:r>
            <w:r>
              <w:rPr>
                <w:rFonts w:hint="eastAsia"/>
                <w:szCs w:val="22"/>
                <w:u w:val="single"/>
              </w:rPr>
              <w:t xml:space="preserve"> </w:t>
            </w:r>
            <w:r>
              <w:rPr>
                <w:szCs w:val="22"/>
                <w:u w:val="single"/>
              </w:rPr>
              <w:t xml:space="preserve">  </w:t>
            </w:r>
            <w:r>
              <w:rPr>
                <w:rFonts w:hint="eastAsia"/>
                <w:szCs w:val="22"/>
              </w:rPr>
              <w:t>年</w:t>
            </w:r>
            <w:r>
              <w:rPr>
                <w:rFonts w:hint="eastAsia"/>
                <w:szCs w:val="22"/>
                <w:u w:val="single"/>
              </w:rPr>
              <w:t xml:space="preserve">   </w:t>
            </w:r>
            <w:r>
              <w:rPr>
                <w:rFonts w:hint="eastAsia"/>
                <w:szCs w:val="22"/>
              </w:rPr>
              <w:t>月</w:t>
            </w:r>
            <w:r>
              <w:rPr>
                <w:rFonts w:hint="eastAsia"/>
                <w:szCs w:val="22"/>
                <w:u w:val="single"/>
              </w:rPr>
              <w:t xml:space="preserve">   </w:t>
            </w:r>
            <w:r>
              <w:rPr>
                <w:rFonts w:hint="eastAsia"/>
                <w:szCs w:val="22"/>
              </w:rPr>
              <w:t>日至投标截止时间</w:t>
            </w:r>
          </w:p>
        </w:tc>
      </w:tr>
      <w:tr w14:paraId="035F9083">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2D5FE76B">
            <w:pPr>
              <w:pStyle w:val="10"/>
              <w:spacing w:line="23" w:lineRule="atLeast"/>
              <w:ind w:left="0"/>
              <w:jc w:val="center"/>
              <w:rPr>
                <w:szCs w:val="22"/>
              </w:rPr>
            </w:pPr>
            <w:r>
              <w:rPr>
                <w:rFonts w:hint="eastAsia"/>
                <w:szCs w:val="22"/>
              </w:rPr>
              <w:t>3.6</w:t>
            </w:r>
          </w:p>
        </w:tc>
        <w:tc>
          <w:tcPr>
            <w:tcW w:w="2001" w:type="dxa"/>
            <w:tcBorders>
              <w:top w:val="single" w:color="auto" w:sz="4" w:space="0"/>
              <w:left w:val="single" w:color="auto" w:sz="4" w:space="0"/>
              <w:bottom w:val="single" w:color="auto" w:sz="4" w:space="0"/>
              <w:right w:val="single" w:color="auto" w:sz="4" w:space="0"/>
            </w:tcBorders>
            <w:vAlign w:val="center"/>
          </w:tcPr>
          <w:p w14:paraId="2894F88B">
            <w:pPr>
              <w:pStyle w:val="10"/>
              <w:spacing w:line="23" w:lineRule="atLeast"/>
              <w:ind w:left="0"/>
              <w:jc w:val="center"/>
              <w:rPr>
                <w:szCs w:val="22"/>
              </w:rPr>
            </w:pPr>
            <w:r>
              <w:rPr>
                <w:szCs w:val="22"/>
              </w:rPr>
              <w:t>★是否允许递交备选投标方案</w:t>
            </w:r>
          </w:p>
        </w:tc>
        <w:tc>
          <w:tcPr>
            <w:tcW w:w="6892" w:type="dxa"/>
            <w:tcBorders>
              <w:top w:val="single" w:color="auto" w:sz="4" w:space="0"/>
              <w:left w:val="single" w:color="auto" w:sz="4" w:space="0"/>
              <w:bottom w:val="single" w:color="auto" w:sz="4" w:space="0"/>
              <w:right w:val="single" w:color="auto" w:sz="4" w:space="0"/>
            </w:tcBorders>
            <w:shd w:val="clear" w:color="auto" w:fill="auto"/>
            <w:vAlign w:val="center"/>
          </w:tcPr>
          <w:p w14:paraId="22ABB39B">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○不允许</w:t>
            </w:r>
          </w:p>
          <w:p w14:paraId="76310F3A">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○允许</w:t>
            </w:r>
          </w:p>
        </w:tc>
      </w:tr>
      <w:tr w14:paraId="55717261">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0D21A89D">
            <w:pPr>
              <w:pStyle w:val="10"/>
              <w:spacing w:line="23" w:lineRule="atLeast"/>
              <w:ind w:left="0"/>
              <w:jc w:val="center"/>
              <w:rPr>
                <w:szCs w:val="22"/>
              </w:rPr>
            </w:pPr>
            <w:r>
              <w:rPr>
                <w:rFonts w:hint="eastAsia"/>
                <w:szCs w:val="22"/>
              </w:rPr>
              <w:t>3</w:t>
            </w:r>
            <w:r>
              <w:rPr>
                <w:szCs w:val="22"/>
              </w:rPr>
              <w:t>.</w:t>
            </w:r>
            <w:r>
              <w:rPr>
                <w:rFonts w:hint="eastAsia"/>
                <w:szCs w:val="22"/>
              </w:rPr>
              <w:t>7</w:t>
            </w:r>
            <w:r>
              <w:rPr>
                <w:szCs w:val="22"/>
              </w:rPr>
              <w:t>.1</w:t>
            </w:r>
          </w:p>
        </w:tc>
        <w:tc>
          <w:tcPr>
            <w:tcW w:w="2001" w:type="dxa"/>
            <w:tcBorders>
              <w:top w:val="single" w:color="auto" w:sz="4" w:space="0"/>
              <w:left w:val="single" w:color="auto" w:sz="4" w:space="0"/>
              <w:bottom w:val="single" w:color="auto" w:sz="4" w:space="0"/>
              <w:right w:val="single" w:color="auto" w:sz="4" w:space="0"/>
            </w:tcBorders>
            <w:vAlign w:val="center"/>
          </w:tcPr>
          <w:p w14:paraId="1179556D">
            <w:pPr>
              <w:pStyle w:val="10"/>
              <w:spacing w:line="23" w:lineRule="atLeast"/>
              <w:ind w:left="0"/>
              <w:jc w:val="center"/>
              <w:rPr>
                <w:szCs w:val="22"/>
              </w:rPr>
            </w:pPr>
            <w:r>
              <w:rPr>
                <w:rFonts w:hint="eastAsia"/>
                <w:szCs w:val="22"/>
              </w:rPr>
              <w:t>★投标文件格式</w:t>
            </w:r>
          </w:p>
        </w:tc>
        <w:tc>
          <w:tcPr>
            <w:tcW w:w="6892" w:type="dxa"/>
            <w:tcBorders>
              <w:top w:val="single" w:color="auto" w:sz="4" w:space="0"/>
              <w:left w:val="single" w:color="auto" w:sz="4" w:space="0"/>
              <w:bottom w:val="single" w:color="auto" w:sz="4" w:space="0"/>
              <w:right w:val="single" w:color="auto" w:sz="4" w:space="0"/>
            </w:tcBorders>
            <w:vAlign w:val="center"/>
          </w:tcPr>
          <w:p w14:paraId="11DEE5CA">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（1）不得对招标文件规定的投标文件格式的内容进行改变原意或影响投标实质性的删减或修改。</w:t>
            </w:r>
          </w:p>
          <w:p w14:paraId="470E3400">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2）投标人可以在投标文件格式内容之外另行说明和增加相关内容，作为投标文件的组成部分。另行说明或自行增加的内容、以及按投标文件格式在空格（下划线）由投标人填写的内容，不得与招标文件的强制性审查标准和禁止性规定相抵触。</w:t>
            </w:r>
          </w:p>
          <w:p w14:paraId="7B7EF64E">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（3）按投标文件格式在空格（下划线）由投标人填写的内容，不需要填写的，可以在空格中用“/”标示，也可以不填（空白）。</w:t>
            </w:r>
          </w:p>
          <w:p w14:paraId="4C985C07">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（4）投标文件应对招标文件提出的所有实质性要求和条件作出实质性响应，并且实质性响应的内容不得互相矛盾。</w:t>
            </w:r>
          </w:p>
          <w:p w14:paraId="537DB4FF">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（5）投标文件所附证明材料应清晰可辨。</w:t>
            </w:r>
          </w:p>
          <w:p w14:paraId="0F68C676">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（6）投标人应提供一份格式正确、内容完整、加密的电子投标文件。电子投标文件应使用“成都市电子投标文件制作系统（2017 版）”制作，并通过 CA 数字证书进行加密，存储为扩展名为 CDT 的文件。</w:t>
            </w:r>
          </w:p>
        </w:tc>
      </w:tr>
      <w:tr w14:paraId="55410E67">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6CC9DF10">
            <w:pPr>
              <w:pStyle w:val="10"/>
              <w:spacing w:line="23" w:lineRule="atLeast"/>
              <w:ind w:left="0"/>
              <w:jc w:val="center"/>
              <w:rPr>
                <w:szCs w:val="22"/>
              </w:rPr>
            </w:pPr>
            <w:r>
              <w:rPr>
                <w:szCs w:val="22"/>
              </w:rPr>
              <w:t>3.</w:t>
            </w:r>
            <w:r>
              <w:rPr>
                <w:rFonts w:hint="eastAsia"/>
                <w:szCs w:val="22"/>
              </w:rPr>
              <w:t>7</w:t>
            </w:r>
            <w:r>
              <w:rPr>
                <w:szCs w:val="22"/>
              </w:rPr>
              <w:t>.3</w:t>
            </w:r>
          </w:p>
        </w:tc>
        <w:tc>
          <w:tcPr>
            <w:tcW w:w="2001" w:type="dxa"/>
            <w:tcBorders>
              <w:top w:val="single" w:color="auto" w:sz="4" w:space="0"/>
              <w:left w:val="single" w:color="auto" w:sz="4" w:space="0"/>
              <w:bottom w:val="single" w:color="auto" w:sz="4" w:space="0"/>
              <w:right w:val="single" w:color="auto" w:sz="4" w:space="0"/>
            </w:tcBorders>
            <w:vAlign w:val="center"/>
          </w:tcPr>
          <w:p w14:paraId="76B38491">
            <w:pPr>
              <w:pStyle w:val="10"/>
              <w:spacing w:line="23" w:lineRule="atLeast"/>
              <w:ind w:left="0"/>
              <w:jc w:val="center"/>
              <w:rPr>
                <w:szCs w:val="22"/>
              </w:rPr>
            </w:pPr>
            <w:r>
              <w:rPr>
                <w:szCs w:val="22"/>
              </w:rPr>
              <w:t>★</w:t>
            </w:r>
            <w:r>
              <w:rPr>
                <w:rFonts w:hint="eastAsia"/>
                <w:szCs w:val="22"/>
                <w:lang w:val="en-US" w:eastAsia="zh-CN"/>
              </w:rPr>
              <w:t>签字或签章</w:t>
            </w:r>
            <w:r>
              <w:rPr>
                <w:szCs w:val="22"/>
              </w:rPr>
              <w:t>要求</w:t>
            </w:r>
          </w:p>
        </w:tc>
        <w:tc>
          <w:tcPr>
            <w:tcW w:w="6892" w:type="dxa"/>
            <w:tcBorders>
              <w:top w:val="single" w:color="auto" w:sz="4" w:space="0"/>
              <w:left w:val="single" w:color="auto" w:sz="4" w:space="0"/>
              <w:bottom w:val="single" w:color="auto" w:sz="4" w:space="0"/>
              <w:right w:val="single" w:color="auto" w:sz="4" w:space="0"/>
            </w:tcBorders>
            <w:vAlign w:val="center"/>
          </w:tcPr>
          <w:p w14:paraId="5048FEEA">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（1）电子投标文件中所有要求法定代表人盖章的地方都应用法定代表人的电子印章盖章。要求法定代表人盖章的地方由其他人（包括委托代理人）盖章的，其投标将被否决投标。</w:t>
            </w:r>
          </w:p>
          <w:p w14:paraId="1A2F5A98">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以联合体投标的，电子投标文件所有要求法定代表人盖章的地方由联合体的牵头人盖其法定代表人电子印章即可（即电子投标文件中除</w:t>
            </w:r>
            <w:r>
              <w:rPr>
                <w:rFonts w:hint="eastAsia"/>
                <w:szCs w:val="22"/>
                <w:u w:val="single"/>
              </w:rPr>
              <w:t xml:space="preserve">      </w:t>
            </w:r>
            <w:r>
              <w:rPr>
                <w:rFonts w:hint="eastAsia"/>
                <w:szCs w:val="22"/>
              </w:rPr>
              <w:t xml:space="preserve">  等有明确要求各联合体各成员单位法定代表人盖其法定代表人电子印章外，其余要求法定代表人盖章处均由</w:t>
            </w:r>
            <w:r>
              <w:rPr>
                <w:rFonts w:hint="eastAsia"/>
                <w:szCs w:val="22"/>
                <w:u w:val="single"/>
              </w:rPr>
              <w:t xml:space="preserve">   </w:t>
            </w:r>
            <w:r>
              <w:rPr>
                <w:rFonts w:hint="eastAsia"/>
                <w:szCs w:val="22"/>
              </w:rPr>
              <w:t>完成法定代表人盖章，与联合体中各成员的行为具有同等法律效力）。</w:t>
            </w:r>
          </w:p>
          <w:p w14:paraId="2CE5898C">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（2）电子投标文件所有要求投标人盖章的地方都应加盖投标人单位（法定名称）的电子印章，不得使用专用印章（如经济合同章、投标专用章等）或下属单位印章代替。</w:t>
            </w:r>
          </w:p>
          <w:p w14:paraId="5F216000">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以联合体投标的，电子投标文件所有要求投标人盖单位章的地方由联合体的牵头人盖单位电子印章即可（即电子投标文件中除</w:t>
            </w:r>
            <w:r>
              <w:rPr>
                <w:rFonts w:hint="eastAsia"/>
                <w:szCs w:val="22"/>
                <w:u w:val="single"/>
              </w:rPr>
              <w:t xml:space="preserve">   </w:t>
            </w:r>
            <w:r>
              <w:rPr>
                <w:rFonts w:hint="eastAsia"/>
                <w:szCs w:val="22"/>
              </w:rPr>
              <w:t>有明确要求各联合体各成员单位盖单位电子印章外，其余投标人盖章处均由牵头人完成盖章，与联合体中各成员的行为具有同等法律效力）。</w:t>
            </w:r>
          </w:p>
          <w:p w14:paraId="10D7D57C">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（3）电子投标文件若有修改，需要撤回原来上传到云平台的电子投标文件后，重新上传修改后并盖章完整的加密投标文件。</w:t>
            </w:r>
          </w:p>
          <w:p w14:paraId="25D2277C">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（4）电子投标文件中要求造价人员盖执业章处，应加盖造价人员的执业章的电子印章。（执业章的电子印章办理地点同投标人公章电子印章的办理地点。）</w:t>
            </w:r>
          </w:p>
          <w:p w14:paraId="2A625163">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（5）若投标人没有注册在本单位的具有造价资格的人员，可以委托具有造价咨询资质的中介机构的有造价资格的人员按招标文件要求签电子印章，并在投标文件中附上与该中介机构所签订的委托合同(扫描件)。</w:t>
            </w:r>
          </w:p>
          <w:p w14:paraId="2CFC26BD">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（6）投标文件中提供的证明材料</w:t>
            </w:r>
          </w:p>
          <w:p w14:paraId="60277627">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u w:val="none"/>
              </w:rPr>
            </w:pPr>
            <w:r>
              <w:rPr>
                <w:rFonts w:hint="eastAsia"/>
                <w:szCs w:val="22"/>
              </w:rPr>
              <w:t>○应统一由投标人（若</w:t>
            </w:r>
            <w:r>
              <w:rPr>
                <w:szCs w:val="22"/>
              </w:rPr>
              <w:t>为联合体，则为</w:t>
            </w:r>
            <w:r>
              <w:rPr>
                <w:rFonts w:hint="eastAsia"/>
                <w:szCs w:val="22"/>
              </w:rPr>
              <w:t>联合体牵头人）</w:t>
            </w:r>
            <w:r>
              <w:rPr>
                <w:rFonts w:hint="eastAsia"/>
                <w:szCs w:val="22"/>
                <w:u w:val="none"/>
              </w:rPr>
              <w:t>加盖企业电子印章。</w:t>
            </w:r>
          </w:p>
          <w:p w14:paraId="0D9EFEF7">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szCs w:val="22"/>
                <w:u w:val="none"/>
              </w:rPr>
            </w:pPr>
            <w:r>
              <w:rPr>
                <w:rFonts w:hint="eastAsia"/>
                <w:szCs w:val="22"/>
                <w:u w:val="none"/>
              </w:rPr>
              <w:t>○投标人</w:t>
            </w:r>
            <w:r>
              <w:rPr>
                <w:szCs w:val="22"/>
                <w:u w:val="none"/>
              </w:rPr>
              <w:t>无需</w:t>
            </w:r>
            <w:r>
              <w:rPr>
                <w:rFonts w:hint="eastAsia"/>
                <w:szCs w:val="22"/>
                <w:u w:val="none"/>
              </w:rPr>
              <w:t>加盖企业电子印章。</w:t>
            </w:r>
          </w:p>
          <w:p w14:paraId="6FB543A0">
            <w:pPr>
              <w:pStyle w:val="10"/>
              <w:keepNext w:val="0"/>
              <w:keepLines w:val="0"/>
              <w:pageBreakBefore w:val="0"/>
              <w:numPr>
                <w:ilvl w:val="0"/>
                <w:numId w:val="0"/>
              </w:numPr>
              <w:kinsoku/>
              <w:wordWrap/>
              <w:overflowPunct/>
              <w:topLinePunct w:val="0"/>
              <w:autoSpaceDE/>
              <w:autoSpaceDN/>
              <w:bidi w:val="0"/>
              <w:adjustRightInd/>
              <w:snapToGrid/>
              <w:spacing w:line="23" w:lineRule="atLeast"/>
              <w:ind w:left="0"/>
              <w:textAlignment w:val="auto"/>
              <w:rPr>
                <w:rFonts w:hint="default" w:ascii="Times New Roman" w:hAnsi="Times New Roman" w:eastAsia="宋体"/>
                <w:color w:val="auto"/>
                <w:sz w:val="22"/>
                <w:szCs w:val="22"/>
                <w:highlight w:val="none"/>
                <w:lang w:val="en-US" w:eastAsia="zh-CN"/>
              </w:rPr>
            </w:pPr>
            <w:r>
              <w:rPr>
                <w:rFonts w:hint="eastAsia" w:ascii="Times New Roman" w:hAnsi="Times New Roman" w:eastAsia="宋体" w:cstheme="minorBidi"/>
                <w:color w:val="auto"/>
                <w:kern w:val="2"/>
                <w:sz w:val="22"/>
                <w:szCs w:val="22"/>
                <w:lang w:val="en-US" w:eastAsia="zh-CN" w:bidi="ar-SA"/>
              </w:rPr>
              <w:t>（7）</w:t>
            </w:r>
            <w:r>
              <w:rPr>
                <w:rFonts w:hint="eastAsia" w:ascii="Times New Roman" w:hAnsi="Times New Roman"/>
                <w:color w:val="auto"/>
                <w:sz w:val="22"/>
                <w:szCs w:val="22"/>
                <w:highlight w:val="none"/>
              </w:rPr>
              <w:t>由</w:t>
            </w:r>
            <w:r>
              <w:rPr>
                <w:rFonts w:hint="eastAsia" w:ascii="Times New Roman" w:hAnsi="Times New Roman"/>
                <w:color w:val="auto"/>
                <w:sz w:val="22"/>
                <w:szCs w:val="22"/>
                <w:highlight w:val="none"/>
                <w:lang w:val="en-US" w:eastAsia="zh-CN"/>
              </w:rPr>
              <w:t>委托</w:t>
            </w:r>
            <w:r>
              <w:rPr>
                <w:rFonts w:hint="eastAsia" w:ascii="Times New Roman" w:hAnsi="Times New Roman"/>
                <w:color w:val="auto"/>
                <w:sz w:val="22"/>
                <w:szCs w:val="22"/>
                <w:highlight w:val="none"/>
              </w:rPr>
              <w:t>代理人签字的，应附授权委托书</w:t>
            </w:r>
            <w:r>
              <w:rPr>
                <w:rFonts w:hint="eastAsia" w:ascii="Times New Roman" w:hAnsi="Times New Roman"/>
                <w:color w:val="auto"/>
                <w:sz w:val="22"/>
                <w:szCs w:val="22"/>
                <w:highlight w:val="none"/>
                <w:lang w:eastAsia="zh-CN"/>
              </w:rPr>
              <w:t>，</w:t>
            </w:r>
            <w:r>
              <w:rPr>
                <w:rFonts w:hint="eastAsia" w:ascii="Times New Roman" w:hAnsi="Times New Roman"/>
                <w:color w:val="auto"/>
                <w:sz w:val="22"/>
                <w:szCs w:val="22"/>
                <w:highlight w:val="none"/>
              </w:rPr>
              <w:t>可以使用直接录入内容并上传用不褪色的墨水（签字笔）由本人亲笔手写签字(包括姓和名)的扫描件</w:t>
            </w:r>
            <w:r>
              <w:rPr>
                <w:rFonts w:hint="eastAsia" w:ascii="Times New Roman" w:hAnsi="Times New Roman"/>
                <w:color w:val="auto"/>
                <w:sz w:val="22"/>
                <w:szCs w:val="22"/>
                <w:highlight w:val="none"/>
                <w:lang w:val="en-US" w:eastAsia="zh-CN"/>
              </w:rPr>
              <w:t>或</w:t>
            </w:r>
            <w:r>
              <w:rPr>
                <w:rFonts w:hint="eastAsia" w:ascii="宋体" w:hAnsi="宋体" w:cs="宋体"/>
                <w:sz w:val="22"/>
                <w:szCs w:val="22"/>
              </w:rPr>
              <w:t>电子印章盖章</w:t>
            </w:r>
            <w:r>
              <w:rPr>
                <w:rFonts w:hint="eastAsia" w:ascii="Times New Roman" w:hAnsi="Times New Roman"/>
                <w:color w:val="auto"/>
                <w:sz w:val="22"/>
                <w:szCs w:val="22"/>
                <w:highlight w:val="none"/>
              </w:rPr>
              <w:t>，不得用盖章（如签名章、签字章等）代替，也不得由他人代签。</w:t>
            </w:r>
          </w:p>
        </w:tc>
      </w:tr>
      <w:tr w14:paraId="5CBE3732">
        <w:tblPrEx>
          <w:tblCellMar>
            <w:top w:w="0" w:type="dxa"/>
            <w:left w:w="108" w:type="dxa"/>
            <w:bottom w:w="0" w:type="dxa"/>
            <w:right w:w="108" w:type="dxa"/>
          </w:tblCellMar>
        </w:tblPrEx>
        <w:trPr>
          <w:trHeight w:val="2703"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5E59BBF0">
            <w:pPr>
              <w:pStyle w:val="10"/>
              <w:spacing w:line="23" w:lineRule="atLeast"/>
              <w:ind w:left="0"/>
              <w:jc w:val="center"/>
              <w:rPr>
                <w:szCs w:val="22"/>
              </w:rPr>
            </w:pPr>
            <w:r>
              <w:rPr>
                <w:szCs w:val="22"/>
              </w:rPr>
              <w:t>3.</w:t>
            </w:r>
            <w:r>
              <w:rPr>
                <w:rFonts w:hint="eastAsia"/>
                <w:szCs w:val="22"/>
              </w:rPr>
              <w:t>7</w:t>
            </w:r>
            <w:r>
              <w:rPr>
                <w:szCs w:val="22"/>
              </w:rPr>
              <w:t>.4</w:t>
            </w:r>
          </w:p>
        </w:tc>
        <w:tc>
          <w:tcPr>
            <w:tcW w:w="2001" w:type="dxa"/>
            <w:tcBorders>
              <w:top w:val="single" w:color="auto" w:sz="4" w:space="0"/>
              <w:left w:val="single" w:color="auto" w:sz="4" w:space="0"/>
              <w:bottom w:val="single" w:color="auto" w:sz="4" w:space="0"/>
              <w:right w:val="single" w:color="auto" w:sz="4" w:space="0"/>
            </w:tcBorders>
            <w:vAlign w:val="center"/>
          </w:tcPr>
          <w:p w14:paraId="5B7C3EA6">
            <w:pPr>
              <w:pStyle w:val="10"/>
              <w:spacing w:line="23" w:lineRule="atLeast"/>
              <w:ind w:left="0"/>
              <w:jc w:val="center"/>
              <w:rPr>
                <w:szCs w:val="22"/>
              </w:rPr>
            </w:pPr>
            <w:r>
              <w:rPr>
                <w:szCs w:val="22"/>
              </w:rPr>
              <w:t>投标文件份数</w:t>
            </w:r>
          </w:p>
        </w:tc>
        <w:tc>
          <w:tcPr>
            <w:tcW w:w="6892" w:type="dxa"/>
            <w:tcBorders>
              <w:top w:val="single" w:color="auto" w:sz="4" w:space="0"/>
              <w:left w:val="single" w:color="auto" w:sz="4" w:space="0"/>
              <w:bottom w:val="single" w:color="auto" w:sz="4" w:space="0"/>
              <w:right w:val="single" w:color="auto" w:sz="4" w:space="0"/>
            </w:tcBorders>
            <w:vAlign w:val="center"/>
          </w:tcPr>
          <w:p w14:paraId="714C458D">
            <w:pPr>
              <w:keepNext w:val="0"/>
              <w:keepLines w:val="0"/>
              <w:pageBreakBefore w:val="0"/>
              <w:kinsoku/>
              <w:wordWrap/>
              <w:overflowPunct/>
              <w:topLinePunct w:val="0"/>
              <w:autoSpaceDE/>
              <w:autoSpaceDN/>
              <w:bidi w:val="0"/>
              <w:adjustRightInd/>
              <w:snapToGrid/>
              <w:spacing w:line="23" w:lineRule="atLeast"/>
              <w:textAlignment w:val="auto"/>
              <w:rPr>
                <w:rFonts w:hint="eastAsia"/>
                <w:szCs w:val="22"/>
              </w:rPr>
            </w:pPr>
            <w:r>
              <w:rPr>
                <w:rFonts w:hint="eastAsia" w:ascii="宋体" w:hAnsi="宋体"/>
                <w:kern w:val="0"/>
                <w:sz w:val="22"/>
                <w:szCs w:val="22"/>
              </w:rPr>
              <w:t>（</w:t>
            </w:r>
            <w:r>
              <w:rPr>
                <w:szCs w:val="22"/>
              </w:rPr>
              <w:t>1</w:t>
            </w:r>
            <w:r>
              <w:rPr>
                <w:rFonts w:hint="eastAsia"/>
                <w:szCs w:val="22"/>
              </w:rPr>
              <w:t>）投标人应提供一份格式正确、内容完整、加密的电子投标文件。电子投标文件应使用“成都市电子投标文件制作系统（</w:t>
            </w:r>
            <w:r>
              <w:rPr>
                <w:szCs w:val="22"/>
              </w:rPr>
              <w:t>2017</w:t>
            </w:r>
            <w:r>
              <w:rPr>
                <w:rFonts w:hint="eastAsia"/>
                <w:szCs w:val="22"/>
              </w:rPr>
              <w:t>版）”制作，并通过</w:t>
            </w:r>
            <w:r>
              <w:rPr>
                <w:szCs w:val="22"/>
              </w:rPr>
              <w:t>CA</w:t>
            </w:r>
            <w:r>
              <w:rPr>
                <w:rFonts w:hint="eastAsia"/>
                <w:szCs w:val="22"/>
              </w:rPr>
              <w:t>数字证书进行加密，存储为扩展名为</w:t>
            </w:r>
            <w:r>
              <w:rPr>
                <w:szCs w:val="22"/>
              </w:rPr>
              <w:t>CDT</w:t>
            </w:r>
            <w:r>
              <w:rPr>
                <w:rFonts w:hint="eastAsia"/>
                <w:szCs w:val="22"/>
              </w:rPr>
              <w:t>的文件。</w:t>
            </w:r>
          </w:p>
          <w:p w14:paraId="229E63EB">
            <w:pPr>
              <w:keepNext w:val="0"/>
              <w:keepLines w:val="0"/>
              <w:pageBreakBefore w:val="0"/>
              <w:kinsoku/>
              <w:wordWrap/>
              <w:overflowPunct/>
              <w:topLinePunct w:val="0"/>
              <w:autoSpaceDE/>
              <w:autoSpaceDN/>
              <w:bidi w:val="0"/>
              <w:adjustRightInd/>
              <w:snapToGrid/>
              <w:spacing w:line="23" w:lineRule="atLeast"/>
              <w:textAlignment w:val="auto"/>
              <w:rPr>
                <w:rFonts w:hint="eastAsia" w:eastAsia="宋体"/>
                <w:color w:val="FF0000"/>
                <w:szCs w:val="22"/>
                <w:lang w:eastAsia="zh-CN"/>
              </w:rPr>
            </w:pPr>
            <w:r>
              <w:rPr>
                <w:rFonts w:hint="eastAsia"/>
                <w:szCs w:val="22"/>
              </w:rPr>
              <w:t>□</w:t>
            </w:r>
            <w:r>
              <w:rPr>
                <w:rFonts w:hint="eastAsia" w:ascii="宋体" w:hAnsi="宋体"/>
                <w:b w:val="0"/>
                <w:color w:val="000000" w:themeColor="text1"/>
                <w:szCs w:val="21"/>
                <w14:textFill>
                  <w14:solidFill>
                    <w14:schemeClr w14:val="tx1"/>
                  </w14:solidFill>
                </w14:textFill>
              </w:rPr>
              <w:t>投标文件必须包含CJZ格式的投标数据文件</w:t>
            </w:r>
            <w:r>
              <w:rPr>
                <w:rFonts w:hint="eastAsia" w:ascii="宋体" w:hAnsi="宋体"/>
                <w:b w:val="0"/>
                <w:color w:val="000000" w:themeColor="text1"/>
                <w:szCs w:val="21"/>
                <w:lang w:eastAsia="zh-CN"/>
                <w14:textFill>
                  <w14:solidFill>
                    <w14:schemeClr w14:val="tx1"/>
                  </w14:solidFill>
                </w14:textFill>
              </w:rPr>
              <w:t>。</w:t>
            </w:r>
            <w:r>
              <w:rPr>
                <w:rFonts w:hint="eastAsia" w:ascii="宋体" w:hAnsi="宋体"/>
                <w:b w:val="0"/>
                <w:color w:val="FF0000"/>
                <w:szCs w:val="21"/>
                <w:lang w:eastAsia="zh-CN"/>
              </w:rPr>
              <w:t>（</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r>
              <w:rPr>
                <w:rFonts w:hint="eastAsia" w:ascii="宋体" w:hAnsi="宋体"/>
                <w:b w:val="0"/>
                <w:color w:val="FF0000"/>
                <w:szCs w:val="21"/>
                <w:lang w:eastAsia="zh-CN"/>
              </w:rPr>
              <w:t>）</w:t>
            </w:r>
          </w:p>
          <w:p w14:paraId="0ABF5AF5">
            <w:pPr>
              <w:keepNext w:val="0"/>
              <w:keepLines w:val="0"/>
              <w:pageBreakBefore w:val="0"/>
              <w:widowControl/>
              <w:kinsoku/>
              <w:wordWrap/>
              <w:overflowPunct/>
              <w:topLinePunct w:val="0"/>
              <w:autoSpaceDE/>
              <w:autoSpaceDN/>
              <w:bidi w:val="0"/>
              <w:adjustRightInd/>
              <w:snapToGrid/>
              <w:spacing w:line="23" w:lineRule="atLeast"/>
              <w:ind w:right="-4"/>
              <w:textAlignment w:val="auto"/>
              <w:rPr>
                <w:szCs w:val="22"/>
              </w:rPr>
            </w:pPr>
            <w:r>
              <w:rPr>
                <w:rFonts w:hint="eastAsia"/>
                <w:szCs w:val="22"/>
              </w:rPr>
              <w:t>（</w:t>
            </w:r>
            <w:r>
              <w:rPr>
                <w:szCs w:val="22"/>
              </w:rPr>
              <w:t>2</w:t>
            </w:r>
            <w:r>
              <w:rPr>
                <w:rFonts w:hint="eastAsia"/>
                <w:szCs w:val="22"/>
              </w:rPr>
              <w:t>）不见面开标项目不接受投标人现场递交光盘等形式的投标文件，不接受投标人现场解密投标文件。</w:t>
            </w:r>
          </w:p>
          <w:p w14:paraId="4B31F0DB">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szCs w:val="22"/>
              </w:rPr>
              <w:t>3</w:t>
            </w:r>
            <w:r>
              <w:rPr>
                <w:rFonts w:hint="eastAsia"/>
                <w:szCs w:val="22"/>
              </w:rPr>
              <w:t>）中标人需在领取中标通知书时另向招标人提供</w:t>
            </w:r>
            <w:r>
              <w:rPr>
                <w:szCs w:val="22"/>
                <w:u w:val="single"/>
              </w:rPr>
              <w:t xml:space="preserve">   </w:t>
            </w:r>
            <w:r>
              <w:rPr>
                <w:rFonts w:hint="eastAsia"/>
                <w:szCs w:val="22"/>
              </w:rPr>
              <w:t>份投标文件纸质</w:t>
            </w:r>
            <w:r>
              <w:rPr>
                <w:rFonts w:hint="eastAsia"/>
                <w:szCs w:val="22"/>
                <w:lang w:val="en-US" w:eastAsia="zh-CN"/>
              </w:rPr>
              <w:t>版文件</w:t>
            </w:r>
            <w:r>
              <w:rPr>
                <w:rFonts w:hint="eastAsia"/>
                <w:szCs w:val="22"/>
              </w:rPr>
              <w:t>。</w:t>
            </w:r>
          </w:p>
        </w:tc>
      </w:tr>
      <w:tr w14:paraId="2B168034">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1762B20E">
            <w:pPr>
              <w:pStyle w:val="10"/>
              <w:spacing w:line="23" w:lineRule="atLeast"/>
              <w:ind w:left="0"/>
              <w:jc w:val="center"/>
              <w:rPr>
                <w:szCs w:val="22"/>
              </w:rPr>
            </w:pPr>
            <w:r>
              <w:rPr>
                <w:rFonts w:hint="eastAsia"/>
                <w:szCs w:val="22"/>
              </w:rPr>
              <w:t>4.1.1</w:t>
            </w:r>
          </w:p>
        </w:tc>
        <w:tc>
          <w:tcPr>
            <w:tcW w:w="2001" w:type="dxa"/>
            <w:tcBorders>
              <w:top w:val="single" w:color="auto" w:sz="4" w:space="0"/>
              <w:left w:val="single" w:color="auto" w:sz="4" w:space="0"/>
              <w:bottom w:val="single" w:color="auto" w:sz="4" w:space="0"/>
              <w:right w:val="single" w:color="auto" w:sz="4" w:space="0"/>
            </w:tcBorders>
            <w:vAlign w:val="center"/>
          </w:tcPr>
          <w:p w14:paraId="77900A55">
            <w:pPr>
              <w:pStyle w:val="10"/>
              <w:spacing w:line="23" w:lineRule="atLeast"/>
              <w:ind w:left="0"/>
              <w:jc w:val="center"/>
              <w:rPr>
                <w:szCs w:val="22"/>
              </w:rPr>
            </w:pPr>
            <w:r>
              <w:rPr>
                <w:szCs w:val="22"/>
              </w:rPr>
              <w:t>投标文件的包装和密封</w:t>
            </w:r>
          </w:p>
        </w:tc>
        <w:tc>
          <w:tcPr>
            <w:tcW w:w="6892" w:type="dxa"/>
            <w:tcBorders>
              <w:top w:val="single" w:color="auto" w:sz="4" w:space="0"/>
              <w:left w:val="single" w:color="auto" w:sz="4" w:space="0"/>
              <w:bottom w:val="single" w:color="auto" w:sz="4" w:space="0"/>
              <w:right w:val="single" w:color="auto" w:sz="4" w:space="0"/>
            </w:tcBorders>
            <w:vAlign w:val="center"/>
          </w:tcPr>
          <w:p w14:paraId="1098A64B">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szCs w:val="22"/>
              </w:rPr>
              <w:t>1</w:t>
            </w:r>
            <w:r>
              <w:rPr>
                <w:rFonts w:hint="eastAsia"/>
                <w:szCs w:val="22"/>
              </w:rPr>
              <w:t>）电子投标文件未使用</w:t>
            </w:r>
            <w:r>
              <w:rPr>
                <w:szCs w:val="22"/>
              </w:rPr>
              <w:t>CA</w:t>
            </w:r>
            <w:r>
              <w:rPr>
                <w:rFonts w:hint="eastAsia"/>
                <w:szCs w:val="22"/>
              </w:rPr>
              <w:t>数字证书进行加密的，将无法上传至云平台。若投标人投标文件因未加密而造成过早失密等情况，招标人及招标代理机构概不负责。不见面开标项目不接受投标人现场递交光盘等形式的投标文件，不接受投标人现场解密投标文件。</w:t>
            </w:r>
          </w:p>
          <w:p w14:paraId="7D390F65">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szCs w:val="22"/>
              </w:rPr>
              <w:t>2</w:t>
            </w:r>
            <w:r>
              <w:rPr>
                <w:rFonts w:hint="eastAsia"/>
                <w:szCs w:val="22"/>
              </w:rPr>
              <w:t>）投标人委托</w:t>
            </w:r>
            <w:r>
              <w:rPr>
                <w:szCs w:val="22"/>
              </w:rPr>
              <w:t>1</w:t>
            </w:r>
            <w:r>
              <w:rPr>
                <w:rFonts w:hint="eastAsia"/>
                <w:szCs w:val="22"/>
              </w:rPr>
              <w:t>名委托代理人持企业</w:t>
            </w:r>
            <w:r>
              <w:rPr>
                <w:szCs w:val="22"/>
              </w:rPr>
              <w:t>CA</w:t>
            </w:r>
            <w:r>
              <w:rPr>
                <w:rFonts w:hint="eastAsia"/>
                <w:szCs w:val="22"/>
              </w:rPr>
              <w:t>数字证书在线参加开标会，对开标会程序、记录、评标时的澄清往来记录予以确认、签章。</w:t>
            </w:r>
          </w:p>
        </w:tc>
      </w:tr>
      <w:tr w14:paraId="6E14DAC0">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75EC433">
            <w:pPr>
              <w:pStyle w:val="10"/>
              <w:spacing w:line="23" w:lineRule="atLeast"/>
              <w:ind w:left="0"/>
              <w:jc w:val="center"/>
              <w:rPr>
                <w:szCs w:val="22"/>
              </w:rPr>
            </w:pPr>
            <w:r>
              <w:rPr>
                <w:rFonts w:hint="eastAsia"/>
                <w:szCs w:val="22"/>
              </w:rPr>
              <w:t>4.2.1</w:t>
            </w:r>
          </w:p>
        </w:tc>
        <w:tc>
          <w:tcPr>
            <w:tcW w:w="2001" w:type="dxa"/>
            <w:tcBorders>
              <w:top w:val="single" w:color="auto" w:sz="4" w:space="0"/>
              <w:left w:val="single" w:color="auto" w:sz="4" w:space="0"/>
              <w:bottom w:val="single" w:color="auto" w:sz="4" w:space="0"/>
              <w:right w:val="single" w:color="auto" w:sz="4" w:space="0"/>
            </w:tcBorders>
            <w:vAlign w:val="center"/>
          </w:tcPr>
          <w:p w14:paraId="2B5A8647">
            <w:pPr>
              <w:pStyle w:val="10"/>
              <w:spacing w:line="23" w:lineRule="atLeast"/>
              <w:ind w:left="0"/>
              <w:jc w:val="center"/>
              <w:rPr>
                <w:szCs w:val="22"/>
              </w:rPr>
            </w:pPr>
            <w:r>
              <w:rPr>
                <w:szCs w:val="22"/>
              </w:rPr>
              <w:t>递交投标文件</w:t>
            </w:r>
          </w:p>
        </w:tc>
        <w:tc>
          <w:tcPr>
            <w:tcW w:w="6892" w:type="dxa"/>
            <w:tcBorders>
              <w:top w:val="single" w:color="auto" w:sz="4" w:space="0"/>
              <w:left w:val="single" w:color="auto" w:sz="4" w:space="0"/>
              <w:bottom w:val="single" w:color="auto" w:sz="4" w:space="0"/>
              <w:right w:val="single" w:color="auto" w:sz="4" w:space="0"/>
            </w:tcBorders>
            <w:vAlign w:val="center"/>
          </w:tcPr>
          <w:p w14:paraId="04AAE75E">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（1）投标人应在本投标人须知前附表第2.2.2条规定的投标截止时间之前递交投标文件。</w:t>
            </w:r>
          </w:p>
          <w:p w14:paraId="3470C92B">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（2）投标人应通过互联网使用CA数字证书登录成都市公共资源交易云平台（www.cdggzy.com），将加密的投标文件上传至对应项目，并保存系统返回的上传成功回执。</w:t>
            </w:r>
          </w:p>
          <w:p w14:paraId="113CC07C">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（3）投标人应充分考虑上传文件的不可预见因素，未在投标截止时间前完成上传的，在投标截止时间后将无法上传。</w:t>
            </w:r>
          </w:p>
        </w:tc>
      </w:tr>
      <w:tr w14:paraId="38FFCCF4">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9D7EC42">
            <w:pPr>
              <w:pStyle w:val="10"/>
              <w:spacing w:line="23" w:lineRule="atLeast"/>
              <w:ind w:left="0"/>
              <w:jc w:val="center"/>
              <w:rPr>
                <w:szCs w:val="22"/>
              </w:rPr>
            </w:pPr>
            <w:r>
              <w:rPr>
                <w:rFonts w:hint="eastAsia"/>
                <w:szCs w:val="22"/>
              </w:rPr>
              <w:t>4.3.1</w:t>
            </w:r>
          </w:p>
        </w:tc>
        <w:tc>
          <w:tcPr>
            <w:tcW w:w="2001" w:type="dxa"/>
            <w:tcBorders>
              <w:top w:val="single" w:color="auto" w:sz="4" w:space="0"/>
              <w:left w:val="single" w:color="auto" w:sz="4" w:space="0"/>
              <w:bottom w:val="single" w:color="auto" w:sz="4" w:space="0"/>
              <w:right w:val="single" w:color="auto" w:sz="4" w:space="0"/>
            </w:tcBorders>
            <w:vAlign w:val="center"/>
          </w:tcPr>
          <w:p w14:paraId="4195DE65">
            <w:pPr>
              <w:pStyle w:val="10"/>
              <w:spacing w:line="23" w:lineRule="atLeast"/>
              <w:ind w:left="0"/>
              <w:jc w:val="center"/>
              <w:rPr>
                <w:szCs w:val="22"/>
              </w:rPr>
            </w:pPr>
            <w:r>
              <w:rPr>
                <w:szCs w:val="22"/>
              </w:rPr>
              <w:t>投标文件的修改与撤回</w:t>
            </w:r>
          </w:p>
        </w:tc>
        <w:tc>
          <w:tcPr>
            <w:tcW w:w="6892" w:type="dxa"/>
            <w:tcBorders>
              <w:top w:val="single" w:color="auto" w:sz="4" w:space="0"/>
              <w:left w:val="single" w:color="auto" w:sz="4" w:space="0"/>
              <w:bottom w:val="single" w:color="auto" w:sz="4" w:space="0"/>
              <w:right w:val="single" w:color="auto" w:sz="4" w:space="0"/>
            </w:tcBorders>
            <w:vAlign w:val="center"/>
          </w:tcPr>
          <w:p w14:paraId="2E93EAD5">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szCs w:val="22"/>
              </w:rPr>
              <w:t>（1）在招标公告规定的投标截止时间前，投标人可以修改或撤回已递交的投标文件。投标人投标文件进行撤回的，应在“成都市公共资源电子交易云平台”直接进行撤回操作；投标人对投标文件进行修改的，应在投标文件截止时间前在“成都市公共资源电子交易云平台”撤回原文件后，重新上传修改后并加密的投标文件。</w:t>
            </w:r>
          </w:p>
          <w:p w14:paraId="6D32DE8F">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szCs w:val="22"/>
              </w:rPr>
              <w:t>（2)修改后加密投标文件的递交，以投标截止时间前最后完成上传的文件为准。</w:t>
            </w:r>
          </w:p>
        </w:tc>
      </w:tr>
      <w:tr w14:paraId="50C19959">
        <w:tblPrEx>
          <w:tblCellMar>
            <w:top w:w="0" w:type="dxa"/>
            <w:left w:w="108" w:type="dxa"/>
            <w:bottom w:w="0" w:type="dxa"/>
            <w:right w:w="108" w:type="dxa"/>
          </w:tblCellMar>
        </w:tblPrEx>
        <w:trPr>
          <w:trHeight w:val="880"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4A50D392">
            <w:pPr>
              <w:pStyle w:val="10"/>
              <w:spacing w:line="23" w:lineRule="atLeast"/>
              <w:ind w:left="0"/>
              <w:jc w:val="center"/>
              <w:rPr>
                <w:szCs w:val="22"/>
              </w:rPr>
            </w:pPr>
            <w:r>
              <w:rPr>
                <w:szCs w:val="22"/>
              </w:rPr>
              <w:t>5.1</w:t>
            </w:r>
          </w:p>
        </w:tc>
        <w:tc>
          <w:tcPr>
            <w:tcW w:w="2001" w:type="dxa"/>
            <w:tcBorders>
              <w:top w:val="single" w:color="auto" w:sz="4" w:space="0"/>
              <w:left w:val="single" w:color="auto" w:sz="4" w:space="0"/>
              <w:bottom w:val="single" w:color="auto" w:sz="4" w:space="0"/>
              <w:right w:val="single" w:color="auto" w:sz="4" w:space="0"/>
            </w:tcBorders>
            <w:vAlign w:val="center"/>
          </w:tcPr>
          <w:p w14:paraId="5FB92DE5">
            <w:pPr>
              <w:pStyle w:val="10"/>
              <w:spacing w:line="23" w:lineRule="atLeast"/>
              <w:ind w:left="0"/>
              <w:jc w:val="center"/>
              <w:rPr>
                <w:szCs w:val="22"/>
              </w:rPr>
            </w:pPr>
            <w:r>
              <w:rPr>
                <w:rFonts w:hint="eastAsia"/>
                <w:szCs w:val="22"/>
              </w:rPr>
              <w:t>开标时间和地点</w:t>
            </w:r>
          </w:p>
        </w:tc>
        <w:tc>
          <w:tcPr>
            <w:tcW w:w="6892" w:type="dxa"/>
            <w:tcBorders>
              <w:top w:val="single" w:color="auto" w:sz="4" w:space="0"/>
              <w:left w:val="single" w:color="auto" w:sz="4" w:space="0"/>
              <w:bottom w:val="single" w:color="auto" w:sz="4" w:space="0"/>
              <w:right w:val="single" w:color="auto" w:sz="4" w:space="0"/>
            </w:tcBorders>
            <w:vAlign w:val="center"/>
          </w:tcPr>
          <w:p w14:paraId="6252D460">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开标时间：同投标截止时间</w:t>
            </w:r>
          </w:p>
          <w:p w14:paraId="332DF8F4">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投标文件解密截止时间：解密开始后</w:t>
            </w:r>
            <w:r>
              <w:rPr>
                <w:szCs w:val="22"/>
              </w:rPr>
              <w:t>30</w:t>
            </w:r>
            <w:r>
              <w:rPr>
                <w:rFonts w:hint="eastAsia"/>
                <w:szCs w:val="22"/>
              </w:rPr>
              <w:t>分钟</w:t>
            </w:r>
          </w:p>
        </w:tc>
      </w:tr>
      <w:tr w14:paraId="0BFDE3CF">
        <w:tblPrEx>
          <w:tblCellMar>
            <w:top w:w="0" w:type="dxa"/>
            <w:left w:w="108" w:type="dxa"/>
            <w:bottom w:w="0" w:type="dxa"/>
            <w:right w:w="108" w:type="dxa"/>
          </w:tblCellMar>
        </w:tblPrEx>
        <w:trPr>
          <w:trHeight w:val="381"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01E7511D">
            <w:pPr>
              <w:pStyle w:val="10"/>
              <w:spacing w:line="23" w:lineRule="atLeast"/>
              <w:ind w:left="0"/>
              <w:jc w:val="center"/>
              <w:rPr>
                <w:szCs w:val="22"/>
              </w:rPr>
            </w:pPr>
            <w:r>
              <w:rPr>
                <w:rFonts w:hint="eastAsia"/>
                <w:szCs w:val="22"/>
              </w:rPr>
              <w:t>5.2</w:t>
            </w:r>
          </w:p>
        </w:tc>
        <w:tc>
          <w:tcPr>
            <w:tcW w:w="2001" w:type="dxa"/>
            <w:tcBorders>
              <w:top w:val="single" w:color="auto" w:sz="4" w:space="0"/>
              <w:left w:val="single" w:color="auto" w:sz="4" w:space="0"/>
              <w:bottom w:val="single" w:color="auto" w:sz="4" w:space="0"/>
              <w:right w:val="single" w:color="auto" w:sz="4" w:space="0"/>
            </w:tcBorders>
            <w:vAlign w:val="center"/>
          </w:tcPr>
          <w:p w14:paraId="06CB8561">
            <w:pPr>
              <w:pStyle w:val="10"/>
              <w:spacing w:line="23" w:lineRule="atLeast"/>
              <w:ind w:left="0"/>
              <w:jc w:val="center"/>
              <w:rPr>
                <w:szCs w:val="22"/>
              </w:rPr>
            </w:pPr>
            <w:r>
              <w:rPr>
                <w:rFonts w:hint="eastAsia"/>
                <w:szCs w:val="22"/>
              </w:rPr>
              <w:t>开标程序</w:t>
            </w:r>
          </w:p>
        </w:tc>
        <w:tc>
          <w:tcPr>
            <w:tcW w:w="6892" w:type="dxa"/>
            <w:tcBorders>
              <w:top w:val="single" w:color="auto" w:sz="4" w:space="0"/>
              <w:left w:val="single" w:color="auto" w:sz="4" w:space="0"/>
              <w:bottom w:val="single" w:color="auto" w:sz="4" w:space="0"/>
              <w:right w:val="single" w:color="auto" w:sz="4" w:space="0"/>
            </w:tcBorders>
            <w:vAlign w:val="center"/>
          </w:tcPr>
          <w:p w14:paraId="41D3DE87">
            <w:pPr>
              <w:spacing w:line="23" w:lineRule="atLeast"/>
              <w:ind w:left="18" w:leftChars="8"/>
              <w:rPr>
                <w:rFonts w:hint="eastAsia" w:ascii="宋体" w:hAnsi="宋体" w:cs="Courier New"/>
                <w:kern w:val="0"/>
                <w:szCs w:val="22"/>
              </w:rPr>
            </w:pPr>
            <w:r>
              <w:rPr>
                <w:rFonts w:hint="eastAsia" w:ascii="宋体" w:hAnsi="宋体" w:cs="Courier New"/>
                <w:kern w:val="0"/>
                <w:szCs w:val="22"/>
              </w:rPr>
              <w:t>开标程序：</w:t>
            </w:r>
          </w:p>
          <w:p w14:paraId="2C2C5563">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（1）招标人或其委托代理机构，以及已在投标截止时间前按规定上传投标文件的投标人，均应在开标当日投标截止时间前登录不见面开标系统（网址：www.cdggzy.com），录入相关人员姓名、电话等基本信息。</w:t>
            </w:r>
          </w:p>
          <w:p w14:paraId="026CA799">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（2）</w:t>
            </w:r>
            <w:r>
              <w:rPr>
                <w:rFonts w:hint="eastAsia" w:ascii="Times New Roman" w:hAnsi="宋体" w:eastAsia="宋体" w:cs="Times New Roman"/>
                <w:color w:val="auto"/>
                <w:sz w:val="22"/>
                <w:szCs w:val="22"/>
                <w:highlight w:val="none"/>
              </w:rPr>
              <w:t>投标时间截止后，当投标文件份数上传大于等于3份时，招标人或其委托代理机构点击确认开标开始，系统进入正式开标环节。 招标人或其委托代理机构应点击进入投标文件解密环节，投标人应在解密开始后30分钟内在线完成投标文件解密。</w:t>
            </w:r>
          </w:p>
          <w:p w14:paraId="753E4F30">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（3）</w:t>
            </w:r>
            <w:r>
              <w:rPr>
                <w:rFonts w:hint="eastAsia" w:ascii="Times New Roman" w:hAnsi="宋体" w:eastAsia="宋体" w:cs="Times New Roman"/>
                <w:color w:val="auto"/>
                <w:sz w:val="22"/>
                <w:szCs w:val="22"/>
                <w:highlight w:val="none"/>
              </w:rPr>
              <w:t>所有投标人完成解密后或在规定解密时间截止后，展示所有已上传投标文件的投标人名单、投标保证金交纳情况和投标人相关信用信息等投标基本情况。</w:t>
            </w:r>
          </w:p>
          <w:p w14:paraId="2BF3CA70">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（4）招标人或其委托代理机构确认进入唱标展示环节，由系统直接展示各投标人名称、投标报价等唱标内容，生成开标记录表。</w:t>
            </w:r>
          </w:p>
          <w:p w14:paraId="75F25FF9">
            <w:pPr>
              <w:spacing w:line="23" w:lineRule="atLeast"/>
              <w:ind w:left="18" w:leftChars="8"/>
              <w:rPr>
                <w:rFonts w:hint="eastAsia" w:ascii="宋体" w:hAnsi="宋体" w:cs="Courier New"/>
                <w:kern w:val="0"/>
                <w:szCs w:val="22"/>
              </w:rPr>
            </w:pPr>
            <w:r>
              <w:rPr>
                <w:rFonts w:hint="eastAsia" w:ascii="Times New Roman" w:hAnsi="宋体" w:eastAsia="宋体" w:cs="Times New Roman"/>
                <w:color w:val="auto"/>
                <w:sz w:val="22"/>
                <w:szCs w:val="22"/>
                <w:highlight w:val="none"/>
              </w:rPr>
              <w:t>（5）投标人对开标有异议的，应在线提出，由招标人或其委托代理机构在线即时答复处理。招标人或其委托代理机构应为投标人提供提出异议时间不少于10分钟（生成开标记录表开始起算）。所有异议处理完毕后，由招标人或其委托代理机构确认开标结束。</w:t>
            </w:r>
          </w:p>
          <w:p w14:paraId="55733079">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ascii="宋体" w:hAnsi="宋体" w:cs="Courier New"/>
                <w:kern w:val="0"/>
                <w:szCs w:val="22"/>
              </w:rPr>
              <w:t>注：</w:t>
            </w:r>
            <w:r>
              <w:rPr>
                <w:rFonts w:ascii="宋体" w:hAnsi="宋体" w:cs="Courier New"/>
                <w:kern w:val="0"/>
                <w:szCs w:val="22"/>
              </w:rPr>
              <w:t>投标人未提出异议的，视同其认可开标过程、开标内容和开标结果。</w:t>
            </w:r>
          </w:p>
        </w:tc>
      </w:tr>
      <w:tr w14:paraId="5E09844E">
        <w:tblPrEx>
          <w:tblCellMar>
            <w:top w:w="0" w:type="dxa"/>
            <w:left w:w="108" w:type="dxa"/>
            <w:bottom w:w="0" w:type="dxa"/>
            <w:right w:w="108" w:type="dxa"/>
          </w:tblCellMar>
        </w:tblPrEx>
        <w:trPr>
          <w:trHeight w:val="982"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477A8255">
            <w:pPr>
              <w:pStyle w:val="10"/>
              <w:spacing w:line="23" w:lineRule="atLeast"/>
              <w:ind w:left="0"/>
              <w:jc w:val="center"/>
              <w:rPr>
                <w:szCs w:val="22"/>
              </w:rPr>
            </w:pPr>
            <w:r>
              <w:rPr>
                <w:szCs w:val="22"/>
              </w:rPr>
              <w:t>6.1.1</w:t>
            </w:r>
          </w:p>
        </w:tc>
        <w:tc>
          <w:tcPr>
            <w:tcW w:w="2001" w:type="dxa"/>
            <w:tcBorders>
              <w:top w:val="single" w:color="auto" w:sz="4" w:space="0"/>
              <w:left w:val="single" w:color="auto" w:sz="4" w:space="0"/>
              <w:bottom w:val="single" w:color="auto" w:sz="4" w:space="0"/>
              <w:right w:val="single" w:color="auto" w:sz="4" w:space="0"/>
            </w:tcBorders>
            <w:vAlign w:val="center"/>
          </w:tcPr>
          <w:p w14:paraId="2339367B">
            <w:pPr>
              <w:pStyle w:val="10"/>
              <w:spacing w:line="23" w:lineRule="atLeast"/>
              <w:ind w:left="0"/>
              <w:jc w:val="center"/>
              <w:rPr>
                <w:szCs w:val="22"/>
              </w:rPr>
            </w:pPr>
            <w:r>
              <w:rPr>
                <w:rFonts w:hint="eastAsia"/>
                <w:szCs w:val="22"/>
              </w:rPr>
              <w:t>评标委员会的组建</w:t>
            </w:r>
          </w:p>
        </w:tc>
        <w:tc>
          <w:tcPr>
            <w:tcW w:w="6892" w:type="dxa"/>
            <w:tcBorders>
              <w:top w:val="single" w:color="auto" w:sz="4" w:space="0"/>
              <w:left w:val="single" w:color="auto" w:sz="4" w:space="0"/>
              <w:bottom w:val="single" w:color="auto" w:sz="4" w:space="0"/>
              <w:right w:val="single" w:color="auto" w:sz="4" w:space="0"/>
            </w:tcBorders>
            <w:vAlign w:val="center"/>
          </w:tcPr>
          <w:p w14:paraId="7C4F978B">
            <w:pPr>
              <w:keepNext w:val="0"/>
              <w:keepLines w:val="0"/>
              <w:pageBreakBefore w:val="0"/>
              <w:kinsoku/>
              <w:wordWrap/>
              <w:overflowPunct/>
              <w:topLinePunct w:val="0"/>
              <w:autoSpaceDE/>
              <w:autoSpaceDN/>
              <w:bidi w:val="0"/>
              <w:adjustRightInd/>
              <w:snapToGrid/>
              <w:spacing w:line="23" w:lineRule="atLeast"/>
              <w:ind w:left="0" w:firstLine="0" w:firstLineChars="0"/>
              <w:textAlignment w:val="auto"/>
              <w:rPr>
                <w:rFonts w:hint="eastAsia"/>
                <w:szCs w:val="22"/>
                <w:lang w:eastAsia="zh-CN"/>
              </w:rPr>
            </w:pPr>
            <w:r>
              <w:rPr>
                <w:rFonts w:hint="eastAsia"/>
                <w:szCs w:val="22"/>
                <w:lang w:eastAsia="zh-CN"/>
              </w:rPr>
              <w:t>评标委员会构成：</w:t>
            </w:r>
            <w:r>
              <w:rPr>
                <w:rFonts w:hint="eastAsia"/>
                <w:szCs w:val="22"/>
                <w:u w:val="single"/>
                <w:lang w:eastAsia="zh-CN"/>
              </w:rPr>
              <w:t xml:space="preserve">      </w:t>
            </w:r>
            <w:r>
              <w:rPr>
                <w:rFonts w:hint="eastAsia"/>
                <w:szCs w:val="22"/>
                <w:lang w:eastAsia="zh-CN"/>
              </w:rPr>
              <w:t>人。</w:t>
            </w:r>
            <w:r>
              <w:rPr>
                <w:rFonts w:hint="eastAsia"/>
                <w:color w:val="FF0000"/>
                <w:szCs w:val="22"/>
                <w:lang w:eastAsia="zh-CN"/>
              </w:rPr>
              <w:t>（须为5人或5人以上单数）</w:t>
            </w:r>
          </w:p>
          <w:p w14:paraId="7C718ACD">
            <w:pPr>
              <w:keepNext w:val="0"/>
              <w:keepLines w:val="0"/>
              <w:pageBreakBefore w:val="0"/>
              <w:kinsoku/>
              <w:wordWrap/>
              <w:overflowPunct/>
              <w:topLinePunct w:val="0"/>
              <w:autoSpaceDE/>
              <w:autoSpaceDN/>
              <w:bidi w:val="0"/>
              <w:adjustRightInd/>
              <w:snapToGrid/>
              <w:spacing w:line="23" w:lineRule="atLeast"/>
              <w:ind w:left="0" w:firstLine="0" w:firstLineChars="0"/>
              <w:textAlignment w:val="auto"/>
              <w:rPr>
                <w:szCs w:val="22"/>
              </w:rPr>
            </w:pPr>
            <w:r>
              <w:rPr>
                <w:szCs w:val="22"/>
              </w:rPr>
              <w:t>其中</w:t>
            </w:r>
            <w:r>
              <w:rPr>
                <w:rFonts w:hint="eastAsia"/>
                <w:szCs w:val="22"/>
                <w:lang w:eastAsia="zh-CN"/>
              </w:rPr>
              <w:t>：</w:t>
            </w:r>
            <w:r>
              <w:rPr>
                <w:szCs w:val="22"/>
              </w:rPr>
              <w:t>招标人代表</w:t>
            </w:r>
            <w:r>
              <w:rPr>
                <w:rFonts w:hint="eastAsia"/>
                <w:szCs w:val="22"/>
                <w:u w:val="single"/>
              </w:rPr>
              <w:t xml:space="preserve">      </w:t>
            </w:r>
            <w:r>
              <w:rPr>
                <w:szCs w:val="22"/>
              </w:rPr>
              <w:t>人，评标专家</w:t>
            </w:r>
            <w:r>
              <w:rPr>
                <w:rFonts w:hint="eastAsia"/>
                <w:szCs w:val="22"/>
                <w:u w:val="single"/>
              </w:rPr>
              <w:t xml:space="preserve">      </w:t>
            </w:r>
            <w:r>
              <w:rPr>
                <w:szCs w:val="22"/>
              </w:rPr>
              <w:t>人</w:t>
            </w:r>
            <w:r>
              <w:rPr>
                <w:rFonts w:hint="eastAsia"/>
                <w:szCs w:val="22"/>
              </w:rPr>
              <w:t>。</w:t>
            </w:r>
          </w:p>
          <w:p w14:paraId="6A485CE7">
            <w:pPr>
              <w:keepNext w:val="0"/>
              <w:keepLines w:val="0"/>
              <w:pageBreakBefore w:val="0"/>
              <w:kinsoku/>
              <w:wordWrap/>
              <w:overflowPunct/>
              <w:topLinePunct w:val="0"/>
              <w:autoSpaceDE/>
              <w:autoSpaceDN/>
              <w:bidi w:val="0"/>
              <w:adjustRightInd/>
              <w:snapToGrid/>
              <w:spacing w:line="23" w:lineRule="atLeast"/>
              <w:ind w:left="0" w:firstLine="0" w:firstLineChars="0"/>
              <w:textAlignment w:val="auto"/>
              <w:rPr>
                <w:szCs w:val="22"/>
              </w:rPr>
            </w:pPr>
            <w:r>
              <w:rPr>
                <w:szCs w:val="22"/>
              </w:rPr>
              <w:t>评标专家确定方式：</w:t>
            </w:r>
            <w:r>
              <w:rPr>
                <w:rFonts w:hint="eastAsia"/>
                <w:szCs w:val="22"/>
                <w:u w:val="single"/>
                <w:lang w:val="en-US" w:eastAsia="zh-CN"/>
              </w:rPr>
              <w:t xml:space="preserve">                        </w:t>
            </w:r>
            <w:r>
              <w:rPr>
                <w:rFonts w:hint="eastAsia"/>
                <w:szCs w:val="22"/>
              </w:rPr>
              <w:t>。</w:t>
            </w:r>
          </w:p>
          <w:p w14:paraId="4791B79F">
            <w:pPr>
              <w:spacing w:line="23" w:lineRule="atLeast"/>
              <w:ind w:left="0" w:leftChars="0" w:firstLine="0" w:firstLineChars="0"/>
              <w:rPr>
                <w:rFonts w:hint="eastAsia" w:ascii="宋体" w:hAnsi="宋体"/>
                <w:color w:val="000000"/>
                <w:szCs w:val="22"/>
              </w:rPr>
            </w:pPr>
            <w:r>
              <w:rPr>
                <w:rFonts w:hint="eastAsia" w:ascii="宋体" w:hAnsi="宋体"/>
                <w:color w:val="000000"/>
                <w:szCs w:val="22"/>
              </w:rPr>
              <w:t>注:1、评标委员会组建时，可增加评标委员会人数，但招标人代表人数不能增加。</w:t>
            </w:r>
          </w:p>
          <w:p w14:paraId="3E8D1E4C">
            <w:pPr>
              <w:spacing w:line="23" w:lineRule="atLeast"/>
              <w:ind w:firstLine="0" w:firstLineChars="0"/>
              <w:rPr>
                <w:rFonts w:hint="eastAsia" w:ascii="宋体" w:hAnsi="宋体"/>
                <w:szCs w:val="22"/>
              </w:rPr>
            </w:pPr>
            <w:r>
              <w:rPr>
                <w:rFonts w:hint="eastAsia" w:ascii="宋体" w:hAnsi="宋体"/>
                <w:color w:val="000000"/>
                <w:szCs w:val="22"/>
              </w:rPr>
              <w:t>2、</w:t>
            </w:r>
            <w:r>
              <w:rPr>
                <w:rFonts w:hint="eastAsia" w:ascii="宋体" w:hAnsi="宋体"/>
                <w:szCs w:val="22"/>
              </w:rPr>
              <w:t>招标人代表按照《成都市发展和改革委员会等10部门关于进一步规范招标投标活动主体行为持续深化系统治理优化营商环境的通知》（成发改法规〔2023〕215号）要求进行委派。</w:t>
            </w:r>
          </w:p>
          <w:p w14:paraId="771449D8">
            <w:pPr>
              <w:keepNext w:val="0"/>
              <w:keepLines w:val="0"/>
              <w:pageBreakBefore w:val="0"/>
              <w:kinsoku/>
              <w:wordWrap/>
              <w:overflowPunct/>
              <w:topLinePunct w:val="0"/>
              <w:autoSpaceDE/>
              <w:autoSpaceDN/>
              <w:bidi w:val="0"/>
              <w:adjustRightInd/>
              <w:snapToGrid/>
              <w:spacing w:line="23" w:lineRule="atLeast"/>
              <w:ind w:left="0" w:firstLine="0" w:firstLineChars="0"/>
              <w:textAlignment w:val="auto"/>
              <w:rPr>
                <w:rFonts w:hint="eastAsia" w:ascii="宋体" w:hAnsi="宋体"/>
                <w:color w:val="000000"/>
                <w:szCs w:val="22"/>
              </w:rPr>
            </w:pPr>
            <w:r>
              <w:rPr>
                <w:rFonts w:ascii="宋体" w:hAnsi="宋体"/>
                <w:szCs w:val="22"/>
              </w:rPr>
              <w:t>3</w:t>
            </w:r>
            <w:r>
              <w:rPr>
                <w:rFonts w:hint="eastAsia" w:ascii="宋体" w:hAnsi="宋体"/>
                <w:szCs w:val="22"/>
              </w:rPr>
              <w:t>、</w:t>
            </w:r>
            <w:r>
              <w:rPr>
                <w:rFonts w:hint="eastAsia" w:ascii="宋体" w:hAnsi="宋体"/>
                <w:color w:val="000000"/>
                <w:szCs w:val="22"/>
              </w:rPr>
              <w:t>评标委员会成员中应有具有一级造价工程师执业资格或具有高级职称（造价专业）的造价专业人员。</w:t>
            </w:r>
          </w:p>
          <w:p w14:paraId="7A671EC7">
            <w:pPr>
              <w:keepNext w:val="0"/>
              <w:keepLines w:val="0"/>
              <w:pageBreakBefore w:val="0"/>
              <w:kinsoku/>
              <w:wordWrap/>
              <w:overflowPunct/>
              <w:topLinePunct w:val="0"/>
              <w:autoSpaceDE/>
              <w:autoSpaceDN/>
              <w:bidi w:val="0"/>
              <w:adjustRightInd/>
              <w:snapToGrid/>
              <w:spacing w:line="23" w:lineRule="atLeast"/>
              <w:ind w:left="0" w:firstLine="0" w:firstLineChars="0"/>
              <w:textAlignment w:val="auto"/>
              <w:rPr>
                <w:rFonts w:hint="eastAsia" w:ascii="宋体" w:hAnsi="宋体"/>
                <w:color w:val="000000"/>
                <w:szCs w:val="22"/>
              </w:rPr>
            </w:pPr>
            <w:r>
              <w:rPr>
                <w:rFonts w:hint="eastAsia" w:ascii="宋体" w:hAnsi="宋体"/>
                <w:color w:val="000000"/>
                <w:szCs w:val="22"/>
              </w:rPr>
              <w:t>4、标底或</w:t>
            </w:r>
            <w:r>
              <w:rPr>
                <w:rFonts w:hint="eastAsia" w:ascii="宋体" w:hAnsi="宋体"/>
                <w:color w:val="000000"/>
                <w:szCs w:val="22"/>
                <w:lang w:eastAsia="zh-CN"/>
              </w:rPr>
              <w:t>最高投标限价</w:t>
            </w:r>
            <w:r>
              <w:rPr>
                <w:rFonts w:hint="eastAsia" w:ascii="宋体" w:hAnsi="宋体"/>
                <w:color w:val="000000"/>
                <w:szCs w:val="22"/>
              </w:rPr>
              <w:t>在 1000 万元以上的招标项目招标人组建的评标委员会中具有一级造价工程师执业资格或具有高级职称（造价专业）的造价专业人员原则上人数不少于3个。</w:t>
            </w:r>
          </w:p>
        </w:tc>
      </w:tr>
      <w:tr w14:paraId="224014F8">
        <w:tblPrEx>
          <w:tblCellMar>
            <w:top w:w="0" w:type="dxa"/>
            <w:left w:w="108" w:type="dxa"/>
            <w:bottom w:w="0" w:type="dxa"/>
            <w:right w:w="108" w:type="dxa"/>
          </w:tblCellMar>
        </w:tblPrEx>
        <w:trPr>
          <w:trHeight w:val="842"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72BA9D1F">
            <w:pPr>
              <w:pStyle w:val="10"/>
              <w:spacing w:line="23" w:lineRule="atLeast"/>
              <w:ind w:left="0"/>
              <w:jc w:val="center"/>
              <w:rPr>
                <w:szCs w:val="22"/>
              </w:rPr>
            </w:pPr>
            <w:r>
              <w:rPr>
                <w:rFonts w:hint="eastAsia"/>
                <w:szCs w:val="22"/>
              </w:rPr>
              <w:t>6.3</w:t>
            </w:r>
          </w:p>
        </w:tc>
        <w:tc>
          <w:tcPr>
            <w:tcW w:w="2001" w:type="dxa"/>
            <w:tcBorders>
              <w:top w:val="single" w:color="auto" w:sz="4" w:space="0"/>
              <w:left w:val="single" w:color="auto" w:sz="4" w:space="0"/>
              <w:bottom w:val="single" w:color="auto" w:sz="4" w:space="0"/>
              <w:right w:val="single" w:color="auto" w:sz="4" w:space="0"/>
            </w:tcBorders>
            <w:vAlign w:val="center"/>
          </w:tcPr>
          <w:p w14:paraId="4F53209F">
            <w:pPr>
              <w:pStyle w:val="10"/>
              <w:spacing w:line="23" w:lineRule="atLeast"/>
              <w:ind w:left="0"/>
              <w:jc w:val="center"/>
              <w:rPr>
                <w:szCs w:val="22"/>
              </w:rPr>
            </w:pPr>
            <w:r>
              <w:rPr>
                <w:rFonts w:hint="eastAsia"/>
                <w:szCs w:val="22"/>
              </w:rPr>
              <w:t>评标办法</w:t>
            </w:r>
          </w:p>
        </w:tc>
        <w:tc>
          <w:tcPr>
            <w:tcW w:w="6892" w:type="dxa"/>
            <w:tcBorders>
              <w:top w:val="single" w:color="auto" w:sz="4" w:space="0"/>
              <w:left w:val="single" w:color="auto" w:sz="4" w:space="0"/>
              <w:bottom w:val="single" w:color="auto" w:sz="4" w:space="0"/>
              <w:right w:val="single" w:color="auto" w:sz="4" w:space="0"/>
            </w:tcBorders>
            <w:vAlign w:val="center"/>
          </w:tcPr>
          <w:p w14:paraId="56EC278E">
            <w:pPr>
              <w:keepNext w:val="0"/>
              <w:keepLines w:val="0"/>
              <w:pageBreakBefore w:val="0"/>
              <w:kinsoku/>
              <w:wordWrap/>
              <w:overflowPunct/>
              <w:topLinePunct w:val="0"/>
              <w:autoSpaceDE/>
              <w:autoSpaceDN/>
              <w:bidi w:val="0"/>
              <w:adjustRightInd/>
              <w:snapToGrid/>
              <w:spacing w:line="23" w:lineRule="atLeast"/>
              <w:textAlignment w:val="auto"/>
              <w:rPr>
                <w:rFonts w:ascii="宋体" w:hAnsi="宋体" w:cs="Wingdings 2"/>
                <w:szCs w:val="22"/>
              </w:rPr>
            </w:pPr>
            <w:r>
              <w:rPr>
                <w:rFonts w:hint="eastAsia" w:ascii="宋体" w:hAnsi="宋体"/>
                <w:szCs w:val="22"/>
              </w:rPr>
              <w:t>○</w:t>
            </w:r>
            <w:r>
              <w:rPr>
                <w:rFonts w:ascii="宋体" w:hAnsi="宋体" w:cs="Wingdings 2"/>
                <w:szCs w:val="22"/>
              </w:rPr>
              <w:t>经评审的最低投标价法</w:t>
            </w:r>
          </w:p>
          <w:p w14:paraId="4CD8E9C4">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rFonts w:cs="宋体"/>
                <w:szCs w:val="22"/>
              </w:rPr>
              <w:t>综合评估法</w:t>
            </w:r>
          </w:p>
        </w:tc>
      </w:tr>
      <w:tr w14:paraId="63EAF93E">
        <w:tblPrEx>
          <w:tblCellMar>
            <w:top w:w="0" w:type="dxa"/>
            <w:left w:w="108" w:type="dxa"/>
            <w:bottom w:w="0" w:type="dxa"/>
            <w:right w:w="108" w:type="dxa"/>
          </w:tblCellMar>
        </w:tblPrEx>
        <w:trPr>
          <w:trHeight w:val="842"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7F565CF8">
            <w:pPr>
              <w:pStyle w:val="10"/>
              <w:spacing w:line="23" w:lineRule="atLeast"/>
              <w:ind w:left="0"/>
              <w:jc w:val="center"/>
              <w:rPr>
                <w:rFonts w:hint="default" w:eastAsia="宋体"/>
                <w:szCs w:val="22"/>
                <w:lang w:val="en-US" w:eastAsia="zh-CN"/>
              </w:rPr>
            </w:pPr>
            <w:r>
              <w:rPr>
                <w:rFonts w:hint="eastAsia"/>
                <w:szCs w:val="22"/>
              </w:rPr>
              <w:t>□</w:t>
            </w:r>
            <w:r>
              <w:rPr>
                <w:rFonts w:hint="eastAsia"/>
                <w:szCs w:val="22"/>
                <w:lang w:val="en-US" w:eastAsia="zh-CN"/>
              </w:rPr>
              <w:t>6.3.1</w:t>
            </w:r>
          </w:p>
        </w:tc>
        <w:tc>
          <w:tcPr>
            <w:tcW w:w="2001" w:type="dxa"/>
            <w:tcBorders>
              <w:top w:val="single" w:color="auto" w:sz="4" w:space="0"/>
              <w:left w:val="single" w:color="auto" w:sz="4" w:space="0"/>
              <w:bottom w:val="single" w:color="auto" w:sz="4" w:space="0"/>
              <w:right w:val="single" w:color="auto" w:sz="4" w:space="0"/>
            </w:tcBorders>
            <w:vAlign w:val="center"/>
          </w:tcPr>
          <w:p w14:paraId="6D34E137">
            <w:pPr>
              <w:pStyle w:val="10"/>
              <w:spacing w:line="23" w:lineRule="atLeast"/>
              <w:ind w:left="0"/>
              <w:jc w:val="center"/>
              <w:rPr>
                <w:rFonts w:hint="eastAsia"/>
                <w:szCs w:val="22"/>
              </w:rPr>
            </w:pPr>
            <w:r>
              <w:rPr>
                <w:rFonts w:hint="eastAsia"/>
                <w:szCs w:val="22"/>
              </w:rPr>
              <w:t>施工组织设计采用暗标</w:t>
            </w:r>
          </w:p>
        </w:tc>
        <w:tc>
          <w:tcPr>
            <w:tcW w:w="6892" w:type="dxa"/>
            <w:tcBorders>
              <w:top w:val="single" w:color="auto" w:sz="4" w:space="0"/>
              <w:left w:val="single" w:color="auto" w:sz="4" w:space="0"/>
              <w:bottom w:val="single" w:color="auto" w:sz="4" w:space="0"/>
              <w:right w:val="single" w:color="auto" w:sz="4" w:space="0"/>
            </w:tcBorders>
            <w:vAlign w:val="center"/>
          </w:tcPr>
          <w:p w14:paraId="1B42E170">
            <w:pPr>
              <w:pStyle w:val="10"/>
              <w:keepNext w:val="0"/>
              <w:keepLines w:val="0"/>
              <w:pageBreakBefore w:val="0"/>
              <w:kinsoku/>
              <w:wordWrap/>
              <w:overflowPunct/>
              <w:topLinePunct w:val="0"/>
              <w:autoSpaceDE/>
              <w:autoSpaceDN/>
              <w:bidi w:val="0"/>
              <w:adjustRightInd/>
              <w:snapToGrid/>
              <w:spacing w:line="23" w:lineRule="atLeast"/>
              <w:ind w:left="0"/>
              <w:textAlignment w:val="auto"/>
              <w:rPr>
                <w:rFonts w:hint="eastAsia" w:eastAsia="宋体"/>
                <w:szCs w:val="22"/>
                <w:lang w:eastAsia="zh-CN"/>
              </w:rPr>
            </w:pPr>
            <w:r>
              <w:rPr>
                <w:rFonts w:hint="eastAsia"/>
                <w:szCs w:val="22"/>
              </w:rPr>
              <w:t>暗标格式见投标人须知6.3.1</w:t>
            </w:r>
            <w:r>
              <w:rPr>
                <w:rFonts w:hint="eastAsia"/>
                <w:szCs w:val="22"/>
                <w:lang w:eastAsia="zh-CN"/>
              </w:rPr>
              <w:t>。</w:t>
            </w:r>
            <w:r>
              <w:rPr>
                <w:rFonts w:hint="eastAsia"/>
                <w:color w:val="FF0000"/>
                <w:szCs w:val="22"/>
                <w:lang w:eastAsia="zh-CN"/>
              </w:rPr>
              <w:t>（</w:t>
            </w:r>
            <w:r>
              <w:rPr>
                <w:rFonts w:hint="eastAsia"/>
                <w:color w:val="FF0000"/>
                <w:szCs w:val="22"/>
                <w:lang w:val="en-US" w:eastAsia="zh-CN"/>
              </w:rPr>
              <w:t>采用暗标盲评须选择本项</w:t>
            </w:r>
            <w:r>
              <w:rPr>
                <w:rFonts w:hint="eastAsia"/>
                <w:color w:val="FF0000"/>
                <w:szCs w:val="22"/>
                <w:lang w:eastAsia="zh-CN"/>
              </w:rPr>
              <w:t>）</w:t>
            </w:r>
          </w:p>
        </w:tc>
      </w:tr>
      <w:tr w14:paraId="65E31D29">
        <w:tblPrEx>
          <w:tblCellMar>
            <w:top w:w="0" w:type="dxa"/>
            <w:left w:w="108" w:type="dxa"/>
            <w:bottom w:w="0" w:type="dxa"/>
            <w:right w:w="108" w:type="dxa"/>
          </w:tblCellMar>
        </w:tblPrEx>
        <w:trPr>
          <w:trHeight w:val="729"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07EDF9BF">
            <w:pPr>
              <w:pStyle w:val="10"/>
              <w:spacing w:line="23" w:lineRule="atLeast"/>
              <w:ind w:left="0"/>
              <w:jc w:val="center"/>
              <w:rPr>
                <w:rFonts w:hint="default" w:eastAsia="宋体"/>
                <w:szCs w:val="22"/>
                <w:lang w:val="en-US" w:eastAsia="zh-CN"/>
              </w:rPr>
            </w:pPr>
            <w:r>
              <w:rPr>
                <w:rFonts w:hint="eastAsia"/>
                <w:szCs w:val="22"/>
              </w:rPr>
              <w:t>□</w:t>
            </w:r>
            <w:r>
              <w:rPr>
                <w:rFonts w:hint="eastAsia"/>
                <w:szCs w:val="22"/>
                <w:lang w:val="en-US" w:eastAsia="zh-CN"/>
              </w:rPr>
              <w:t>6.3.2</w:t>
            </w:r>
          </w:p>
        </w:tc>
        <w:tc>
          <w:tcPr>
            <w:tcW w:w="2001" w:type="dxa"/>
            <w:tcBorders>
              <w:top w:val="single" w:color="auto" w:sz="4" w:space="0"/>
              <w:left w:val="single" w:color="auto" w:sz="4" w:space="0"/>
              <w:bottom w:val="single" w:color="auto" w:sz="4" w:space="0"/>
              <w:right w:val="single" w:color="auto" w:sz="4" w:space="0"/>
            </w:tcBorders>
            <w:vAlign w:val="center"/>
          </w:tcPr>
          <w:p w14:paraId="460A02BF">
            <w:pPr>
              <w:pStyle w:val="10"/>
              <w:spacing w:line="23" w:lineRule="atLeast"/>
              <w:ind w:left="0"/>
              <w:jc w:val="center"/>
              <w:rPr>
                <w:rFonts w:hint="eastAsia"/>
                <w:szCs w:val="22"/>
              </w:rPr>
            </w:pPr>
            <w:r>
              <w:rPr>
                <w:rFonts w:hint="eastAsia"/>
                <w:szCs w:val="22"/>
              </w:rPr>
              <w:t>暗标编制的其他要求</w:t>
            </w:r>
          </w:p>
        </w:tc>
        <w:tc>
          <w:tcPr>
            <w:tcW w:w="6892" w:type="dxa"/>
            <w:tcBorders>
              <w:top w:val="single" w:color="auto" w:sz="4" w:space="0"/>
              <w:left w:val="single" w:color="auto" w:sz="4" w:space="0"/>
              <w:bottom w:val="single" w:color="auto" w:sz="4" w:space="0"/>
              <w:right w:val="single" w:color="auto" w:sz="4" w:space="0"/>
            </w:tcBorders>
            <w:vAlign w:val="center"/>
          </w:tcPr>
          <w:p w14:paraId="140473C6">
            <w:pPr>
              <w:spacing w:line="23" w:lineRule="atLeast"/>
              <w:ind w:firstLine="0" w:firstLineChars="0"/>
              <w:rPr>
                <w:rFonts w:hint="eastAsia" w:ascii="宋体" w:hAnsi="宋体" w:eastAsia="宋体" w:cs="宋体"/>
                <w:b w:val="0"/>
                <w:bCs w:val="0"/>
                <w:i w:val="0"/>
                <w:iCs w:val="0"/>
                <w:color w:val="auto"/>
                <w:sz w:val="22"/>
                <w:szCs w:val="22"/>
                <w:highlight w:val="none"/>
                <w:lang w:val="en-US" w:eastAsia="zh-CN"/>
              </w:rPr>
            </w:pPr>
            <w:r>
              <w:rPr>
                <w:rFonts w:hint="eastAsia"/>
                <w:szCs w:val="22"/>
                <w:u w:val="single"/>
                <w:lang w:val="en-US" w:eastAsia="zh-CN"/>
              </w:rPr>
              <w:t xml:space="preserve">                    </w:t>
            </w:r>
            <w:r>
              <w:rPr>
                <w:rFonts w:hint="eastAsia"/>
                <w:color w:val="FF0000"/>
                <w:szCs w:val="22"/>
                <w:lang w:eastAsia="zh-CN"/>
              </w:rPr>
              <w:t>（</w:t>
            </w:r>
            <w:r>
              <w:rPr>
                <w:rFonts w:hint="eastAsia"/>
                <w:color w:val="FF0000"/>
                <w:szCs w:val="22"/>
                <w:lang w:val="en-US" w:eastAsia="zh-CN"/>
              </w:rPr>
              <w:t>采用暗标盲评须选择本项</w:t>
            </w:r>
            <w:r>
              <w:rPr>
                <w:rFonts w:hint="eastAsia"/>
                <w:color w:val="FF0000"/>
                <w:szCs w:val="22"/>
                <w:lang w:eastAsia="zh-CN"/>
              </w:rPr>
              <w:t>）</w:t>
            </w:r>
          </w:p>
        </w:tc>
      </w:tr>
      <w:tr w14:paraId="2BE91217">
        <w:tblPrEx>
          <w:tblCellMar>
            <w:top w:w="0" w:type="dxa"/>
            <w:left w:w="108" w:type="dxa"/>
            <w:bottom w:w="0" w:type="dxa"/>
            <w:right w:w="108" w:type="dxa"/>
          </w:tblCellMar>
        </w:tblPrEx>
        <w:trPr>
          <w:trHeight w:val="729"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6D766D98">
            <w:pPr>
              <w:pStyle w:val="10"/>
              <w:spacing w:line="23" w:lineRule="atLeast"/>
              <w:ind w:left="0"/>
              <w:jc w:val="center"/>
              <w:rPr>
                <w:szCs w:val="22"/>
              </w:rPr>
            </w:pPr>
            <w:r>
              <w:rPr>
                <w:szCs w:val="22"/>
              </w:rPr>
              <w:t>7.1</w:t>
            </w:r>
          </w:p>
        </w:tc>
        <w:tc>
          <w:tcPr>
            <w:tcW w:w="2001" w:type="dxa"/>
            <w:tcBorders>
              <w:top w:val="single" w:color="auto" w:sz="4" w:space="0"/>
              <w:left w:val="single" w:color="auto" w:sz="4" w:space="0"/>
              <w:bottom w:val="single" w:color="auto" w:sz="4" w:space="0"/>
              <w:right w:val="single" w:color="auto" w:sz="4" w:space="0"/>
            </w:tcBorders>
            <w:vAlign w:val="center"/>
          </w:tcPr>
          <w:p w14:paraId="6D98449F">
            <w:pPr>
              <w:pStyle w:val="10"/>
              <w:spacing w:line="23" w:lineRule="atLeast"/>
              <w:ind w:left="0"/>
              <w:jc w:val="center"/>
              <w:rPr>
                <w:szCs w:val="22"/>
              </w:rPr>
            </w:pPr>
            <w:r>
              <w:rPr>
                <w:rFonts w:hint="eastAsia"/>
                <w:szCs w:val="22"/>
              </w:rPr>
              <w:t>是否授权评标委员会确定中标人</w:t>
            </w:r>
          </w:p>
        </w:tc>
        <w:tc>
          <w:tcPr>
            <w:tcW w:w="6892" w:type="dxa"/>
            <w:tcBorders>
              <w:top w:val="single" w:color="auto" w:sz="4" w:space="0"/>
              <w:left w:val="single" w:color="auto" w:sz="4" w:space="0"/>
              <w:bottom w:val="single" w:color="auto" w:sz="4" w:space="0"/>
              <w:right w:val="single" w:color="auto" w:sz="4" w:space="0"/>
            </w:tcBorders>
            <w:vAlign w:val="center"/>
          </w:tcPr>
          <w:p w14:paraId="65A3BE12">
            <w:pPr>
              <w:spacing w:line="23" w:lineRule="atLeast"/>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cs="宋体"/>
                <w:szCs w:val="22"/>
                <w:highlight w:val="none"/>
              </w:rPr>
              <w:t>○</w:t>
            </w:r>
            <w:r>
              <w:rPr>
                <w:rFonts w:hint="eastAsia" w:ascii="宋体" w:hAnsi="宋体" w:eastAsia="宋体" w:cs="宋体"/>
                <w:b w:val="0"/>
                <w:bCs w:val="0"/>
                <w:color w:val="auto"/>
                <w:sz w:val="22"/>
                <w:szCs w:val="22"/>
                <w:highlight w:val="none"/>
              </w:rPr>
              <w:t>否，</w:t>
            </w:r>
            <w:r>
              <w:rPr>
                <w:rFonts w:hint="eastAsia" w:ascii="宋体" w:hAnsi="宋体" w:eastAsia="宋体" w:cs="宋体"/>
                <w:b w:val="0"/>
                <w:bCs w:val="0"/>
                <w:color w:val="auto"/>
                <w:sz w:val="22"/>
                <w:szCs w:val="22"/>
                <w:highlight w:val="none"/>
                <w:lang w:val="en-US" w:eastAsia="zh-CN"/>
              </w:rPr>
              <w:t>本项目采用中标候选人评定分离机制，</w:t>
            </w:r>
            <w:r>
              <w:rPr>
                <w:rFonts w:hint="eastAsia" w:ascii="宋体" w:hAnsi="宋体" w:eastAsia="宋体" w:cs="宋体"/>
                <w:b w:val="0"/>
                <w:bCs w:val="0"/>
                <w:i w:val="0"/>
                <w:iCs w:val="0"/>
                <w:color w:val="auto"/>
                <w:sz w:val="22"/>
                <w:szCs w:val="22"/>
                <w:highlight w:val="none"/>
                <w:lang w:val="en-US" w:eastAsia="zh-CN"/>
              </w:rPr>
              <w:t>推荐的中标候选人数为3人。当有效投标为2人时，可推荐2人，不足2人时，</w:t>
            </w:r>
            <w:r>
              <w:rPr>
                <w:rFonts w:hint="eastAsia" w:ascii="宋体" w:hAnsi="宋体" w:eastAsia="宋体" w:cs="宋体"/>
                <w:b w:val="0"/>
                <w:bCs w:val="0"/>
                <w:i w:val="0"/>
                <w:iCs w:val="0"/>
                <w:color w:val="auto"/>
                <w:sz w:val="22"/>
                <w:szCs w:val="22"/>
                <w:highlight w:val="none"/>
                <w:u w:val="none"/>
                <w:lang w:val="en-US" w:eastAsia="zh-CN"/>
              </w:rPr>
              <w:t>评标委员会不推荐中标候选</w:t>
            </w:r>
            <w:r>
              <w:rPr>
                <w:rFonts w:hint="eastAsia" w:ascii="宋体" w:hAnsi="宋体" w:eastAsia="宋体" w:cs="宋体"/>
                <w:b w:val="0"/>
                <w:bCs w:val="0"/>
                <w:i w:val="0"/>
                <w:iCs w:val="0"/>
                <w:color w:val="auto"/>
                <w:kern w:val="2"/>
                <w:sz w:val="22"/>
                <w:szCs w:val="22"/>
                <w:highlight w:val="none"/>
                <w:lang w:val="en-US" w:eastAsia="zh-CN" w:bidi="ar-SA"/>
              </w:rPr>
              <w:t>人，本次招标</w:t>
            </w:r>
            <w:r>
              <w:rPr>
                <w:rFonts w:hint="eastAsia" w:ascii="宋体" w:hAnsi="宋体" w:eastAsia="宋体" w:cs="宋体"/>
                <w:b w:val="0"/>
                <w:bCs w:val="0"/>
                <w:color w:val="auto"/>
                <w:sz w:val="22"/>
                <w:szCs w:val="22"/>
                <w:highlight w:val="none"/>
                <w:u w:val="none"/>
                <w:lang w:val="en-US" w:eastAsia="zh-CN"/>
              </w:rPr>
              <w:t>失败</w:t>
            </w:r>
            <w:r>
              <w:rPr>
                <w:rFonts w:hint="eastAsia" w:ascii="宋体" w:hAnsi="宋体" w:eastAsia="宋体" w:cs="宋体"/>
                <w:b w:val="0"/>
                <w:bCs w:val="0"/>
                <w:i w:val="0"/>
                <w:iCs w:val="0"/>
                <w:color w:val="auto"/>
                <w:sz w:val="22"/>
                <w:szCs w:val="22"/>
                <w:highlight w:val="none"/>
                <w:u w:val="none"/>
                <w:lang w:val="en-US" w:eastAsia="zh-CN"/>
              </w:rPr>
              <w:t>。</w:t>
            </w:r>
            <w:r>
              <w:rPr>
                <w:rFonts w:hint="eastAsia" w:ascii="宋体" w:hAnsi="宋体" w:eastAsia="宋体" w:cs="宋体"/>
                <w:b w:val="0"/>
                <w:bCs w:val="0"/>
                <w:i w:val="0"/>
                <w:iCs w:val="0"/>
                <w:color w:val="FF0000"/>
                <w:sz w:val="22"/>
                <w:szCs w:val="22"/>
                <w:highlight w:val="none"/>
                <w:u w:val="none"/>
                <w:lang w:val="en-US" w:eastAsia="zh-CN"/>
              </w:rPr>
              <w:t>（适用于综合评估法）</w:t>
            </w:r>
          </w:p>
          <w:p w14:paraId="6B8B6383">
            <w:pPr>
              <w:spacing w:line="23" w:lineRule="atLeast"/>
              <w:ind w:firstLine="440" w:firstLineChars="200"/>
              <w:rPr>
                <w:rFonts w:hint="eastAsia" w:ascii="宋体" w:hAnsi="宋体" w:eastAsia="宋体" w:cs="宋体"/>
                <w:b w:val="0"/>
                <w:bCs w:val="0"/>
                <w:i w:val="0"/>
                <w:iCs w:val="0"/>
                <w:color w:val="auto"/>
                <w:sz w:val="22"/>
                <w:szCs w:val="22"/>
                <w:highlight w:val="none"/>
                <w:u w:val="none"/>
                <w:lang w:val="en-US" w:eastAsia="zh-CN"/>
              </w:rPr>
            </w:pPr>
            <w:r>
              <w:rPr>
                <w:rFonts w:hint="eastAsia" w:ascii="宋体" w:hAnsi="宋体" w:cs="宋体"/>
                <w:szCs w:val="22"/>
                <w:highlight w:val="none"/>
              </w:rPr>
              <w:t>○</w:t>
            </w:r>
            <w:r>
              <w:rPr>
                <w:rFonts w:hint="eastAsia" w:ascii="宋体" w:hAnsi="宋体" w:eastAsia="宋体" w:cs="宋体"/>
                <w:b w:val="0"/>
                <w:bCs w:val="0"/>
                <w:color w:val="auto"/>
                <w:sz w:val="22"/>
                <w:szCs w:val="22"/>
                <w:highlight w:val="none"/>
              </w:rPr>
              <w:t>否，</w:t>
            </w:r>
            <w:r>
              <w:rPr>
                <w:rFonts w:hint="eastAsia" w:ascii="宋体" w:hAnsi="宋体" w:eastAsia="宋体" w:cs="宋体"/>
                <w:b w:val="0"/>
                <w:bCs w:val="0"/>
                <w:color w:val="auto"/>
                <w:sz w:val="22"/>
                <w:szCs w:val="22"/>
                <w:highlight w:val="none"/>
                <w:lang w:val="en-US" w:eastAsia="zh-CN"/>
              </w:rPr>
              <w:t>本项目采用中标候选人评定分离机制，</w:t>
            </w:r>
            <w:r>
              <w:rPr>
                <w:rFonts w:hint="eastAsia" w:ascii="宋体" w:hAnsi="宋体" w:eastAsia="宋体" w:cs="宋体"/>
                <w:b w:val="0"/>
                <w:bCs w:val="0"/>
                <w:i w:val="0"/>
                <w:iCs w:val="0"/>
                <w:color w:val="auto"/>
                <w:sz w:val="22"/>
                <w:szCs w:val="22"/>
                <w:highlight w:val="none"/>
                <w:lang w:val="en-US" w:eastAsia="zh-CN"/>
              </w:rPr>
              <w:t>推荐的中标候选人数为3人。当有效投标为2人时，可推荐2人，不足2人时，</w:t>
            </w:r>
            <w:r>
              <w:rPr>
                <w:rFonts w:hint="eastAsia" w:ascii="宋体" w:hAnsi="宋体" w:eastAsia="宋体" w:cs="宋体"/>
                <w:b w:val="0"/>
                <w:bCs w:val="0"/>
                <w:i w:val="0"/>
                <w:iCs w:val="0"/>
                <w:color w:val="auto"/>
                <w:sz w:val="22"/>
                <w:szCs w:val="22"/>
                <w:highlight w:val="none"/>
                <w:u w:val="none"/>
                <w:lang w:val="en-US" w:eastAsia="zh-CN"/>
              </w:rPr>
              <w:t>评标委员会不推荐中标候选</w:t>
            </w:r>
            <w:r>
              <w:rPr>
                <w:rFonts w:hint="eastAsia" w:ascii="宋体" w:hAnsi="宋体" w:eastAsia="宋体" w:cs="宋体"/>
                <w:b w:val="0"/>
                <w:bCs w:val="0"/>
                <w:i w:val="0"/>
                <w:iCs w:val="0"/>
                <w:color w:val="auto"/>
                <w:kern w:val="2"/>
                <w:sz w:val="22"/>
                <w:szCs w:val="22"/>
                <w:highlight w:val="none"/>
                <w:lang w:val="en-US" w:eastAsia="zh-CN" w:bidi="ar-SA"/>
              </w:rPr>
              <w:t>人，本次招标</w:t>
            </w:r>
            <w:r>
              <w:rPr>
                <w:rFonts w:hint="eastAsia" w:ascii="宋体" w:hAnsi="宋体" w:eastAsia="宋体" w:cs="宋体"/>
                <w:b w:val="0"/>
                <w:bCs w:val="0"/>
                <w:color w:val="auto"/>
                <w:sz w:val="22"/>
                <w:szCs w:val="22"/>
                <w:highlight w:val="none"/>
                <w:u w:val="none"/>
                <w:lang w:val="en-US" w:eastAsia="zh-CN"/>
              </w:rPr>
              <w:t>失败</w:t>
            </w:r>
            <w:r>
              <w:rPr>
                <w:rFonts w:hint="eastAsia" w:ascii="宋体" w:hAnsi="宋体" w:eastAsia="宋体" w:cs="宋体"/>
                <w:b w:val="0"/>
                <w:bCs w:val="0"/>
                <w:i w:val="0"/>
                <w:iCs w:val="0"/>
                <w:color w:val="auto"/>
                <w:sz w:val="22"/>
                <w:szCs w:val="22"/>
                <w:highlight w:val="none"/>
                <w:u w:val="none"/>
                <w:lang w:val="en-US" w:eastAsia="zh-CN"/>
              </w:rPr>
              <w:t>。</w:t>
            </w:r>
          </w:p>
          <w:p w14:paraId="5B5175F2">
            <w:pPr>
              <w:spacing w:line="23" w:lineRule="atLeast"/>
              <w:ind w:firstLine="440" w:firstLineChars="200"/>
              <w:rPr>
                <w:rFonts w:hint="eastAsia" w:ascii="宋体" w:hAnsi="宋体" w:eastAsia="宋体" w:cs="宋体"/>
                <w:b w:val="0"/>
                <w:bCs w:val="0"/>
                <w:i w:val="0"/>
                <w:iCs w:val="0"/>
                <w:color w:val="auto"/>
                <w:sz w:val="22"/>
                <w:szCs w:val="22"/>
                <w:highlight w:val="none"/>
                <w:lang w:val="en-US" w:eastAsia="zh-CN"/>
              </w:rPr>
            </w:pPr>
            <w:r>
              <w:rPr>
                <w:rFonts w:hint="eastAsia" w:ascii="宋体" w:hAnsi="宋体" w:eastAsia="宋体" w:cs="宋体"/>
                <w:b w:val="0"/>
                <w:bCs w:val="0"/>
                <w:i w:val="0"/>
                <w:iCs w:val="0"/>
                <w:color w:val="auto"/>
                <w:sz w:val="22"/>
                <w:szCs w:val="22"/>
                <w:highlight w:val="none"/>
                <w:lang w:val="en-US" w:eastAsia="zh-CN"/>
              </w:rPr>
              <w:t>采用经评审的最低投标价法时，按照经评审的投标价（即评标价，以下同）由低到高的顺序推荐中标候选人，经评审的投标价相等时，投标报价低的优先。处于同一优先推荐顺序的投标人全部纳入中标候选人。</w:t>
            </w:r>
          </w:p>
          <w:p w14:paraId="115B289C">
            <w:pPr>
              <w:spacing w:line="23" w:lineRule="atLeast"/>
              <w:ind w:firstLine="440" w:firstLineChars="200"/>
              <w:rPr>
                <w:rFonts w:hint="eastAsia" w:ascii="宋体" w:hAnsi="宋体" w:eastAsia="宋体" w:cs="宋体"/>
                <w:b w:val="0"/>
                <w:bCs w:val="0"/>
                <w:i w:val="0"/>
                <w:iCs w:val="0"/>
                <w:color w:val="auto"/>
                <w:sz w:val="22"/>
                <w:szCs w:val="22"/>
                <w:highlight w:val="none"/>
                <w:lang w:val="en-US" w:eastAsia="zh-CN"/>
              </w:rPr>
            </w:pPr>
            <w:r>
              <w:rPr>
                <w:rFonts w:hint="eastAsia" w:ascii="宋体" w:hAnsi="宋体" w:eastAsia="宋体" w:cs="宋体"/>
                <w:b w:val="0"/>
                <w:bCs w:val="0"/>
                <w:i w:val="0"/>
                <w:iCs w:val="0"/>
                <w:color w:val="auto"/>
                <w:sz w:val="22"/>
                <w:szCs w:val="22"/>
                <w:highlight w:val="none"/>
                <w:lang w:val="en-US" w:eastAsia="zh-CN"/>
              </w:rPr>
              <w:t>例：经评审的投标价最低的为3人及以上，则全部推荐为中标候选人，不再推荐经评审的投标价次低的投标人。</w:t>
            </w:r>
          </w:p>
          <w:p w14:paraId="7AF69594">
            <w:pPr>
              <w:spacing w:line="23" w:lineRule="atLeast"/>
              <w:ind w:firstLine="440" w:firstLineChars="200"/>
              <w:rPr>
                <w:rFonts w:hint="eastAsia" w:ascii="宋体" w:hAnsi="宋体" w:eastAsia="宋体" w:cs="宋体"/>
                <w:b w:val="0"/>
                <w:bCs w:val="0"/>
                <w:i w:val="0"/>
                <w:iCs w:val="0"/>
                <w:color w:val="auto"/>
                <w:sz w:val="22"/>
                <w:szCs w:val="22"/>
                <w:highlight w:val="none"/>
                <w:lang w:val="en-US" w:eastAsia="zh-CN"/>
              </w:rPr>
            </w:pPr>
            <w:r>
              <w:rPr>
                <w:rFonts w:hint="eastAsia" w:ascii="宋体" w:hAnsi="宋体" w:eastAsia="宋体" w:cs="宋体"/>
                <w:b w:val="0"/>
                <w:bCs w:val="0"/>
                <w:i w:val="0"/>
                <w:iCs w:val="0"/>
                <w:color w:val="auto"/>
                <w:sz w:val="22"/>
                <w:szCs w:val="22"/>
                <w:highlight w:val="none"/>
                <w:lang w:val="en-US" w:eastAsia="zh-CN"/>
              </w:rPr>
              <w:t>经评审的投标价最低的投标人为2人，经评审的投标价次低的投标人为2人及以上，则以上投标人全部推荐为中标候选人。</w:t>
            </w:r>
          </w:p>
          <w:p w14:paraId="13E81374">
            <w:pPr>
              <w:spacing w:line="23" w:lineRule="atLeast"/>
              <w:ind w:firstLine="440" w:firstLineChars="200"/>
              <w:rPr>
                <w:szCs w:val="22"/>
                <w:highlight w:val="none"/>
              </w:rPr>
            </w:pPr>
            <w:r>
              <w:rPr>
                <w:rFonts w:hint="eastAsia" w:ascii="宋体" w:hAnsi="宋体" w:eastAsia="宋体" w:cs="宋体"/>
                <w:b w:val="0"/>
                <w:bCs w:val="0"/>
                <w:i w:val="0"/>
                <w:iCs w:val="0"/>
                <w:color w:val="auto"/>
                <w:sz w:val="22"/>
                <w:szCs w:val="22"/>
                <w:highlight w:val="none"/>
                <w:lang w:val="en-US" w:eastAsia="zh-CN"/>
              </w:rPr>
              <w:t>其他情形以此类推。</w:t>
            </w:r>
            <w:r>
              <w:rPr>
                <w:rFonts w:hint="eastAsia" w:ascii="宋体" w:hAnsi="宋体" w:eastAsia="宋体" w:cs="宋体"/>
                <w:b w:val="0"/>
                <w:bCs w:val="0"/>
                <w:i w:val="0"/>
                <w:iCs w:val="0"/>
                <w:color w:val="FF0000"/>
                <w:sz w:val="22"/>
                <w:szCs w:val="22"/>
                <w:highlight w:val="none"/>
                <w:u w:val="none"/>
                <w:lang w:val="en-US" w:eastAsia="zh-CN"/>
              </w:rPr>
              <w:t>(适用于</w:t>
            </w:r>
            <w:r>
              <w:rPr>
                <w:rFonts w:hint="eastAsia" w:ascii="宋体" w:hAnsi="宋体" w:cs="宋体"/>
                <w:color w:val="FF0000"/>
                <w:szCs w:val="22"/>
                <w:highlight w:val="none"/>
              </w:rPr>
              <w:t>经评审的最低投标价法标价法</w:t>
            </w:r>
            <w:r>
              <w:rPr>
                <w:rFonts w:hint="eastAsia" w:ascii="宋体" w:hAnsi="宋体" w:eastAsia="宋体" w:cs="宋体"/>
                <w:b w:val="0"/>
                <w:bCs w:val="0"/>
                <w:i w:val="0"/>
                <w:iCs w:val="0"/>
                <w:color w:val="FF0000"/>
                <w:sz w:val="22"/>
                <w:szCs w:val="22"/>
                <w:highlight w:val="none"/>
                <w:u w:val="none"/>
                <w:lang w:val="en-US" w:eastAsia="zh-CN"/>
              </w:rPr>
              <w:t>)</w:t>
            </w:r>
          </w:p>
        </w:tc>
      </w:tr>
      <w:tr w14:paraId="0876C465">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041C5560">
            <w:pPr>
              <w:pStyle w:val="10"/>
              <w:spacing w:line="23" w:lineRule="atLeast"/>
              <w:ind w:left="0"/>
              <w:jc w:val="center"/>
              <w:rPr>
                <w:szCs w:val="22"/>
              </w:rPr>
            </w:pPr>
            <w:r>
              <w:rPr>
                <w:szCs w:val="22"/>
              </w:rPr>
              <w:t>7.</w:t>
            </w:r>
            <w:r>
              <w:rPr>
                <w:rFonts w:hint="eastAsia"/>
                <w:szCs w:val="22"/>
                <w:lang w:val="en-US" w:eastAsia="zh-CN"/>
              </w:rPr>
              <w:t>3</w:t>
            </w:r>
            <w:r>
              <w:rPr>
                <w:szCs w:val="22"/>
              </w:rPr>
              <w:t>.1</w:t>
            </w:r>
          </w:p>
        </w:tc>
        <w:tc>
          <w:tcPr>
            <w:tcW w:w="2001" w:type="dxa"/>
            <w:tcBorders>
              <w:top w:val="single" w:color="auto" w:sz="4" w:space="0"/>
              <w:left w:val="single" w:color="auto" w:sz="4" w:space="0"/>
              <w:bottom w:val="single" w:color="auto" w:sz="4" w:space="0"/>
              <w:right w:val="single" w:color="auto" w:sz="4" w:space="0"/>
            </w:tcBorders>
            <w:vAlign w:val="center"/>
          </w:tcPr>
          <w:p w14:paraId="04B57AEC">
            <w:pPr>
              <w:pStyle w:val="10"/>
              <w:spacing w:line="23" w:lineRule="atLeast"/>
              <w:ind w:left="0"/>
              <w:jc w:val="center"/>
              <w:rPr>
                <w:szCs w:val="22"/>
              </w:rPr>
            </w:pPr>
            <w:r>
              <w:rPr>
                <w:szCs w:val="22"/>
              </w:rPr>
              <w:t>履约担保</w:t>
            </w:r>
          </w:p>
        </w:tc>
        <w:tc>
          <w:tcPr>
            <w:tcW w:w="6892" w:type="dxa"/>
            <w:tcBorders>
              <w:top w:val="single" w:color="auto" w:sz="4" w:space="0"/>
              <w:left w:val="single" w:color="auto" w:sz="4" w:space="0"/>
              <w:bottom w:val="single" w:color="auto" w:sz="4" w:space="0"/>
              <w:right w:val="single" w:color="auto" w:sz="4" w:space="0"/>
            </w:tcBorders>
            <w:vAlign w:val="center"/>
          </w:tcPr>
          <w:p w14:paraId="2ED46515">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szCs w:val="22"/>
              </w:rPr>
              <w:t>不提交</w:t>
            </w:r>
          </w:p>
          <w:p w14:paraId="7811FD32">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szCs w:val="22"/>
              </w:rPr>
              <w:t>提交</w:t>
            </w:r>
          </w:p>
          <w:p w14:paraId="55915CC1">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rFonts w:hint="eastAsia"/>
                <w:szCs w:val="22"/>
              </w:rPr>
              <w:t>履约保证金=（中标价-</w:t>
            </w:r>
            <w:r>
              <w:rPr>
                <w:rFonts w:hint="eastAsia" w:ascii="宋体" w:hAnsi="宋体" w:eastAsia="宋体" w:cs="Times New Roman"/>
                <w:b w:val="0"/>
                <w:bCs w:val="0"/>
                <w:i w:val="0"/>
                <w:szCs w:val="21"/>
                <w:highlight w:val="none"/>
              </w:rPr>
              <w:t>扣除招标暂定部分</w:t>
            </w:r>
            <w:r>
              <w:rPr>
                <w:rFonts w:hint="eastAsia"/>
                <w:szCs w:val="22"/>
              </w:rPr>
              <w:t>）的</w:t>
            </w:r>
            <w:r>
              <w:rPr>
                <w:rFonts w:hint="eastAsia"/>
                <w:szCs w:val="22"/>
                <w:u w:val="single"/>
                <w:lang w:val="en-US" w:eastAsia="zh-CN"/>
              </w:rPr>
              <w:t xml:space="preserve">   </w:t>
            </w:r>
            <w:r>
              <w:rPr>
                <w:rFonts w:hint="eastAsia"/>
                <w:szCs w:val="22"/>
              </w:rPr>
              <w:t>%；</w:t>
            </w:r>
          </w:p>
          <w:p w14:paraId="3739B040">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i w:val="0"/>
                <w:szCs w:val="21"/>
                <w:highlight w:val="none"/>
              </w:rPr>
            </w:pPr>
            <w:r>
              <w:rPr>
                <w:rFonts w:hint="eastAsia" w:ascii="宋体" w:hAnsi="宋体" w:eastAsia="宋体" w:cs="Times New Roman"/>
                <w:b w:val="0"/>
                <w:bCs w:val="0"/>
                <w:i w:val="0"/>
                <w:szCs w:val="21"/>
                <w:highlight w:val="none"/>
              </w:rPr>
              <w:t>投标人可以选用下列形式之一提交履约保证金：</w:t>
            </w:r>
          </w:p>
          <w:p w14:paraId="5D501C8E">
            <w:pPr>
              <w:keepNext w:val="0"/>
              <w:keepLines w:val="0"/>
              <w:suppressLineNumbers w:val="0"/>
              <w:snapToGrid w:val="0"/>
              <w:spacing w:before="0" w:beforeAutospacing="0" w:after="0" w:afterAutospacing="0"/>
              <w:ind w:left="0" w:leftChars="0" w:right="0" w:rightChars="0"/>
              <w:jc w:val="left"/>
              <w:rPr>
                <w:rFonts w:hint="eastAsia" w:ascii="宋体" w:hAnsi="宋体" w:eastAsia="宋体" w:cs="Times New Roman"/>
                <w:b w:val="0"/>
                <w:bCs w:val="0"/>
                <w:i w:val="0"/>
                <w:sz w:val="21"/>
                <w:szCs w:val="21"/>
                <w:highlight w:val="none"/>
                <w:lang w:eastAsia="zh-CN"/>
              </w:rPr>
            </w:pPr>
            <w:r>
              <w:rPr>
                <w:rFonts w:hint="eastAsia" w:ascii="宋体" w:hAnsi="宋体" w:eastAsia="宋体" w:cs="Times New Roman"/>
                <w:b w:val="0"/>
                <w:bCs w:val="0"/>
                <w:i w:val="0"/>
                <w:szCs w:val="21"/>
                <w:highlight w:val="none"/>
              </w:rPr>
              <w:t>（</w:t>
            </w:r>
            <w:r>
              <w:rPr>
                <w:rFonts w:hint="eastAsia" w:ascii="宋体" w:hAnsi="宋体" w:eastAsia="宋体" w:cs="Times New Roman"/>
                <w:b w:val="0"/>
                <w:bCs w:val="0"/>
                <w:i w:val="0"/>
                <w:sz w:val="21"/>
                <w:szCs w:val="21"/>
                <w:highlight w:val="none"/>
                <w:lang w:eastAsia="zh-CN"/>
              </w:rPr>
              <w:t>1）以现金或者支票形式全额提交。采用该形式的履约担保必须通过中标人基本账户以银行转账方式提交。</w:t>
            </w:r>
          </w:p>
          <w:p w14:paraId="5024A84C">
            <w:pPr>
              <w:keepNext w:val="0"/>
              <w:keepLines w:val="0"/>
              <w:suppressLineNumbers w:val="0"/>
              <w:snapToGrid w:val="0"/>
              <w:spacing w:before="0" w:beforeAutospacing="0" w:after="0" w:afterAutospacing="0"/>
              <w:ind w:left="0" w:leftChars="0" w:right="0" w:rightChars="0"/>
              <w:jc w:val="left"/>
              <w:rPr>
                <w:rFonts w:hint="eastAsia" w:ascii="宋体" w:hAnsi="宋体" w:eastAsia="宋体" w:cs="Times New Roman"/>
                <w:b w:val="0"/>
                <w:bCs w:val="0"/>
                <w:i w:val="0"/>
                <w:sz w:val="21"/>
                <w:szCs w:val="21"/>
                <w:highlight w:val="none"/>
                <w:lang w:eastAsia="zh-CN"/>
              </w:rPr>
            </w:pPr>
            <w:r>
              <w:rPr>
                <w:rFonts w:hint="eastAsia" w:ascii="宋体" w:hAnsi="宋体" w:eastAsia="宋体" w:cs="Times New Roman"/>
                <w:b w:val="0"/>
                <w:bCs w:val="0"/>
                <w:i w:val="0"/>
                <w:sz w:val="21"/>
                <w:szCs w:val="21"/>
                <w:highlight w:val="none"/>
                <w:lang w:eastAsia="zh-CN"/>
              </w:rPr>
              <w:t>（2）以银行保函或专业担保公司保函或保险合同形式全额提交。采用该形式的履约担保必须提供银行出具的保函或保险公司出具的保险合同或专业担保公司出具的保函原件。</w:t>
            </w:r>
          </w:p>
          <w:p w14:paraId="141BF061">
            <w:pPr>
              <w:keepNext w:val="0"/>
              <w:keepLines w:val="0"/>
              <w:suppressLineNumbers w:val="0"/>
              <w:snapToGrid w:val="0"/>
              <w:spacing w:before="0" w:beforeAutospacing="0" w:after="0" w:afterAutospacing="0"/>
              <w:ind w:left="0" w:leftChars="0" w:right="0" w:rightChars="0"/>
              <w:jc w:val="left"/>
              <w:rPr>
                <w:rFonts w:hint="eastAsia" w:ascii="宋体" w:hAnsi="宋体" w:eastAsia="宋体" w:cs="Times New Roman"/>
                <w:b w:val="0"/>
                <w:bCs w:val="0"/>
                <w:i w:val="0"/>
                <w:sz w:val="21"/>
                <w:szCs w:val="21"/>
                <w:highlight w:val="none"/>
                <w:lang w:eastAsia="zh-CN"/>
              </w:rPr>
            </w:pPr>
            <w:r>
              <w:rPr>
                <w:rFonts w:hint="eastAsia" w:ascii="宋体" w:hAnsi="宋体" w:eastAsia="宋体" w:cs="Times New Roman"/>
                <w:b w:val="0"/>
                <w:bCs w:val="0"/>
                <w:i w:val="0"/>
                <w:sz w:val="21"/>
                <w:szCs w:val="21"/>
                <w:highlight w:val="none"/>
                <w:lang w:eastAsia="zh-CN"/>
              </w:rPr>
              <w:t>（3）以现金或者支票、银行保函或专业担保公司保函或保险合同形式组合提交。采用现金或者支票形式的履约担保必须通过中标人基本账户以银行转账方式提交；采用银行保函或专业担保公司保函或保险合同形式的履约担保必须提供银行出具的保函或专业担保公司出具的保函或保险公司出具的保险合同原件。</w:t>
            </w:r>
          </w:p>
          <w:p w14:paraId="38814475">
            <w:pPr>
              <w:keepNext w:val="0"/>
              <w:keepLines w:val="0"/>
              <w:suppressLineNumbers w:val="0"/>
              <w:snapToGrid w:val="0"/>
              <w:spacing w:before="0" w:beforeAutospacing="0" w:after="0" w:afterAutospacing="0" w:line="240" w:lineRule="auto"/>
              <w:ind w:left="0" w:leftChars="0" w:right="0" w:rightChars="0"/>
              <w:jc w:val="left"/>
              <w:rPr>
                <w:rFonts w:hint="eastAsia" w:ascii="宋体" w:hAnsi="宋体" w:cs="Times New Roman"/>
                <w:b w:val="0"/>
                <w:bCs w:val="0"/>
                <w:i w:val="0"/>
                <w:color w:val="FF0000"/>
                <w:szCs w:val="21"/>
                <w:highlight w:val="none"/>
                <w:lang w:eastAsia="zh-CN"/>
              </w:rPr>
            </w:pPr>
            <w:r>
              <w:rPr>
                <w:rFonts w:hint="eastAsia" w:ascii="宋体" w:hAnsi="宋体" w:eastAsia="宋体" w:cs="Times New Roman"/>
                <w:b w:val="0"/>
                <w:bCs w:val="0"/>
                <w:i w:val="0"/>
                <w:color w:val="FF0000"/>
                <w:sz w:val="21"/>
                <w:szCs w:val="21"/>
                <w:highlight w:val="none"/>
                <w:lang w:eastAsia="zh-CN"/>
              </w:rPr>
              <w:t>注：</w:t>
            </w:r>
            <w:r>
              <w:rPr>
                <w:rFonts w:hint="eastAsia" w:ascii="宋体" w:hAnsi="宋体" w:cs="Times New Roman"/>
                <w:b w:val="0"/>
                <w:bCs w:val="0"/>
                <w:i w:val="0"/>
                <w:color w:val="FF0000"/>
                <w:sz w:val="21"/>
                <w:szCs w:val="21"/>
                <w:highlight w:val="none"/>
                <w:lang w:val="en-US" w:eastAsia="zh-CN"/>
              </w:rPr>
              <w:t>1、</w:t>
            </w:r>
            <w:r>
              <w:rPr>
                <w:rFonts w:hint="eastAsia" w:ascii="宋体" w:hAnsi="宋体" w:eastAsia="宋体" w:cs="Times New Roman"/>
                <w:b w:val="0"/>
                <w:bCs w:val="0"/>
                <w:i w:val="0"/>
                <w:color w:val="FF0000"/>
                <w:sz w:val="21"/>
                <w:szCs w:val="21"/>
                <w:highlight w:val="none"/>
                <w:lang w:eastAsia="zh-CN"/>
              </w:rPr>
              <w:t>《四川省住房和城乡建设厅中国银行保险监督管理委员会四川监管局关于深入推进建设工程保证保险工作的通知》（川建行规〔2019〕8号）规定：“严格落实国务院清理规范工程建设领域保证金的工作要求，积极推行工程担保制度，支持银行业金融机构、专业担保公司、保险机构作为工程担保保证人开展工程担保业务。建筑企业可以银行保函、专业担保公司担保函、保证保险等方式替代现金缴纳各类保证金，任何单位不得无故拒绝。”</w:t>
            </w:r>
          </w:p>
          <w:p w14:paraId="5F8DBE68">
            <w:pPr>
              <w:pStyle w:val="10"/>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cs="Times New Roman"/>
                <w:b w:val="0"/>
                <w:bCs w:val="0"/>
                <w:i w:val="0"/>
                <w:color w:val="FF0000"/>
                <w:szCs w:val="21"/>
                <w:highlight w:val="none"/>
              </w:rPr>
            </w:pPr>
            <w:r>
              <w:rPr>
                <w:rFonts w:hint="eastAsia" w:cs="Times New Roman"/>
                <w:b w:val="0"/>
                <w:bCs w:val="0"/>
                <w:i w:val="0"/>
                <w:color w:val="FF0000"/>
                <w:szCs w:val="21"/>
                <w:highlight w:val="none"/>
                <w:lang w:val="en-US" w:eastAsia="zh-CN"/>
              </w:rPr>
              <w:t>2、</w:t>
            </w:r>
            <w:r>
              <w:rPr>
                <w:rFonts w:hint="eastAsia" w:ascii="宋体" w:hAnsi="宋体" w:cs="Times New Roman"/>
                <w:b w:val="0"/>
                <w:bCs w:val="0"/>
                <w:i w:val="0"/>
                <w:color w:val="FF0000"/>
                <w:szCs w:val="21"/>
                <w:highlight w:val="none"/>
              </w:rPr>
              <w:t>履约保证金不得超过中标合同金额的10%，招标人不得要求没有法律法规依据的其他任何形式的各类保证金、押金等。</w:t>
            </w:r>
          </w:p>
          <w:p w14:paraId="1E42EFAB">
            <w:pPr>
              <w:pStyle w:val="10"/>
              <w:keepNext w:val="0"/>
              <w:keepLines w:val="0"/>
              <w:pageBreakBefore w:val="0"/>
              <w:kinsoku/>
              <w:wordWrap/>
              <w:overflowPunct/>
              <w:topLinePunct w:val="0"/>
              <w:autoSpaceDE/>
              <w:autoSpaceDN/>
              <w:bidi w:val="0"/>
              <w:adjustRightInd/>
              <w:snapToGrid/>
              <w:spacing w:line="240" w:lineRule="auto"/>
              <w:ind w:left="0"/>
              <w:textAlignment w:val="auto"/>
              <w:rPr>
                <w:rFonts w:hint="eastAsia" w:ascii="宋体" w:hAnsi="宋体" w:cs="Times New Roman"/>
                <w:b w:val="0"/>
                <w:bCs w:val="0"/>
                <w:i w:val="0"/>
                <w:color w:val="FF0000"/>
                <w:szCs w:val="21"/>
                <w:highlight w:val="none"/>
              </w:rPr>
            </w:pPr>
            <w:r>
              <w:rPr>
                <w:rFonts w:hint="eastAsia" w:ascii="宋体" w:hAnsi="宋体" w:cs="Times New Roman"/>
                <w:b w:val="0"/>
                <w:bCs w:val="0"/>
                <w:i w:val="0"/>
                <w:color w:val="FF0000"/>
                <w:szCs w:val="21"/>
                <w:highlight w:val="none"/>
                <w:lang w:val="en-US" w:eastAsia="zh-CN"/>
              </w:rPr>
              <w:t>3、</w:t>
            </w:r>
            <w:r>
              <w:rPr>
                <w:rFonts w:hint="eastAsia" w:ascii="宋体" w:hAnsi="宋体" w:cs="Times New Roman"/>
                <w:b w:val="0"/>
                <w:bCs w:val="0"/>
                <w:i w:val="0"/>
                <w:color w:val="FF0000"/>
                <w:szCs w:val="21"/>
                <w:highlight w:val="none"/>
              </w:rPr>
              <w:t>鼓励招标人按照《关于进一步规范招标投标活动主体行为持续深化系统治理优化营商环境的通知》（成发改法规〔2023〕215号）相关要求，全面推广使用保函(保险)缴纳履约保证金，探索履约保证金减免机制，综合中标单位信用情况、</w:t>
            </w:r>
            <w:bookmarkStart w:id="233" w:name="_GoBack"/>
            <w:bookmarkEnd w:id="233"/>
            <w:r>
              <w:rPr>
                <w:rFonts w:hint="eastAsia" w:ascii="宋体" w:hAnsi="宋体" w:cs="Times New Roman"/>
                <w:b w:val="0"/>
                <w:bCs w:val="0"/>
                <w:i w:val="0"/>
                <w:color w:val="FF0000"/>
                <w:szCs w:val="21"/>
                <w:highlight w:val="none"/>
              </w:rPr>
              <w:t>履约能力等因素，降低缴纳比例或免收履约保证金。</w:t>
            </w:r>
          </w:p>
        </w:tc>
      </w:tr>
      <w:tr w14:paraId="31C78DC1">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65F35B22">
            <w:pPr>
              <w:pStyle w:val="10"/>
              <w:spacing w:line="23" w:lineRule="atLeast"/>
              <w:ind w:left="0"/>
              <w:jc w:val="center"/>
              <w:rPr>
                <w:szCs w:val="22"/>
              </w:rPr>
            </w:pPr>
            <w:r>
              <w:rPr>
                <w:rFonts w:hint="eastAsia"/>
                <w:szCs w:val="22"/>
              </w:rPr>
              <w:t>7.</w:t>
            </w:r>
            <w:r>
              <w:rPr>
                <w:rFonts w:hint="eastAsia"/>
                <w:szCs w:val="22"/>
                <w:lang w:val="en-US" w:eastAsia="zh-CN"/>
              </w:rPr>
              <w:t>4</w:t>
            </w:r>
            <w:r>
              <w:rPr>
                <w:rFonts w:hint="eastAsia"/>
                <w:szCs w:val="22"/>
              </w:rPr>
              <w:t>.3</w:t>
            </w:r>
          </w:p>
        </w:tc>
        <w:tc>
          <w:tcPr>
            <w:tcW w:w="2001" w:type="dxa"/>
            <w:tcBorders>
              <w:top w:val="single" w:color="auto" w:sz="4" w:space="0"/>
              <w:left w:val="single" w:color="auto" w:sz="4" w:space="0"/>
              <w:bottom w:val="single" w:color="auto" w:sz="4" w:space="0"/>
              <w:right w:val="single" w:color="auto" w:sz="4" w:space="0"/>
            </w:tcBorders>
            <w:vAlign w:val="center"/>
          </w:tcPr>
          <w:p w14:paraId="62356987">
            <w:pPr>
              <w:pStyle w:val="10"/>
              <w:spacing w:line="23" w:lineRule="atLeast"/>
              <w:ind w:left="0"/>
              <w:jc w:val="center"/>
              <w:rPr>
                <w:szCs w:val="22"/>
              </w:rPr>
            </w:pPr>
            <w:r>
              <w:rPr>
                <w:szCs w:val="22"/>
              </w:rPr>
              <w:t>签订合同</w:t>
            </w:r>
          </w:p>
        </w:tc>
        <w:tc>
          <w:tcPr>
            <w:tcW w:w="6892" w:type="dxa"/>
            <w:tcBorders>
              <w:top w:val="single" w:color="auto" w:sz="4" w:space="0"/>
              <w:left w:val="single" w:color="auto" w:sz="4" w:space="0"/>
              <w:bottom w:val="single" w:color="auto" w:sz="4" w:space="0"/>
              <w:right w:val="single" w:color="auto" w:sz="4" w:space="0"/>
            </w:tcBorders>
            <w:vAlign w:val="center"/>
          </w:tcPr>
          <w:p w14:paraId="323331C1">
            <w:pPr>
              <w:pStyle w:val="10"/>
              <w:keepNext w:val="0"/>
              <w:keepLines w:val="0"/>
              <w:pageBreakBefore w:val="0"/>
              <w:kinsoku/>
              <w:wordWrap/>
              <w:overflowPunct/>
              <w:topLinePunct w:val="0"/>
              <w:autoSpaceDE/>
              <w:autoSpaceDN/>
              <w:bidi w:val="0"/>
              <w:adjustRightInd/>
              <w:snapToGrid/>
              <w:spacing w:line="23" w:lineRule="atLeast"/>
              <w:ind w:left="0"/>
              <w:textAlignment w:val="auto"/>
              <w:rPr>
                <w:szCs w:val="22"/>
              </w:rPr>
            </w:pPr>
            <w:r>
              <w:rPr>
                <w:szCs w:val="22"/>
              </w:rPr>
              <w:t>合同协议书经双方法定代表人或委托代理人签字并加盖公章后生效。中标人应按其投标文件的承诺，派遣项目班子。在项目实施全过程中，未经招标人同意，并报行政主管部门备案，中标人在投标文件中所报的项目</w:t>
            </w:r>
            <w:r>
              <w:rPr>
                <w:rFonts w:hint="eastAsia"/>
                <w:szCs w:val="22"/>
              </w:rPr>
              <w:t>经理</w:t>
            </w:r>
            <w:r>
              <w:rPr>
                <w:szCs w:val="22"/>
              </w:rPr>
              <w:t>不得更换，项目班子其他人员若有变更，应与招标人协商议定。</w:t>
            </w:r>
          </w:p>
        </w:tc>
      </w:tr>
      <w:tr w14:paraId="2AC260A1">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CB43DE0">
            <w:pPr>
              <w:pStyle w:val="10"/>
              <w:spacing w:line="23" w:lineRule="atLeast"/>
              <w:ind w:left="0"/>
              <w:jc w:val="center"/>
              <w:rPr>
                <w:szCs w:val="22"/>
              </w:rPr>
            </w:pPr>
            <w:r>
              <w:rPr>
                <w:rFonts w:hint="eastAsia"/>
                <w:szCs w:val="22"/>
              </w:rPr>
              <w:t>10</w:t>
            </w:r>
          </w:p>
        </w:tc>
        <w:tc>
          <w:tcPr>
            <w:tcW w:w="8893" w:type="dxa"/>
            <w:gridSpan w:val="2"/>
            <w:tcBorders>
              <w:top w:val="single" w:color="auto" w:sz="4" w:space="0"/>
              <w:left w:val="single" w:color="auto" w:sz="4" w:space="0"/>
              <w:bottom w:val="single" w:color="auto" w:sz="4" w:space="0"/>
              <w:right w:val="single" w:color="auto" w:sz="4" w:space="0"/>
            </w:tcBorders>
            <w:vAlign w:val="center"/>
          </w:tcPr>
          <w:p w14:paraId="3C2A0786">
            <w:pPr>
              <w:pStyle w:val="10"/>
              <w:spacing w:line="23" w:lineRule="atLeast"/>
              <w:ind w:left="0"/>
              <w:jc w:val="center"/>
              <w:rPr>
                <w:szCs w:val="22"/>
              </w:rPr>
            </w:pPr>
            <w:r>
              <w:rPr>
                <w:rFonts w:hint="eastAsia"/>
                <w:szCs w:val="22"/>
              </w:rPr>
              <w:t>需要</w:t>
            </w:r>
            <w:r>
              <w:rPr>
                <w:szCs w:val="22"/>
              </w:rPr>
              <w:t>补充</w:t>
            </w:r>
            <w:r>
              <w:rPr>
                <w:rFonts w:hint="eastAsia"/>
                <w:szCs w:val="22"/>
              </w:rPr>
              <w:t>的其他</w:t>
            </w:r>
            <w:r>
              <w:rPr>
                <w:szCs w:val="22"/>
              </w:rPr>
              <w:t>内容</w:t>
            </w:r>
          </w:p>
        </w:tc>
      </w:tr>
      <w:tr w14:paraId="04E087C1">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629BC947">
            <w:pPr>
              <w:pStyle w:val="10"/>
              <w:spacing w:line="23" w:lineRule="atLeast"/>
              <w:ind w:left="0"/>
              <w:jc w:val="center"/>
              <w:rPr>
                <w:rFonts w:hint="default" w:eastAsia="宋体"/>
                <w:szCs w:val="22"/>
                <w:lang w:val="en-US" w:eastAsia="zh-CN"/>
              </w:rPr>
            </w:pPr>
            <w:r>
              <w:rPr>
                <w:rFonts w:hint="eastAsia"/>
                <w:szCs w:val="22"/>
                <w:lang w:val="en-US" w:eastAsia="zh-CN"/>
              </w:rPr>
              <w:t>10.1</w:t>
            </w:r>
          </w:p>
        </w:tc>
        <w:tc>
          <w:tcPr>
            <w:tcW w:w="2001" w:type="dxa"/>
            <w:tcBorders>
              <w:top w:val="single" w:color="auto" w:sz="4" w:space="0"/>
              <w:left w:val="single" w:color="auto" w:sz="4" w:space="0"/>
              <w:bottom w:val="single" w:color="auto" w:sz="4" w:space="0"/>
              <w:right w:val="single" w:color="auto" w:sz="4" w:space="0"/>
            </w:tcBorders>
            <w:vAlign w:val="center"/>
          </w:tcPr>
          <w:p w14:paraId="30BF0B76">
            <w:pPr>
              <w:pStyle w:val="10"/>
              <w:spacing w:line="23" w:lineRule="atLeast"/>
              <w:ind w:left="220" w:firstLine="0" w:firstLineChars="0"/>
              <w:jc w:val="both"/>
              <w:rPr>
                <w:szCs w:val="22"/>
              </w:rPr>
            </w:pPr>
            <w:r>
              <w:rPr>
                <w:rFonts w:hint="default" w:ascii="宋体" w:hAnsi="宋体" w:eastAsia="宋体" w:cstheme="minorBidi"/>
                <w:b w:val="0"/>
                <w:bCs w:val="0"/>
                <w:kern w:val="2"/>
                <w:sz w:val="22"/>
                <w:szCs w:val="22"/>
                <w:lang w:val="en-US" w:eastAsia="zh-CN" w:bidi="ar"/>
              </w:rPr>
              <w:t>★</w:t>
            </w:r>
            <w:r>
              <w:rPr>
                <w:rFonts w:hint="eastAsia" w:cstheme="minorBidi"/>
                <w:kern w:val="2"/>
                <w:sz w:val="22"/>
                <w:szCs w:val="22"/>
                <w:lang w:val="en-US" w:eastAsia="zh-CN" w:bidi="ar"/>
              </w:rPr>
              <w:t>最高投标限价</w:t>
            </w:r>
          </w:p>
        </w:tc>
        <w:tc>
          <w:tcPr>
            <w:tcW w:w="6892" w:type="dxa"/>
            <w:tcBorders>
              <w:top w:val="single" w:color="auto" w:sz="4" w:space="0"/>
              <w:left w:val="single" w:color="auto" w:sz="4" w:space="0"/>
              <w:bottom w:val="single" w:color="auto" w:sz="4" w:space="0"/>
              <w:right w:val="single" w:color="auto" w:sz="4" w:space="0"/>
            </w:tcBorders>
            <w:vAlign w:val="center"/>
          </w:tcPr>
          <w:p w14:paraId="3E8C2923">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lang w:val="en-US" w:eastAsia="zh-CN"/>
              </w:rPr>
            </w:pPr>
            <w:r>
              <w:rPr>
                <w:rFonts w:hint="eastAsia"/>
                <w:szCs w:val="22"/>
                <w:lang w:val="en-US" w:eastAsia="zh-CN"/>
              </w:rPr>
              <w:t>最高投标限价   元。（其中安全生产措施费为       元；专业工程暂估价:       元；暂列金额：       元；创优质工程奖补偿奖励费：      ；）投标人投标函中填报的金额、投标报价文件中投标总价扉页的金额（修正前）不得超过最高投标限价，否则应否决其投标。</w:t>
            </w:r>
          </w:p>
          <w:p w14:paraId="1FF670F0">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lang w:val="en-US" w:eastAsia="zh-CN"/>
              </w:rPr>
            </w:pPr>
            <w:r>
              <w:rPr>
                <w:rFonts w:hint="eastAsia"/>
                <w:szCs w:val="22"/>
                <w:lang w:val="en-US" w:eastAsia="zh-CN"/>
              </w:rPr>
              <w:t>注：</w:t>
            </w:r>
          </w:p>
          <w:p w14:paraId="7D70523D">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lang w:val="en-US" w:eastAsia="zh-CN"/>
              </w:rPr>
            </w:pPr>
            <w:r>
              <w:rPr>
                <w:rFonts w:hint="eastAsia"/>
                <w:szCs w:val="22"/>
                <w:lang w:val="en-US" w:eastAsia="zh-CN"/>
              </w:rPr>
              <w:t>1、若无价格填"/"。</w:t>
            </w:r>
          </w:p>
          <w:p w14:paraId="2BAA07AF">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lang w:val="en-US" w:eastAsia="zh-CN"/>
              </w:rPr>
            </w:pPr>
            <w:r>
              <w:rPr>
                <w:rFonts w:hint="eastAsia"/>
                <w:szCs w:val="22"/>
                <w:lang w:val="en-US" w:eastAsia="zh-CN"/>
              </w:rPr>
              <w:t>2、招标人在招标文件中公布最高投标限价。最高投标限价应根据拟建工程的工程量清单、招标文件的有关要求、《四川省建设工程工程量清单计价定额》及工程造价管理部门发布的工程造价信息，结合工程项目实际与拟定的合理施工方法进行编制。</w:t>
            </w:r>
          </w:p>
        </w:tc>
      </w:tr>
      <w:tr w14:paraId="1A4DBF57">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4BE4AB99">
            <w:pPr>
              <w:pStyle w:val="10"/>
              <w:spacing w:line="23" w:lineRule="atLeast"/>
              <w:ind w:left="0"/>
              <w:jc w:val="center"/>
              <w:rPr>
                <w:rFonts w:hint="eastAsia" w:eastAsia="宋体"/>
                <w:szCs w:val="22"/>
                <w:lang w:eastAsia="zh-CN"/>
              </w:rPr>
            </w:pPr>
            <w:r>
              <w:rPr>
                <w:rFonts w:hint="eastAsia"/>
                <w:szCs w:val="22"/>
              </w:rPr>
              <w:t>10.</w:t>
            </w:r>
            <w:r>
              <w:rPr>
                <w:rFonts w:hint="eastAsia"/>
                <w:szCs w:val="22"/>
                <w:lang w:val="en-US" w:eastAsia="zh-CN"/>
              </w:rPr>
              <w:t>2</w:t>
            </w:r>
          </w:p>
        </w:tc>
        <w:tc>
          <w:tcPr>
            <w:tcW w:w="2001" w:type="dxa"/>
            <w:tcBorders>
              <w:top w:val="single" w:color="auto" w:sz="4" w:space="0"/>
              <w:left w:val="single" w:color="auto" w:sz="4" w:space="0"/>
              <w:bottom w:val="single" w:color="auto" w:sz="4" w:space="0"/>
              <w:right w:val="single" w:color="auto" w:sz="4" w:space="0"/>
            </w:tcBorders>
            <w:vAlign w:val="center"/>
          </w:tcPr>
          <w:p w14:paraId="78093AF9">
            <w:pPr>
              <w:pStyle w:val="10"/>
              <w:spacing w:line="23" w:lineRule="atLeast"/>
              <w:ind w:left="0"/>
              <w:jc w:val="center"/>
              <w:rPr>
                <w:szCs w:val="22"/>
              </w:rPr>
            </w:pPr>
            <w:r>
              <w:rPr>
                <w:szCs w:val="22"/>
              </w:rPr>
              <w:t>编页码</w:t>
            </w:r>
          </w:p>
        </w:tc>
        <w:tc>
          <w:tcPr>
            <w:tcW w:w="6892" w:type="dxa"/>
            <w:tcBorders>
              <w:top w:val="single" w:color="auto" w:sz="4" w:space="0"/>
              <w:left w:val="single" w:color="auto" w:sz="4" w:space="0"/>
              <w:bottom w:val="single" w:color="auto" w:sz="4" w:space="0"/>
              <w:right w:val="single" w:color="auto" w:sz="4" w:space="0"/>
            </w:tcBorders>
            <w:vAlign w:val="center"/>
          </w:tcPr>
          <w:p w14:paraId="577C3706">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szCs w:val="22"/>
              </w:rPr>
              <w:t>不作统一要求，投标人自定。</w:t>
            </w:r>
          </w:p>
        </w:tc>
      </w:tr>
      <w:tr w14:paraId="658F0C6A">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2D4D0680">
            <w:pPr>
              <w:pStyle w:val="10"/>
              <w:spacing w:line="23" w:lineRule="atLeast"/>
              <w:ind w:left="0"/>
              <w:jc w:val="center"/>
              <w:rPr>
                <w:rFonts w:hint="eastAsia" w:eastAsia="宋体"/>
                <w:szCs w:val="22"/>
                <w:lang w:eastAsia="zh-CN"/>
              </w:rPr>
            </w:pPr>
            <w:r>
              <w:rPr>
                <w:rFonts w:hint="eastAsia"/>
                <w:szCs w:val="22"/>
              </w:rPr>
              <w:t>10.</w:t>
            </w:r>
            <w:r>
              <w:rPr>
                <w:rFonts w:hint="eastAsia"/>
                <w:szCs w:val="22"/>
                <w:lang w:val="en-US" w:eastAsia="zh-CN"/>
              </w:rPr>
              <w:t>3</w:t>
            </w:r>
          </w:p>
        </w:tc>
        <w:tc>
          <w:tcPr>
            <w:tcW w:w="2001" w:type="dxa"/>
            <w:tcBorders>
              <w:top w:val="single" w:color="auto" w:sz="4" w:space="0"/>
              <w:left w:val="single" w:color="auto" w:sz="4" w:space="0"/>
              <w:bottom w:val="single" w:color="auto" w:sz="4" w:space="0"/>
              <w:right w:val="single" w:color="auto" w:sz="4" w:space="0"/>
            </w:tcBorders>
            <w:vAlign w:val="center"/>
          </w:tcPr>
          <w:p w14:paraId="77EA5765">
            <w:pPr>
              <w:pStyle w:val="10"/>
              <w:spacing w:line="23" w:lineRule="atLeast"/>
              <w:ind w:left="0"/>
              <w:jc w:val="center"/>
              <w:rPr>
                <w:szCs w:val="22"/>
              </w:rPr>
            </w:pPr>
            <w:r>
              <w:rPr>
                <w:szCs w:val="22"/>
              </w:rPr>
              <w:t>招标代理服务费</w:t>
            </w:r>
          </w:p>
        </w:tc>
        <w:tc>
          <w:tcPr>
            <w:tcW w:w="6892" w:type="dxa"/>
            <w:tcBorders>
              <w:top w:val="single" w:color="auto" w:sz="4" w:space="0"/>
              <w:left w:val="single" w:color="auto" w:sz="4" w:space="0"/>
              <w:bottom w:val="single" w:color="auto" w:sz="4" w:space="0"/>
              <w:right w:val="single" w:color="auto" w:sz="4" w:space="0"/>
            </w:tcBorders>
            <w:vAlign w:val="center"/>
          </w:tcPr>
          <w:p w14:paraId="45CB5C1E">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szCs w:val="22"/>
              </w:rPr>
              <w:t>不适</w:t>
            </w:r>
            <w:r>
              <w:rPr>
                <w:rFonts w:hint="eastAsia"/>
                <w:szCs w:val="22"/>
              </w:rPr>
              <w:t>用</w:t>
            </w:r>
            <w:r>
              <w:rPr>
                <w:szCs w:val="22"/>
              </w:rPr>
              <w:t>(自行招标)。</w:t>
            </w:r>
          </w:p>
          <w:p w14:paraId="115C0D38">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○招标人支付。</w:t>
            </w:r>
          </w:p>
          <w:p w14:paraId="10ED9B1E">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○中标的投标人支付，支付标准：</w:t>
            </w:r>
            <w:r>
              <w:rPr>
                <w:szCs w:val="22"/>
                <w:u w:val="single"/>
              </w:rPr>
              <w:t xml:space="preserve">            </w:t>
            </w:r>
            <w:r>
              <w:rPr>
                <w:rFonts w:hint="eastAsia"/>
                <w:color w:val="FF0000"/>
                <w:szCs w:val="22"/>
              </w:rPr>
              <w:t>（按照招标代理合同约定填写）</w:t>
            </w:r>
          </w:p>
        </w:tc>
      </w:tr>
      <w:tr w14:paraId="4C9B17E9">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67837607">
            <w:pPr>
              <w:pStyle w:val="10"/>
              <w:spacing w:line="23" w:lineRule="atLeast"/>
              <w:ind w:left="0"/>
              <w:jc w:val="center"/>
              <w:rPr>
                <w:szCs w:val="22"/>
              </w:rPr>
            </w:pPr>
            <w:r>
              <w:rPr>
                <w:rFonts w:hint="eastAsia"/>
                <w:szCs w:val="22"/>
              </w:rPr>
              <w:t>10.</w:t>
            </w:r>
            <w:r>
              <w:rPr>
                <w:rFonts w:hint="eastAsia"/>
                <w:szCs w:val="22"/>
                <w:lang w:val="en-US" w:eastAsia="zh-CN"/>
              </w:rPr>
              <w:t>4</w:t>
            </w:r>
          </w:p>
        </w:tc>
        <w:tc>
          <w:tcPr>
            <w:tcW w:w="2001" w:type="dxa"/>
            <w:tcBorders>
              <w:top w:val="single" w:color="auto" w:sz="4" w:space="0"/>
              <w:left w:val="single" w:color="auto" w:sz="4" w:space="0"/>
              <w:bottom w:val="single" w:color="auto" w:sz="4" w:space="0"/>
              <w:right w:val="single" w:color="auto" w:sz="4" w:space="0"/>
            </w:tcBorders>
            <w:vAlign w:val="center"/>
          </w:tcPr>
          <w:p w14:paraId="145FC157">
            <w:pPr>
              <w:pStyle w:val="10"/>
              <w:spacing w:line="23" w:lineRule="atLeast"/>
              <w:ind w:left="0"/>
              <w:jc w:val="center"/>
              <w:rPr>
                <w:szCs w:val="22"/>
              </w:rPr>
            </w:pPr>
            <w:r>
              <w:rPr>
                <w:szCs w:val="22"/>
              </w:rPr>
              <w:t>★报价唯一</w:t>
            </w:r>
          </w:p>
        </w:tc>
        <w:tc>
          <w:tcPr>
            <w:tcW w:w="6892" w:type="dxa"/>
            <w:tcBorders>
              <w:top w:val="single" w:color="auto" w:sz="4" w:space="0"/>
              <w:left w:val="single" w:color="auto" w:sz="4" w:space="0"/>
              <w:bottom w:val="single" w:color="auto" w:sz="4" w:space="0"/>
              <w:right w:val="single" w:color="auto" w:sz="4" w:space="0"/>
            </w:tcBorders>
            <w:vAlign w:val="center"/>
          </w:tcPr>
          <w:p w14:paraId="34C000BD">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只能有一个有效报价。即：</w:t>
            </w:r>
          </w:p>
          <w:p w14:paraId="15BCEC0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（1）投标报价文件（包括投标函）中的任何单价、合价或总价，不论其大写金额或小写金额均只能有一个。</w:t>
            </w:r>
          </w:p>
          <w:p w14:paraId="3BAAC30F">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（2）投标报价的单位应与公布的</w:t>
            </w:r>
            <w:r>
              <w:rPr>
                <w:rFonts w:hint="eastAsia"/>
                <w:szCs w:val="22"/>
                <w:lang w:eastAsia="zh-CN"/>
              </w:rPr>
              <w:t>最高投标限价</w:t>
            </w:r>
            <w:r>
              <w:rPr>
                <w:rFonts w:hint="eastAsia"/>
                <w:szCs w:val="22"/>
              </w:rPr>
              <w:t>一致（即以</w:t>
            </w:r>
            <w:r>
              <w:rPr>
                <w:rFonts w:hint="eastAsia"/>
                <w:szCs w:val="22"/>
                <w:u w:val="single"/>
                <w:lang w:val="en-US" w:eastAsia="zh-CN"/>
              </w:rPr>
              <w:t xml:space="preserve">   </w:t>
            </w:r>
            <w:r>
              <w:rPr>
                <w:rFonts w:hint="eastAsia"/>
                <w:szCs w:val="22"/>
              </w:rPr>
              <w:t>为单位），小数点后保留位数不作实质性要求。</w:t>
            </w:r>
          </w:p>
        </w:tc>
      </w:tr>
      <w:tr w14:paraId="19B67A6E">
        <w:tblPrEx>
          <w:tblCellMar>
            <w:top w:w="0" w:type="dxa"/>
            <w:left w:w="108" w:type="dxa"/>
            <w:bottom w:w="0" w:type="dxa"/>
            <w:right w:w="108" w:type="dxa"/>
          </w:tblCellMar>
        </w:tblPrEx>
        <w:trPr>
          <w:trHeight w:val="2129"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223E1363">
            <w:pPr>
              <w:pStyle w:val="10"/>
              <w:spacing w:line="23" w:lineRule="atLeast"/>
              <w:ind w:left="0"/>
              <w:jc w:val="center"/>
              <w:rPr>
                <w:rFonts w:hint="eastAsia" w:eastAsia="宋体"/>
                <w:szCs w:val="22"/>
                <w:lang w:eastAsia="zh-CN"/>
              </w:rPr>
            </w:pPr>
            <w:r>
              <w:rPr>
                <w:rFonts w:hint="eastAsia"/>
                <w:szCs w:val="22"/>
              </w:rPr>
              <w:t>10.</w:t>
            </w:r>
            <w:r>
              <w:rPr>
                <w:rFonts w:hint="eastAsia"/>
                <w:szCs w:val="22"/>
                <w:lang w:val="en-US" w:eastAsia="zh-CN"/>
              </w:rPr>
              <w:t>5</w:t>
            </w:r>
          </w:p>
        </w:tc>
        <w:tc>
          <w:tcPr>
            <w:tcW w:w="2001" w:type="dxa"/>
            <w:tcBorders>
              <w:top w:val="single" w:color="auto" w:sz="4" w:space="0"/>
              <w:left w:val="single" w:color="auto" w:sz="4" w:space="0"/>
              <w:bottom w:val="single" w:color="auto" w:sz="4" w:space="0"/>
              <w:right w:val="single" w:color="auto" w:sz="4" w:space="0"/>
            </w:tcBorders>
            <w:vAlign w:val="center"/>
          </w:tcPr>
          <w:p w14:paraId="211DE8F1">
            <w:pPr>
              <w:widowControl/>
              <w:spacing w:line="23" w:lineRule="atLeast"/>
              <w:ind w:left="0"/>
              <w:jc w:val="left"/>
              <w:rPr>
                <w:rFonts w:hint="default" w:eastAsia="宋体"/>
                <w:szCs w:val="22"/>
                <w:lang w:val="en-US" w:eastAsia="zh-CN"/>
              </w:rPr>
            </w:pPr>
            <w:r>
              <w:rPr>
                <w:rFonts w:hint="eastAsia" w:ascii="宋体" w:hAnsi="宋体" w:eastAsia="宋体" w:cs="宋体"/>
                <w:color w:val="000000"/>
                <w:kern w:val="0"/>
                <w:sz w:val="22"/>
                <w:szCs w:val="22"/>
                <w:lang w:val="en-US" w:eastAsia="zh-CN" w:bidi="ar"/>
              </w:rPr>
              <w:t>相关证明材料</w:t>
            </w:r>
          </w:p>
        </w:tc>
        <w:tc>
          <w:tcPr>
            <w:tcW w:w="6892" w:type="dxa"/>
            <w:tcBorders>
              <w:top w:val="single" w:color="auto" w:sz="4" w:space="0"/>
              <w:left w:val="single" w:color="auto" w:sz="4" w:space="0"/>
              <w:bottom w:val="single" w:color="auto" w:sz="4" w:space="0"/>
              <w:right w:val="single" w:color="auto" w:sz="4" w:space="0"/>
            </w:tcBorders>
            <w:vAlign w:val="center"/>
          </w:tcPr>
          <w:p w14:paraId="0361BAEC">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default" w:eastAsia="宋体"/>
                <w:szCs w:val="22"/>
                <w:lang w:val="en-US" w:eastAsia="zh-CN"/>
              </w:rPr>
            </w:pPr>
            <w:r>
              <w:rPr>
                <w:rFonts w:hint="default" w:eastAsia="宋体"/>
                <w:szCs w:val="22"/>
                <w:lang w:val="en-US" w:eastAsia="zh-CN"/>
              </w:rPr>
              <w:t>当投标人的评审价（评审价=算术修正后的投标总价-安全生产措施费-专业工程暂估价-暂列金额-创优质工程奖补偿奖励费，下同）低于最高投标限价相应价格（最高投标限价相应价格=最高投标限价-安全生产措施费-专业工程暂估价-暂列金额-创优质工程奖补偿奖励费，下同）的85%时，投标人应在投标报价中对其低报价进行说明，阐明理由和依据，并在投标文件中附相关证明材料。</w:t>
            </w:r>
          </w:p>
        </w:tc>
      </w:tr>
      <w:tr w14:paraId="2F46E714">
        <w:tblPrEx>
          <w:tblCellMar>
            <w:top w:w="0" w:type="dxa"/>
            <w:left w:w="108" w:type="dxa"/>
            <w:bottom w:w="0" w:type="dxa"/>
            <w:right w:w="108" w:type="dxa"/>
          </w:tblCellMar>
        </w:tblPrEx>
        <w:trPr>
          <w:jc w:val="center"/>
        </w:trPr>
        <w:tc>
          <w:tcPr>
            <w:tcW w:w="935" w:type="dxa"/>
            <w:tcBorders>
              <w:top w:val="single" w:color="auto" w:sz="4" w:space="0"/>
              <w:left w:val="single" w:color="auto" w:sz="4" w:space="0"/>
              <w:right w:val="single" w:color="auto" w:sz="4" w:space="0"/>
            </w:tcBorders>
            <w:vAlign w:val="center"/>
          </w:tcPr>
          <w:p w14:paraId="4A7C1E6E">
            <w:pPr>
              <w:pStyle w:val="10"/>
              <w:spacing w:line="23" w:lineRule="atLeast"/>
              <w:ind w:left="0"/>
              <w:jc w:val="center"/>
              <w:rPr>
                <w:rFonts w:hint="default" w:eastAsia="宋体"/>
                <w:szCs w:val="22"/>
                <w:lang w:val="en-US" w:eastAsia="zh-CN"/>
              </w:rPr>
            </w:pPr>
            <w:r>
              <w:rPr>
                <w:rFonts w:hint="eastAsia"/>
                <w:szCs w:val="22"/>
                <w:lang w:val="en-US" w:eastAsia="zh-CN"/>
              </w:rPr>
              <w:t>10.6</w:t>
            </w:r>
          </w:p>
        </w:tc>
        <w:tc>
          <w:tcPr>
            <w:tcW w:w="2001" w:type="dxa"/>
            <w:tcBorders>
              <w:top w:val="single" w:color="auto" w:sz="4" w:space="0"/>
              <w:left w:val="single" w:color="auto" w:sz="4" w:space="0"/>
              <w:bottom w:val="single" w:color="auto" w:sz="4" w:space="0"/>
              <w:right w:val="single" w:color="auto" w:sz="4" w:space="0"/>
            </w:tcBorders>
            <w:vAlign w:val="center"/>
          </w:tcPr>
          <w:p w14:paraId="0F0823F3">
            <w:pPr>
              <w:pStyle w:val="10"/>
              <w:spacing w:line="23" w:lineRule="atLeast"/>
              <w:ind w:left="0"/>
              <w:jc w:val="center"/>
              <w:rPr>
                <w:rFonts w:hint="eastAsia" w:eastAsia="宋体"/>
                <w:szCs w:val="22"/>
                <w:lang w:val="en-US" w:eastAsia="zh-CN"/>
              </w:rPr>
            </w:pPr>
            <w:r>
              <w:rPr>
                <w:rFonts w:hint="eastAsia"/>
                <w:szCs w:val="22"/>
                <w:lang w:val="en-US" w:eastAsia="zh-CN"/>
              </w:rPr>
              <w:t>中标价</w:t>
            </w:r>
          </w:p>
        </w:tc>
        <w:tc>
          <w:tcPr>
            <w:tcW w:w="6892" w:type="dxa"/>
            <w:tcBorders>
              <w:top w:val="single" w:color="auto" w:sz="4" w:space="0"/>
              <w:left w:val="single" w:color="auto" w:sz="4" w:space="0"/>
              <w:bottom w:val="single" w:color="auto" w:sz="4" w:space="0"/>
              <w:right w:val="single" w:color="auto" w:sz="4" w:space="0"/>
            </w:tcBorders>
            <w:vAlign w:val="center"/>
          </w:tcPr>
          <w:p w14:paraId="6C207C47">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u w:val="none"/>
                <w:lang w:val="en-US" w:eastAsia="zh-CN"/>
              </w:rPr>
            </w:pPr>
            <w:r>
              <w:rPr>
                <w:rFonts w:hint="eastAsia"/>
                <w:szCs w:val="22"/>
                <w:u w:val="none"/>
                <w:lang w:val="en-US" w:eastAsia="zh-CN"/>
              </w:rPr>
              <w:t>按第三章“评标办法”3.1.3对投标报价进行修正的，以投标人接受的修正价格为中标价。</w:t>
            </w:r>
          </w:p>
        </w:tc>
      </w:tr>
      <w:tr w14:paraId="46089970">
        <w:tblPrEx>
          <w:tblCellMar>
            <w:top w:w="0" w:type="dxa"/>
            <w:left w:w="108" w:type="dxa"/>
            <w:bottom w:w="0" w:type="dxa"/>
            <w:right w:w="108" w:type="dxa"/>
          </w:tblCellMar>
        </w:tblPrEx>
        <w:trPr>
          <w:jc w:val="center"/>
        </w:trPr>
        <w:tc>
          <w:tcPr>
            <w:tcW w:w="935" w:type="dxa"/>
            <w:vMerge w:val="restart"/>
            <w:tcBorders>
              <w:top w:val="single" w:color="auto" w:sz="4" w:space="0"/>
              <w:left w:val="single" w:color="auto" w:sz="4" w:space="0"/>
              <w:right w:val="single" w:color="auto" w:sz="4" w:space="0"/>
            </w:tcBorders>
            <w:vAlign w:val="center"/>
          </w:tcPr>
          <w:p w14:paraId="0D0984C4">
            <w:pPr>
              <w:pStyle w:val="10"/>
              <w:spacing w:line="23" w:lineRule="atLeast"/>
              <w:ind w:left="0"/>
              <w:jc w:val="center"/>
              <w:rPr>
                <w:rFonts w:hint="eastAsia" w:eastAsia="宋体"/>
                <w:szCs w:val="22"/>
                <w:lang w:eastAsia="zh-CN"/>
              </w:rPr>
            </w:pPr>
            <w:r>
              <w:rPr>
                <w:rFonts w:hint="eastAsia"/>
                <w:szCs w:val="22"/>
              </w:rPr>
              <w:t>10.</w:t>
            </w:r>
            <w:r>
              <w:rPr>
                <w:rFonts w:hint="eastAsia"/>
                <w:szCs w:val="22"/>
                <w:lang w:val="en-US" w:eastAsia="zh-CN"/>
              </w:rPr>
              <w:t>7</w:t>
            </w:r>
          </w:p>
        </w:tc>
        <w:tc>
          <w:tcPr>
            <w:tcW w:w="2001" w:type="dxa"/>
            <w:tcBorders>
              <w:top w:val="single" w:color="auto" w:sz="4" w:space="0"/>
              <w:left w:val="single" w:color="auto" w:sz="4" w:space="0"/>
              <w:bottom w:val="single" w:color="auto" w:sz="4" w:space="0"/>
              <w:right w:val="single" w:color="auto" w:sz="4" w:space="0"/>
            </w:tcBorders>
            <w:vAlign w:val="center"/>
          </w:tcPr>
          <w:p w14:paraId="5C241751">
            <w:pPr>
              <w:pStyle w:val="10"/>
              <w:spacing w:line="23" w:lineRule="atLeast"/>
              <w:ind w:left="0"/>
              <w:jc w:val="center"/>
              <w:rPr>
                <w:szCs w:val="22"/>
              </w:rPr>
            </w:pPr>
            <w:r>
              <w:rPr>
                <w:szCs w:val="22"/>
              </w:rPr>
              <w:t>确定中标人</w:t>
            </w:r>
          </w:p>
        </w:tc>
        <w:tc>
          <w:tcPr>
            <w:tcW w:w="6892" w:type="dxa"/>
            <w:tcBorders>
              <w:top w:val="single" w:color="auto" w:sz="4" w:space="0"/>
              <w:left w:val="single" w:color="auto" w:sz="4" w:space="0"/>
              <w:bottom w:val="single" w:color="auto" w:sz="4" w:space="0"/>
              <w:right w:val="single" w:color="auto" w:sz="4" w:space="0"/>
            </w:tcBorders>
            <w:vAlign w:val="center"/>
          </w:tcPr>
          <w:p w14:paraId="0FE4296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szCs w:val="22"/>
              </w:rPr>
              <w:t>招标人（或招标人授权的评标委员会）按照评标委员会推荐中标候选人的顺序确定中标人。但当投标人被推荐为中标候选人的合同段数量多于可以中标的合同数量时，按如下方式确定中标人：</w:t>
            </w:r>
          </w:p>
          <w:p w14:paraId="761889CA">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w:t>
            </w:r>
            <w:r>
              <w:rPr>
                <w:szCs w:val="22"/>
              </w:rPr>
              <w:t>由投标人选择中标的合同段。</w:t>
            </w:r>
          </w:p>
          <w:p w14:paraId="18EF636F">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u w:val="none"/>
                <w:lang w:eastAsia="zh-CN"/>
              </w:rPr>
            </w:pPr>
            <w:r>
              <w:rPr>
                <w:rFonts w:hint="eastAsia"/>
                <w:szCs w:val="22"/>
              </w:rPr>
              <w:t>○</w:t>
            </w:r>
            <w:r>
              <w:rPr>
                <w:szCs w:val="22"/>
              </w:rPr>
              <w:t>由招标人选择中标的合同段，招标人选择该投标人中标的合同段的原则是：</w:t>
            </w:r>
            <w:r>
              <w:rPr>
                <w:rFonts w:hint="eastAsia"/>
                <w:szCs w:val="22"/>
                <w:u w:val="single"/>
              </w:rPr>
              <w:t xml:space="preserve">             </w:t>
            </w:r>
            <w:r>
              <w:rPr>
                <w:rFonts w:hint="eastAsia"/>
                <w:szCs w:val="22"/>
                <w:u w:val="none"/>
                <w:lang w:eastAsia="zh-CN"/>
              </w:rPr>
              <w:t>。</w:t>
            </w:r>
          </w:p>
          <w:p w14:paraId="12A635CE">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u w:val="none"/>
                <w:lang w:eastAsia="zh-CN"/>
              </w:rPr>
            </w:pPr>
            <w:r>
              <w:rPr>
                <w:rFonts w:hint="eastAsia"/>
                <w:szCs w:val="22"/>
                <w:u w:val="none"/>
                <w:lang w:val="en-US" w:eastAsia="zh-CN"/>
              </w:rPr>
              <w:t>注：根据《四川省发展和改革委员会等部门关于扩面推广工程建设项目招标投标中标候选人评定分离机制的通知》，我省依法必须招标的国家投资工程建设项目，原则上应当使用中标候选人评定分离机制确定中标人。招标人按照定标方案从评标委员会推荐的中标候选人范围内确定中标人。中标人有放弃中标、因不可抗力不能履行合同、不按照招标文件要求提交履约保证金，或者被查实存在影响中标结果的违法行为等情形，不符合中标条件的，可在其余中标候选人中另行确定中标人或重新招标。所有中标人都被取消资格的，重新招标。</w:t>
            </w:r>
          </w:p>
        </w:tc>
      </w:tr>
      <w:tr w14:paraId="714FD62F">
        <w:tblPrEx>
          <w:tblCellMar>
            <w:top w:w="0" w:type="dxa"/>
            <w:left w:w="108" w:type="dxa"/>
            <w:bottom w:w="0" w:type="dxa"/>
            <w:right w:w="108" w:type="dxa"/>
          </w:tblCellMar>
        </w:tblPrEx>
        <w:trPr>
          <w:jc w:val="center"/>
        </w:trPr>
        <w:tc>
          <w:tcPr>
            <w:tcW w:w="935" w:type="dxa"/>
            <w:vMerge w:val="continue"/>
            <w:tcBorders>
              <w:left w:val="single" w:color="auto" w:sz="4" w:space="0"/>
              <w:bottom w:val="single" w:color="auto" w:sz="4" w:space="0"/>
              <w:right w:val="single" w:color="auto" w:sz="4" w:space="0"/>
            </w:tcBorders>
            <w:vAlign w:val="center"/>
          </w:tcPr>
          <w:p w14:paraId="05A21140">
            <w:pPr>
              <w:pStyle w:val="10"/>
              <w:spacing w:line="23" w:lineRule="atLeast"/>
              <w:ind w:left="0"/>
              <w:jc w:val="center"/>
              <w:rPr>
                <w:rFonts w:hint="eastAsia"/>
                <w:szCs w:val="22"/>
              </w:rPr>
            </w:pPr>
          </w:p>
        </w:tc>
        <w:tc>
          <w:tcPr>
            <w:tcW w:w="2001" w:type="dxa"/>
            <w:tcBorders>
              <w:top w:val="single" w:color="auto" w:sz="4" w:space="0"/>
              <w:left w:val="single" w:color="auto" w:sz="4" w:space="0"/>
              <w:bottom w:val="single" w:color="auto" w:sz="4" w:space="0"/>
              <w:right w:val="single" w:color="auto" w:sz="4" w:space="0"/>
            </w:tcBorders>
            <w:vAlign w:val="center"/>
          </w:tcPr>
          <w:p w14:paraId="3D0841FB">
            <w:pPr>
              <w:pStyle w:val="10"/>
              <w:spacing w:line="23" w:lineRule="atLeast"/>
              <w:ind w:left="0"/>
              <w:jc w:val="center"/>
              <w:rPr>
                <w:rFonts w:hint="default" w:eastAsia="宋体"/>
                <w:szCs w:val="22"/>
                <w:lang w:val="en-US" w:eastAsia="zh-CN"/>
              </w:rPr>
            </w:pPr>
            <w:r>
              <w:rPr>
                <w:rFonts w:hint="eastAsia"/>
                <w:szCs w:val="22"/>
                <w:lang w:val="en-US" w:eastAsia="zh-CN"/>
              </w:rPr>
              <w:t>定标方案</w:t>
            </w:r>
          </w:p>
        </w:tc>
        <w:tc>
          <w:tcPr>
            <w:tcW w:w="6892" w:type="dxa"/>
            <w:tcBorders>
              <w:top w:val="single" w:color="auto" w:sz="4" w:space="0"/>
              <w:left w:val="single" w:color="auto" w:sz="4" w:space="0"/>
              <w:bottom w:val="single" w:color="auto" w:sz="4" w:space="0"/>
              <w:right w:val="single" w:color="auto" w:sz="4" w:space="0"/>
            </w:tcBorders>
            <w:vAlign w:val="center"/>
          </w:tcPr>
          <w:p w14:paraId="06161FC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default"/>
                <w:szCs w:val="22"/>
                <w:u w:val="none"/>
                <w:lang w:val="en-US" w:eastAsia="zh-CN"/>
              </w:rPr>
            </w:pPr>
            <w:r>
              <w:rPr>
                <w:rFonts w:hint="default"/>
                <w:szCs w:val="22"/>
                <w:u w:val="none"/>
                <w:lang w:val="en-US" w:eastAsia="zh-CN"/>
              </w:rPr>
              <w:t>详见第九章定标方案。</w:t>
            </w:r>
          </w:p>
        </w:tc>
      </w:tr>
      <w:tr w14:paraId="603D4DE5">
        <w:tblPrEx>
          <w:tblCellMar>
            <w:top w:w="0" w:type="dxa"/>
            <w:left w:w="108" w:type="dxa"/>
            <w:bottom w:w="0" w:type="dxa"/>
            <w:right w:w="108" w:type="dxa"/>
          </w:tblCellMar>
        </w:tblPrEx>
        <w:trPr>
          <w:trHeight w:val="1156"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59C4A08A">
            <w:pPr>
              <w:pStyle w:val="10"/>
              <w:spacing w:line="23" w:lineRule="atLeast"/>
              <w:ind w:left="0"/>
              <w:jc w:val="center"/>
              <w:rPr>
                <w:rFonts w:hint="eastAsia" w:eastAsia="宋体"/>
                <w:szCs w:val="22"/>
                <w:lang w:eastAsia="zh-CN"/>
              </w:rPr>
            </w:pPr>
            <w:r>
              <w:rPr>
                <w:rFonts w:hint="eastAsia"/>
                <w:szCs w:val="22"/>
              </w:rPr>
              <w:t>10.</w:t>
            </w:r>
            <w:r>
              <w:rPr>
                <w:rFonts w:hint="eastAsia"/>
                <w:szCs w:val="22"/>
                <w:lang w:val="en-US" w:eastAsia="zh-CN"/>
              </w:rPr>
              <w:t>8</w:t>
            </w:r>
          </w:p>
        </w:tc>
        <w:tc>
          <w:tcPr>
            <w:tcW w:w="2001" w:type="dxa"/>
            <w:tcBorders>
              <w:top w:val="single" w:color="auto" w:sz="4" w:space="0"/>
              <w:left w:val="single" w:color="auto" w:sz="4" w:space="0"/>
              <w:bottom w:val="single" w:color="auto" w:sz="4" w:space="0"/>
              <w:right w:val="single" w:color="auto" w:sz="4" w:space="0"/>
            </w:tcBorders>
            <w:vAlign w:val="center"/>
          </w:tcPr>
          <w:p w14:paraId="7C85A45D">
            <w:pPr>
              <w:pStyle w:val="10"/>
              <w:spacing w:line="23" w:lineRule="atLeast"/>
              <w:ind w:left="0"/>
              <w:jc w:val="center"/>
              <w:rPr>
                <w:szCs w:val="22"/>
              </w:rPr>
            </w:pPr>
            <w:r>
              <w:rPr>
                <w:rFonts w:hint="eastAsia"/>
                <w:szCs w:val="22"/>
              </w:rPr>
              <w:t>压证施工制度</w:t>
            </w:r>
          </w:p>
        </w:tc>
        <w:tc>
          <w:tcPr>
            <w:tcW w:w="6892" w:type="dxa"/>
            <w:tcBorders>
              <w:top w:val="single" w:color="auto" w:sz="4" w:space="0"/>
              <w:left w:val="single" w:color="auto" w:sz="4" w:space="0"/>
              <w:bottom w:val="single" w:color="auto" w:sz="4" w:space="0"/>
              <w:right w:val="single" w:color="auto" w:sz="4" w:space="0"/>
            </w:tcBorders>
            <w:vAlign w:val="center"/>
          </w:tcPr>
          <w:p w14:paraId="6995BC78">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实行</w:t>
            </w:r>
            <w:r>
              <w:rPr>
                <w:rFonts w:hint="eastAsia"/>
                <w:szCs w:val="22"/>
                <w:u w:val="none"/>
              </w:rPr>
              <w:t>项目经理</w:t>
            </w:r>
            <w:r>
              <w:rPr>
                <w:rFonts w:hint="eastAsia"/>
                <w:szCs w:val="22"/>
              </w:rPr>
              <w:t>压证施工制度。投标文件承诺的施工负责人的执业资格证书原件，须在签订合同前由中标人提供给项目业主，合同标</w:t>
            </w:r>
            <w:r>
              <w:rPr>
                <w:rFonts w:hint="eastAsia"/>
                <w:szCs w:val="22"/>
                <w:lang w:eastAsia="zh-CN"/>
              </w:rPr>
              <w:t>的</w:t>
            </w:r>
            <w:r>
              <w:rPr>
                <w:rFonts w:hint="eastAsia"/>
                <w:szCs w:val="22"/>
              </w:rPr>
              <w:t>主体工程完工后方予退还。</w:t>
            </w:r>
          </w:p>
        </w:tc>
      </w:tr>
      <w:tr w14:paraId="5F8ED908">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13A01D1">
            <w:pPr>
              <w:pStyle w:val="10"/>
              <w:spacing w:line="23" w:lineRule="atLeast"/>
              <w:ind w:left="0"/>
              <w:jc w:val="center"/>
              <w:rPr>
                <w:rFonts w:hint="eastAsia" w:eastAsia="宋体"/>
                <w:szCs w:val="22"/>
                <w:lang w:eastAsia="zh-CN"/>
              </w:rPr>
            </w:pPr>
            <w:r>
              <w:rPr>
                <w:rFonts w:hint="eastAsia"/>
                <w:szCs w:val="22"/>
              </w:rPr>
              <w:t>10.</w:t>
            </w:r>
            <w:r>
              <w:rPr>
                <w:rFonts w:hint="eastAsia"/>
                <w:szCs w:val="22"/>
                <w:lang w:val="en-US" w:eastAsia="zh-CN"/>
              </w:rPr>
              <w:t>9</w:t>
            </w:r>
          </w:p>
        </w:tc>
        <w:tc>
          <w:tcPr>
            <w:tcW w:w="2001" w:type="dxa"/>
            <w:tcBorders>
              <w:top w:val="single" w:color="auto" w:sz="4" w:space="0"/>
              <w:left w:val="single" w:color="auto" w:sz="4" w:space="0"/>
              <w:bottom w:val="single" w:color="auto" w:sz="4" w:space="0"/>
              <w:right w:val="single" w:color="auto" w:sz="4" w:space="0"/>
            </w:tcBorders>
            <w:vAlign w:val="center"/>
          </w:tcPr>
          <w:p w14:paraId="0919E5D6">
            <w:pPr>
              <w:pStyle w:val="10"/>
              <w:spacing w:line="23" w:lineRule="atLeast"/>
              <w:ind w:left="0"/>
              <w:jc w:val="center"/>
              <w:rPr>
                <w:szCs w:val="22"/>
              </w:rPr>
            </w:pPr>
            <w:r>
              <w:rPr>
                <w:rFonts w:hint="eastAsia"/>
                <w:szCs w:val="22"/>
              </w:rPr>
              <w:t>严禁转包和违法分包</w:t>
            </w:r>
          </w:p>
        </w:tc>
        <w:tc>
          <w:tcPr>
            <w:tcW w:w="6892" w:type="dxa"/>
            <w:tcBorders>
              <w:top w:val="single" w:color="auto" w:sz="4" w:space="0"/>
              <w:left w:val="single" w:color="auto" w:sz="4" w:space="0"/>
              <w:bottom w:val="single" w:color="auto" w:sz="4" w:space="0"/>
              <w:right w:val="single" w:color="auto" w:sz="4" w:space="0"/>
            </w:tcBorders>
            <w:vAlign w:val="center"/>
          </w:tcPr>
          <w:p w14:paraId="323B4C75">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中标人在合同履行中，不得存在《建筑工程施工发包与承包违法行为认定查处管理办法》（建市规〔2019〕1号）规定的转包和违法分包的情形。</w:t>
            </w:r>
          </w:p>
        </w:tc>
      </w:tr>
      <w:tr w14:paraId="25703E5F">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E46766D">
            <w:pPr>
              <w:pStyle w:val="10"/>
              <w:spacing w:line="23" w:lineRule="atLeast"/>
              <w:ind w:left="0"/>
              <w:jc w:val="center"/>
              <w:rPr>
                <w:rFonts w:hint="default" w:eastAsia="宋体"/>
                <w:szCs w:val="22"/>
                <w:lang w:val="en-US" w:eastAsia="zh-CN"/>
              </w:rPr>
            </w:pPr>
            <w:r>
              <w:rPr>
                <w:rFonts w:hint="eastAsia"/>
                <w:szCs w:val="22"/>
              </w:rPr>
              <w:t>10.</w:t>
            </w:r>
            <w:r>
              <w:rPr>
                <w:rFonts w:hint="eastAsia"/>
                <w:szCs w:val="22"/>
                <w:lang w:val="en-US" w:eastAsia="zh-CN"/>
              </w:rPr>
              <w:t>10</w:t>
            </w:r>
          </w:p>
        </w:tc>
        <w:tc>
          <w:tcPr>
            <w:tcW w:w="2001" w:type="dxa"/>
            <w:tcBorders>
              <w:top w:val="single" w:color="auto" w:sz="4" w:space="0"/>
              <w:left w:val="single" w:color="auto" w:sz="4" w:space="0"/>
              <w:bottom w:val="single" w:color="auto" w:sz="4" w:space="0"/>
              <w:right w:val="single" w:color="auto" w:sz="4" w:space="0"/>
            </w:tcBorders>
            <w:vAlign w:val="center"/>
          </w:tcPr>
          <w:p w14:paraId="72F8366A">
            <w:pPr>
              <w:pStyle w:val="10"/>
              <w:spacing w:line="23" w:lineRule="atLeast"/>
              <w:ind w:left="0"/>
              <w:jc w:val="center"/>
              <w:rPr>
                <w:szCs w:val="22"/>
              </w:rPr>
            </w:pPr>
            <w:r>
              <w:rPr>
                <w:szCs w:val="22"/>
              </w:rPr>
              <w:t>★投标文件的</w:t>
            </w:r>
          </w:p>
          <w:p w14:paraId="11BEB626">
            <w:pPr>
              <w:pStyle w:val="10"/>
              <w:spacing w:line="23" w:lineRule="atLeast"/>
              <w:ind w:left="0"/>
              <w:jc w:val="center"/>
              <w:rPr>
                <w:szCs w:val="22"/>
              </w:rPr>
            </w:pPr>
            <w:r>
              <w:rPr>
                <w:szCs w:val="22"/>
              </w:rPr>
              <w:t>真实性要求</w:t>
            </w:r>
          </w:p>
        </w:tc>
        <w:tc>
          <w:tcPr>
            <w:tcW w:w="6892" w:type="dxa"/>
            <w:tcBorders>
              <w:top w:val="single" w:color="auto" w:sz="4" w:space="0"/>
              <w:left w:val="single" w:color="auto" w:sz="4" w:space="0"/>
              <w:bottom w:val="single" w:color="auto" w:sz="4" w:space="0"/>
              <w:right w:val="single" w:color="auto" w:sz="4" w:space="0"/>
            </w:tcBorders>
            <w:vAlign w:val="center"/>
          </w:tcPr>
          <w:p w14:paraId="7F885504">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投标人所递交的投标文件（包括有关资料、澄清）应不存在弄虚作假或隐瞒。</w:t>
            </w:r>
          </w:p>
          <w:p w14:paraId="1BE116FD">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投标人声明不存在限制投标情形但被发现存在限制投标情形的，属于隐瞒情形（单位负责人为同一人或者存在控股、管理关系的不同单位，在同一标段投标或者未划分标段的同一招标项目投标，若投标人在投标文件中已填报上述信息的，不属于隐瞒情形）。</w:t>
            </w:r>
          </w:p>
          <w:p w14:paraId="5B4C10A0">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szCs w:val="22"/>
              </w:rPr>
              <w:t>如投标文件存在弄虚作假或隐瞒，在评标阶段发现的，评标委员会应将该投标文件作否决投标处理；中标候选人确定后发现的，招标人依照《中华人民共和国招标投标法实施条例》第五十五条的规定处理。</w:t>
            </w:r>
          </w:p>
        </w:tc>
      </w:tr>
      <w:tr w14:paraId="5659490A">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52D45B07">
            <w:pPr>
              <w:pStyle w:val="10"/>
              <w:spacing w:line="23" w:lineRule="atLeast"/>
              <w:ind w:left="0"/>
              <w:jc w:val="center"/>
              <w:rPr>
                <w:rFonts w:hint="default" w:eastAsia="宋体"/>
                <w:szCs w:val="22"/>
                <w:lang w:val="en-US" w:eastAsia="zh-CN"/>
              </w:rPr>
            </w:pPr>
            <w:r>
              <w:rPr>
                <w:rFonts w:hint="eastAsia"/>
                <w:szCs w:val="22"/>
              </w:rPr>
              <w:t>10.</w:t>
            </w:r>
            <w:r>
              <w:rPr>
                <w:rFonts w:hint="eastAsia"/>
                <w:szCs w:val="22"/>
                <w:lang w:val="en-US" w:eastAsia="zh-CN"/>
              </w:rPr>
              <w:t>12</w:t>
            </w:r>
          </w:p>
        </w:tc>
        <w:tc>
          <w:tcPr>
            <w:tcW w:w="2001" w:type="dxa"/>
            <w:tcBorders>
              <w:top w:val="single" w:color="auto" w:sz="4" w:space="0"/>
              <w:left w:val="single" w:color="auto" w:sz="4" w:space="0"/>
              <w:bottom w:val="single" w:color="auto" w:sz="4" w:space="0"/>
              <w:right w:val="single" w:color="auto" w:sz="4" w:space="0"/>
            </w:tcBorders>
            <w:vAlign w:val="center"/>
          </w:tcPr>
          <w:p w14:paraId="454DCFD3">
            <w:pPr>
              <w:pStyle w:val="10"/>
              <w:spacing w:line="23" w:lineRule="atLeast"/>
              <w:ind w:left="0"/>
              <w:jc w:val="center"/>
              <w:rPr>
                <w:szCs w:val="22"/>
              </w:rPr>
            </w:pPr>
            <w:r>
              <w:rPr>
                <w:szCs w:val="22"/>
              </w:rPr>
              <w:t>招标文件内容冲突的解决及优先适用次序</w:t>
            </w:r>
          </w:p>
        </w:tc>
        <w:tc>
          <w:tcPr>
            <w:tcW w:w="6892" w:type="dxa"/>
            <w:tcBorders>
              <w:top w:val="single" w:color="auto" w:sz="4" w:space="0"/>
              <w:left w:val="single" w:color="auto" w:sz="4" w:space="0"/>
              <w:bottom w:val="single" w:color="auto" w:sz="4" w:space="0"/>
              <w:right w:val="single" w:color="auto" w:sz="4" w:space="0"/>
            </w:tcBorders>
            <w:vAlign w:val="center"/>
          </w:tcPr>
          <w:p w14:paraId="2D765ADF">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招标文件中招标人编制的内容前后有矛盾或不一致，有时间先后顺序的，以时间在后的修改、澄清或补正文件为准；没有时间先后顺序的，以公平的原则进行处理。投标人须知前附表和招标文件中“注”的内容与正文不一致时，以投标人须知前附表和招标文件中“注”的内容为准。</w:t>
            </w:r>
          </w:p>
          <w:p w14:paraId="3C6BE0E1">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对招标文件的内容理解有争议的，由招标人按照招标文件所使用的词句、招标文件的有关条款、招标的目的、习惯以及诚实信用原则，确定该条款的真实意思，有两种以上解释的，作出不利于招标人一方的解释。</w:t>
            </w:r>
          </w:p>
        </w:tc>
      </w:tr>
      <w:tr w14:paraId="3EFAF00C">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17D4273D">
            <w:pPr>
              <w:pStyle w:val="10"/>
              <w:spacing w:line="23" w:lineRule="atLeast"/>
              <w:ind w:left="0"/>
              <w:jc w:val="center"/>
              <w:rPr>
                <w:rFonts w:hint="default" w:eastAsia="宋体"/>
                <w:szCs w:val="22"/>
                <w:lang w:val="en-US" w:eastAsia="zh-CN"/>
              </w:rPr>
            </w:pPr>
            <w:r>
              <w:rPr>
                <w:rFonts w:hint="eastAsia"/>
                <w:szCs w:val="22"/>
                <w:lang w:val="en-US" w:eastAsia="zh-CN"/>
              </w:rPr>
              <w:t>10.13</w:t>
            </w:r>
          </w:p>
        </w:tc>
        <w:tc>
          <w:tcPr>
            <w:tcW w:w="2001" w:type="dxa"/>
            <w:tcBorders>
              <w:top w:val="single" w:color="auto" w:sz="4" w:space="0"/>
              <w:left w:val="single" w:color="auto" w:sz="4" w:space="0"/>
              <w:bottom w:val="single" w:color="auto" w:sz="4" w:space="0"/>
              <w:right w:val="single" w:color="auto" w:sz="4" w:space="0"/>
            </w:tcBorders>
            <w:vAlign w:val="center"/>
          </w:tcPr>
          <w:p w14:paraId="2A8114DC">
            <w:pPr>
              <w:spacing w:line="23" w:lineRule="atLeast"/>
              <w:jc w:val="center"/>
              <w:rPr>
                <w:szCs w:val="22"/>
              </w:rPr>
            </w:pPr>
            <w:r>
              <w:rPr>
                <w:rFonts w:hint="eastAsia" w:ascii="宋体" w:hAnsi="宋体"/>
                <w:szCs w:val="22"/>
              </w:rPr>
              <w:t>中标候选人公示（评标结果公示）、定标结果公示媒介及期限</w:t>
            </w:r>
          </w:p>
        </w:tc>
        <w:tc>
          <w:tcPr>
            <w:tcW w:w="6892" w:type="dxa"/>
            <w:tcBorders>
              <w:top w:val="single" w:color="auto" w:sz="4" w:space="0"/>
              <w:left w:val="single" w:color="auto" w:sz="4" w:space="0"/>
              <w:bottom w:val="single" w:color="auto" w:sz="4" w:space="0"/>
              <w:right w:val="single" w:color="auto" w:sz="4" w:space="0"/>
            </w:tcBorders>
            <w:vAlign w:val="center"/>
          </w:tcPr>
          <w:p w14:paraId="2228271C">
            <w:pPr>
              <w:spacing w:before="120" w:after="120" w:line="23" w:lineRule="atLeast"/>
              <w:rPr>
                <w:rFonts w:hint="eastAsia" w:ascii="宋体" w:hAnsi="宋体" w:eastAsia="宋体"/>
                <w:szCs w:val="22"/>
                <w:u w:val="none"/>
                <w:lang w:eastAsia="zh-CN"/>
              </w:rPr>
            </w:pPr>
            <w:r>
              <w:rPr>
                <w:rFonts w:hint="eastAsia" w:ascii="宋体" w:hAnsi="宋体"/>
                <w:szCs w:val="22"/>
                <w:u w:val="none"/>
              </w:rPr>
              <w:t>公示媒介：同招标公告发布媒介</w:t>
            </w:r>
            <w:r>
              <w:rPr>
                <w:rFonts w:hint="eastAsia" w:ascii="宋体" w:hAnsi="宋体"/>
                <w:szCs w:val="22"/>
                <w:u w:val="none"/>
                <w:lang w:eastAsia="zh-CN"/>
              </w:rPr>
              <w:t>。</w:t>
            </w:r>
          </w:p>
          <w:p w14:paraId="68A22766">
            <w:pPr>
              <w:spacing w:before="120" w:after="120" w:line="23" w:lineRule="atLeast"/>
              <w:rPr>
                <w:rFonts w:hint="eastAsia" w:ascii="宋体" w:hAnsi="宋体"/>
                <w:szCs w:val="22"/>
                <w:u w:val="none"/>
              </w:rPr>
            </w:pPr>
            <w:r>
              <w:rPr>
                <w:rFonts w:hint="eastAsia" w:ascii="宋体" w:hAnsi="宋体"/>
                <w:szCs w:val="22"/>
                <w:u w:val="none"/>
              </w:rPr>
              <w:t>中标候选人公示期限：不少于3日，公示期最后一日应为工作日。</w:t>
            </w:r>
          </w:p>
          <w:p w14:paraId="62E5EC43">
            <w:pPr>
              <w:spacing w:before="120" w:after="120" w:line="23" w:lineRule="atLeast"/>
              <w:rPr>
                <w:rFonts w:hint="eastAsia"/>
                <w:szCs w:val="22"/>
              </w:rPr>
            </w:pPr>
            <w:r>
              <w:rPr>
                <w:rFonts w:hint="eastAsia" w:ascii="宋体" w:hAnsi="宋体"/>
                <w:szCs w:val="22"/>
                <w:u w:val="none"/>
              </w:rPr>
              <w:t>定标结果公示期限：定标结束后，招标人应在3日内将定标结果通过指定媒介进行公示，公示期不少于3日。</w:t>
            </w:r>
          </w:p>
        </w:tc>
      </w:tr>
      <w:tr w14:paraId="5B026A3D">
        <w:tblPrEx>
          <w:tblCellMar>
            <w:top w:w="0" w:type="dxa"/>
            <w:left w:w="108" w:type="dxa"/>
            <w:bottom w:w="0" w:type="dxa"/>
            <w:right w:w="108" w:type="dxa"/>
          </w:tblCellMar>
        </w:tblPrEx>
        <w:trPr>
          <w:trHeight w:val="537"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14:paraId="05E0F2BB">
            <w:pPr>
              <w:pStyle w:val="10"/>
              <w:spacing w:line="23" w:lineRule="atLeast"/>
              <w:ind w:left="0"/>
              <w:jc w:val="center"/>
              <w:rPr>
                <w:rFonts w:hint="eastAsia" w:eastAsia="宋体"/>
                <w:szCs w:val="22"/>
                <w:lang w:eastAsia="zh-CN"/>
              </w:rPr>
            </w:pPr>
            <w:r>
              <w:rPr>
                <w:rFonts w:hint="eastAsia"/>
                <w:szCs w:val="22"/>
              </w:rPr>
              <w:t>10.1</w:t>
            </w:r>
            <w:r>
              <w:rPr>
                <w:rFonts w:hint="eastAsia"/>
                <w:szCs w:val="22"/>
                <w:lang w:val="en-US" w:eastAsia="zh-CN"/>
              </w:rPr>
              <w:t>5</w:t>
            </w:r>
          </w:p>
        </w:tc>
        <w:tc>
          <w:tcPr>
            <w:tcW w:w="2001" w:type="dxa"/>
            <w:tcBorders>
              <w:top w:val="single" w:color="auto" w:sz="4" w:space="0"/>
              <w:left w:val="single" w:color="auto" w:sz="4" w:space="0"/>
              <w:bottom w:val="single" w:color="auto" w:sz="4" w:space="0"/>
              <w:right w:val="single" w:color="auto" w:sz="4" w:space="0"/>
            </w:tcBorders>
            <w:vAlign w:val="center"/>
          </w:tcPr>
          <w:p w14:paraId="297DAE38">
            <w:pPr>
              <w:pStyle w:val="10"/>
              <w:spacing w:line="23" w:lineRule="atLeast"/>
              <w:ind w:left="0"/>
              <w:jc w:val="center"/>
              <w:rPr>
                <w:szCs w:val="22"/>
              </w:rPr>
            </w:pPr>
            <w:r>
              <w:rPr>
                <w:szCs w:val="22"/>
              </w:rPr>
              <w:t>知识产权</w:t>
            </w:r>
          </w:p>
        </w:tc>
        <w:tc>
          <w:tcPr>
            <w:tcW w:w="6892" w:type="dxa"/>
            <w:tcBorders>
              <w:top w:val="single" w:color="auto" w:sz="4" w:space="0"/>
              <w:left w:val="single" w:color="auto" w:sz="4" w:space="0"/>
              <w:bottom w:val="single" w:color="auto" w:sz="4" w:space="0"/>
              <w:right w:val="single" w:color="auto" w:sz="4" w:space="0"/>
            </w:tcBorders>
            <w:vAlign w:val="center"/>
          </w:tcPr>
          <w:p w14:paraId="7BD6F604">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szCs w:val="22"/>
              </w:rPr>
              <w:t>构成本招标文件各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r>
              <w:rPr>
                <w:rFonts w:hint="eastAsia"/>
                <w:szCs w:val="22"/>
              </w:rPr>
              <w:t>。</w:t>
            </w:r>
          </w:p>
        </w:tc>
      </w:tr>
      <w:tr w14:paraId="6A8AFD06">
        <w:tblPrEx>
          <w:tblCellMar>
            <w:top w:w="0" w:type="dxa"/>
            <w:left w:w="108" w:type="dxa"/>
            <w:bottom w:w="0" w:type="dxa"/>
            <w:right w:w="108" w:type="dxa"/>
          </w:tblCellMar>
        </w:tblPrEx>
        <w:trPr>
          <w:jc w:val="center"/>
        </w:trPr>
        <w:tc>
          <w:tcPr>
            <w:tcW w:w="935" w:type="dxa"/>
            <w:vMerge w:val="restart"/>
            <w:tcBorders>
              <w:top w:val="single" w:color="auto" w:sz="4" w:space="0"/>
              <w:left w:val="single" w:color="auto" w:sz="4" w:space="0"/>
              <w:bottom w:val="single" w:color="auto" w:sz="4" w:space="0"/>
              <w:right w:val="single" w:color="auto" w:sz="4" w:space="0"/>
            </w:tcBorders>
            <w:vAlign w:val="center"/>
          </w:tcPr>
          <w:p w14:paraId="31B3F6AA">
            <w:pPr>
              <w:pStyle w:val="10"/>
              <w:spacing w:line="23" w:lineRule="atLeast"/>
              <w:ind w:left="0"/>
              <w:jc w:val="center"/>
              <w:rPr>
                <w:rFonts w:hint="eastAsia" w:eastAsia="宋体"/>
                <w:szCs w:val="22"/>
                <w:lang w:eastAsia="zh-CN"/>
              </w:rPr>
            </w:pPr>
            <w:r>
              <w:rPr>
                <w:rFonts w:hint="eastAsia"/>
                <w:szCs w:val="22"/>
              </w:rPr>
              <w:t>10.1</w:t>
            </w:r>
            <w:r>
              <w:rPr>
                <w:rFonts w:hint="eastAsia"/>
                <w:szCs w:val="22"/>
                <w:lang w:val="en-US" w:eastAsia="zh-CN"/>
              </w:rPr>
              <w:t>6</w:t>
            </w:r>
          </w:p>
        </w:tc>
        <w:tc>
          <w:tcPr>
            <w:tcW w:w="2001" w:type="dxa"/>
            <w:vMerge w:val="restart"/>
            <w:tcBorders>
              <w:top w:val="single" w:color="auto" w:sz="4" w:space="0"/>
              <w:left w:val="single" w:color="auto" w:sz="4" w:space="0"/>
              <w:bottom w:val="single" w:color="auto" w:sz="4" w:space="0"/>
              <w:right w:val="single" w:color="auto" w:sz="4" w:space="0"/>
            </w:tcBorders>
            <w:vAlign w:val="center"/>
          </w:tcPr>
          <w:p w14:paraId="72AEE7D1">
            <w:pPr>
              <w:pStyle w:val="10"/>
              <w:spacing w:line="23" w:lineRule="atLeast"/>
              <w:ind w:left="0"/>
              <w:jc w:val="center"/>
              <w:rPr>
                <w:szCs w:val="22"/>
              </w:rPr>
            </w:pPr>
            <w:r>
              <w:rPr>
                <w:rFonts w:hint="eastAsia"/>
                <w:szCs w:val="22"/>
              </w:rPr>
              <w:t>其他</w:t>
            </w:r>
          </w:p>
        </w:tc>
        <w:tc>
          <w:tcPr>
            <w:tcW w:w="6892" w:type="dxa"/>
            <w:tcBorders>
              <w:top w:val="single" w:color="auto" w:sz="4" w:space="0"/>
              <w:left w:val="single" w:color="auto" w:sz="4" w:space="0"/>
              <w:bottom w:val="single" w:color="auto" w:sz="4" w:space="0"/>
              <w:right w:val="single" w:color="auto" w:sz="4" w:space="0"/>
            </w:tcBorders>
            <w:vAlign w:val="center"/>
          </w:tcPr>
          <w:p w14:paraId="20E77F6F">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如本招标文件投标人须知前附表所述内容与招标文件投标人须知正文部分所述内容不一致或招标文件投标人须知正文部分中表述不明时，以投标人须知前附表的所述内容为准。招标文件投标人须知前附表所述内容与清单总说明不一致处，以招标文件投标人须知前附表所述内容为准。</w:t>
            </w:r>
          </w:p>
        </w:tc>
      </w:tr>
      <w:tr w14:paraId="4E614FD7">
        <w:tblPrEx>
          <w:tblCellMar>
            <w:top w:w="0" w:type="dxa"/>
            <w:left w:w="108" w:type="dxa"/>
            <w:bottom w:w="0" w:type="dxa"/>
            <w:right w:w="108" w:type="dxa"/>
          </w:tblCellMar>
        </w:tblPrEx>
        <w:trPr>
          <w:jc w:val="center"/>
        </w:trPr>
        <w:tc>
          <w:tcPr>
            <w:tcW w:w="935" w:type="dxa"/>
            <w:vMerge w:val="continue"/>
            <w:tcBorders>
              <w:left w:val="single" w:color="auto" w:sz="4" w:space="0"/>
              <w:right w:val="single" w:color="auto" w:sz="4" w:space="0"/>
            </w:tcBorders>
            <w:vAlign w:val="center"/>
          </w:tcPr>
          <w:p w14:paraId="55524020">
            <w:pPr>
              <w:pStyle w:val="10"/>
              <w:spacing w:line="23" w:lineRule="atLeast"/>
              <w:ind w:left="0"/>
              <w:jc w:val="center"/>
              <w:rPr>
                <w:rFonts w:hint="eastAsia"/>
                <w:szCs w:val="22"/>
              </w:rPr>
            </w:pPr>
          </w:p>
        </w:tc>
        <w:tc>
          <w:tcPr>
            <w:tcW w:w="2001" w:type="dxa"/>
            <w:vMerge w:val="continue"/>
            <w:tcBorders>
              <w:left w:val="single" w:color="auto" w:sz="4" w:space="0"/>
              <w:right w:val="single" w:color="auto" w:sz="4" w:space="0"/>
            </w:tcBorders>
            <w:vAlign w:val="center"/>
          </w:tcPr>
          <w:p w14:paraId="47EDADC5">
            <w:pPr>
              <w:pStyle w:val="10"/>
              <w:spacing w:line="23" w:lineRule="atLeast"/>
              <w:ind w:left="0"/>
              <w:jc w:val="center"/>
              <w:rPr>
                <w:rFonts w:hint="eastAsia"/>
                <w:szCs w:val="22"/>
              </w:rPr>
            </w:pPr>
          </w:p>
        </w:tc>
        <w:tc>
          <w:tcPr>
            <w:tcW w:w="6892" w:type="dxa"/>
            <w:tcBorders>
              <w:top w:val="single" w:color="auto" w:sz="4" w:space="0"/>
              <w:left w:val="single" w:color="auto" w:sz="4" w:space="0"/>
              <w:bottom w:val="single" w:color="auto" w:sz="4" w:space="0"/>
              <w:right w:val="single" w:color="auto" w:sz="4" w:space="0"/>
            </w:tcBorders>
            <w:vAlign w:val="center"/>
          </w:tcPr>
          <w:p w14:paraId="44598284">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本项目按照成都市人民政府令第 138 号《成都市散装水泥管理办法》的相关规定使用散装水泥、预拌混凝土、预拌砂浆等，投标单位在进行投标报价时应综合考虑此部分内容。</w:t>
            </w:r>
          </w:p>
        </w:tc>
      </w:tr>
      <w:tr w14:paraId="445267EE">
        <w:tblPrEx>
          <w:tblCellMar>
            <w:top w:w="0" w:type="dxa"/>
            <w:left w:w="108" w:type="dxa"/>
            <w:bottom w:w="0" w:type="dxa"/>
            <w:right w:w="108" w:type="dxa"/>
          </w:tblCellMar>
        </w:tblPrEx>
        <w:trPr>
          <w:trHeight w:val="1060" w:hRule="atLeast"/>
          <w:jc w:val="center"/>
        </w:trPr>
        <w:tc>
          <w:tcPr>
            <w:tcW w:w="935" w:type="dxa"/>
            <w:vMerge w:val="continue"/>
            <w:tcBorders>
              <w:top w:val="single" w:color="auto" w:sz="4" w:space="0"/>
              <w:left w:val="single" w:color="auto" w:sz="4" w:space="0"/>
              <w:bottom w:val="single" w:color="auto" w:sz="4" w:space="0"/>
              <w:right w:val="single" w:color="auto" w:sz="4" w:space="0"/>
            </w:tcBorders>
            <w:vAlign w:val="center"/>
          </w:tcPr>
          <w:p w14:paraId="6346C3C2">
            <w:pPr>
              <w:pStyle w:val="10"/>
              <w:spacing w:line="23" w:lineRule="atLeast"/>
              <w:ind w:left="0"/>
              <w:jc w:val="center"/>
              <w:rPr>
                <w:szCs w:val="22"/>
              </w:rPr>
            </w:pPr>
          </w:p>
        </w:tc>
        <w:tc>
          <w:tcPr>
            <w:tcW w:w="2001" w:type="dxa"/>
            <w:vMerge w:val="continue"/>
            <w:tcBorders>
              <w:top w:val="single" w:color="auto" w:sz="4" w:space="0"/>
              <w:left w:val="single" w:color="auto" w:sz="4" w:space="0"/>
              <w:bottom w:val="single" w:color="auto" w:sz="4" w:space="0"/>
              <w:right w:val="single" w:color="auto" w:sz="4" w:space="0"/>
            </w:tcBorders>
            <w:vAlign w:val="center"/>
          </w:tcPr>
          <w:p w14:paraId="5223DFF9">
            <w:pPr>
              <w:pStyle w:val="10"/>
              <w:spacing w:line="23" w:lineRule="atLeast"/>
              <w:ind w:left="0"/>
              <w:jc w:val="center"/>
              <w:rPr>
                <w:szCs w:val="22"/>
              </w:rPr>
            </w:pPr>
          </w:p>
        </w:tc>
        <w:tc>
          <w:tcPr>
            <w:tcW w:w="6892" w:type="dxa"/>
            <w:tcBorders>
              <w:top w:val="single" w:color="auto" w:sz="4" w:space="0"/>
              <w:left w:val="single" w:color="auto" w:sz="4" w:space="0"/>
              <w:bottom w:val="single" w:color="auto" w:sz="4" w:space="0"/>
              <w:right w:val="single" w:color="auto" w:sz="4" w:space="0"/>
            </w:tcBorders>
            <w:vAlign w:val="center"/>
          </w:tcPr>
          <w:p w14:paraId="0BE1412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eastAsia="宋体"/>
                <w:szCs w:val="22"/>
                <w:lang w:eastAsia="zh-CN"/>
              </w:rPr>
            </w:pPr>
            <w:r>
              <w:rPr>
                <w:rFonts w:hint="eastAsia"/>
                <w:szCs w:val="22"/>
              </w:rPr>
              <w:t>□</w:t>
            </w:r>
            <w:r>
              <w:rPr>
                <w:rFonts w:hint="eastAsia" w:ascii="宋体" w:hAnsi="宋体" w:eastAsia="宋体" w:cs="Arial"/>
                <w:b w:val="0"/>
                <w:bCs w:val="0"/>
                <w:i w:val="0"/>
                <w:color w:val="08090C"/>
                <w:szCs w:val="21"/>
                <w:highlight w:val="none"/>
                <w:lang w:bidi="ar"/>
              </w:rPr>
              <w:t>投标报价（含成本）的评审按照《</w:t>
            </w:r>
            <w:r>
              <w:rPr>
                <w:rFonts w:hint="default" w:ascii="宋体" w:hAnsi="宋体" w:eastAsia="宋体" w:cs="Arial"/>
                <w:b w:val="0"/>
                <w:bCs w:val="0"/>
                <w:i w:val="0"/>
                <w:color w:val="08090C"/>
                <w:szCs w:val="21"/>
                <w:highlight w:val="none"/>
                <w:lang w:bidi="ar"/>
              </w:rPr>
              <w:t>四川省房屋建筑和市政工程工程量清单招标投标报价评审办法</w:t>
            </w:r>
            <w:r>
              <w:rPr>
                <w:rFonts w:hint="eastAsia" w:ascii="宋体" w:hAnsi="宋体" w:eastAsia="宋体" w:cs="Arial"/>
                <w:b w:val="0"/>
                <w:bCs w:val="0"/>
                <w:i w:val="0"/>
                <w:color w:val="08090C"/>
                <w:szCs w:val="21"/>
                <w:highlight w:val="none"/>
                <w:lang w:bidi="ar"/>
              </w:rPr>
              <w:t>》（川建行规〔2026〕5号）相关规定进行评审。</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p>
        </w:tc>
      </w:tr>
      <w:tr w14:paraId="1E418132">
        <w:tblPrEx>
          <w:tblCellMar>
            <w:top w:w="0" w:type="dxa"/>
            <w:left w:w="108" w:type="dxa"/>
            <w:bottom w:w="0" w:type="dxa"/>
            <w:right w:w="108" w:type="dxa"/>
          </w:tblCellMar>
        </w:tblPrEx>
        <w:trPr>
          <w:trHeight w:val="1464" w:hRule="atLeast"/>
          <w:jc w:val="center"/>
        </w:trPr>
        <w:tc>
          <w:tcPr>
            <w:tcW w:w="935" w:type="dxa"/>
            <w:vMerge w:val="continue"/>
            <w:tcBorders>
              <w:top w:val="single" w:color="auto" w:sz="4" w:space="0"/>
              <w:left w:val="single" w:color="auto" w:sz="4" w:space="0"/>
              <w:bottom w:val="single" w:color="auto" w:sz="4" w:space="0"/>
              <w:right w:val="single" w:color="auto" w:sz="4" w:space="0"/>
            </w:tcBorders>
            <w:vAlign w:val="center"/>
          </w:tcPr>
          <w:p w14:paraId="16DB9D9C">
            <w:pPr>
              <w:pStyle w:val="10"/>
              <w:spacing w:line="23" w:lineRule="atLeast"/>
              <w:ind w:left="0"/>
              <w:jc w:val="center"/>
              <w:rPr>
                <w:szCs w:val="22"/>
              </w:rPr>
            </w:pPr>
          </w:p>
        </w:tc>
        <w:tc>
          <w:tcPr>
            <w:tcW w:w="2001" w:type="dxa"/>
            <w:vMerge w:val="continue"/>
            <w:tcBorders>
              <w:top w:val="single" w:color="auto" w:sz="4" w:space="0"/>
              <w:left w:val="single" w:color="auto" w:sz="4" w:space="0"/>
              <w:bottom w:val="single" w:color="auto" w:sz="4" w:space="0"/>
              <w:right w:val="single" w:color="auto" w:sz="4" w:space="0"/>
            </w:tcBorders>
            <w:vAlign w:val="center"/>
          </w:tcPr>
          <w:p w14:paraId="0C732631">
            <w:pPr>
              <w:pStyle w:val="10"/>
              <w:spacing w:line="23" w:lineRule="atLeast"/>
              <w:ind w:left="0"/>
              <w:jc w:val="center"/>
              <w:rPr>
                <w:szCs w:val="22"/>
              </w:rPr>
            </w:pPr>
          </w:p>
        </w:tc>
        <w:tc>
          <w:tcPr>
            <w:tcW w:w="6892" w:type="dxa"/>
            <w:tcBorders>
              <w:top w:val="single" w:color="auto" w:sz="4" w:space="0"/>
              <w:left w:val="single" w:color="auto" w:sz="4" w:space="0"/>
              <w:bottom w:val="single" w:color="auto" w:sz="4" w:space="0"/>
              <w:right w:val="single" w:color="auto" w:sz="4" w:space="0"/>
            </w:tcBorders>
            <w:vAlign w:val="center"/>
          </w:tcPr>
          <w:p w14:paraId="0A62781B">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szCs w:val="22"/>
              </w:rPr>
            </w:pPr>
            <w:r>
              <w:rPr>
                <w:rFonts w:hint="eastAsia"/>
                <w:szCs w:val="22"/>
              </w:rPr>
              <w:t>招标文件中“★”号条款为招标文件规定的实质性要求。未实质性响应招标文件中“★”条款，视为重大偏差（报价详细评审的重大偏差另行约定），评标委员会在评审时应作否决投标处理。</w:t>
            </w:r>
          </w:p>
        </w:tc>
      </w:tr>
      <w:tr w14:paraId="30CAB446">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663596D9">
            <w:pPr>
              <w:pStyle w:val="10"/>
              <w:spacing w:line="23" w:lineRule="atLeast"/>
              <w:ind w:left="0"/>
              <w:jc w:val="center"/>
              <w:rPr>
                <w:szCs w:val="22"/>
              </w:rPr>
            </w:pPr>
            <w:r>
              <w:rPr>
                <w:rFonts w:hint="eastAsia"/>
                <w:szCs w:val="22"/>
              </w:rPr>
              <w:t>11</w:t>
            </w:r>
          </w:p>
        </w:tc>
        <w:tc>
          <w:tcPr>
            <w:tcW w:w="2001" w:type="dxa"/>
            <w:tcBorders>
              <w:top w:val="single" w:color="auto" w:sz="4" w:space="0"/>
              <w:left w:val="single" w:color="auto" w:sz="4" w:space="0"/>
              <w:bottom w:val="single" w:color="auto" w:sz="4" w:space="0"/>
              <w:right w:val="single" w:color="auto" w:sz="4" w:space="0"/>
            </w:tcBorders>
            <w:vAlign w:val="center"/>
          </w:tcPr>
          <w:p w14:paraId="7C16B108">
            <w:pPr>
              <w:pStyle w:val="10"/>
              <w:spacing w:line="23" w:lineRule="atLeast"/>
              <w:ind w:left="0"/>
              <w:jc w:val="center"/>
              <w:rPr>
                <w:szCs w:val="22"/>
              </w:rPr>
            </w:pPr>
            <w:r>
              <w:rPr>
                <w:rFonts w:hint="eastAsia"/>
                <w:szCs w:val="22"/>
              </w:rPr>
              <w:t>电子招标投标</w:t>
            </w:r>
          </w:p>
        </w:tc>
        <w:tc>
          <w:tcPr>
            <w:tcW w:w="6892" w:type="dxa"/>
            <w:tcBorders>
              <w:top w:val="single" w:color="auto" w:sz="4" w:space="0"/>
              <w:left w:val="single" w:color="auto" w:sz="4" w:space="0"/>
              <w:bottom w:val="single" w:color="auto" w:sz="4" w:space="0"/>
              <w:right w:val="single" w:color="auto" w:sz="4" w:space="0"/>
            </w:tcBorders>
            <w:vAlign w:val="center"/>
          </w:tcPr>
          <w:p w14:paraId="3624D010">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投标人应按照《成都市发展和改革委员会等8部门关于启动成都市公共资源电子交易云平台工程建设项目招标投标系统（2017版）试运行的通知》（成发改招投标〔2017〕1098 号）规定编制投标文件。注意事项：</w:t>
            </w:r>
          </w:p>
          <w:p w14:paraId="37861D78">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（1）投标人应办理CA数字证书及电子签章，使用“成都市电子投标文件编制系统（2017版）”制作电子投标文件，请使用最新版系统（可对照成都市公共资源电子交易云平台检查版本号是否为最新）。</w:t>
            </w:r>
          </w:p>
          <w:p w14:paraId="1A6024A8">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eastAsia="宋体"/>
                <w:szCs w:val="22"/>
                <w:lang w:eastAsia="zh-CN"/>
              </w:rPr>
            </w:pPr>
            <w:r>
              <w:rPr>
                <w:rFonts w:hint="eastAsia"/>
                <w:szCs w:val="22"/>
              </w:rPr>
              <w:t>（2）电子投标文件为一个扩展名为CDT的文件。</w:t>
            </w:r>
            <w:r>
              <w:rPr>
                <w:rFonts w:hint="eastAsia" w:ascii="宋体" w:hAnsi="宋体" w:cs="Arial"/>
                <w:b w:val="0"/>
                <w:bCs w:val="0"/>
                <w:i w:val="0"/>
                <w:color w:val="08090C"/>
                <w:szCs w:val="21"/>
                <w:highlight w:val="none"/>
              </w:rPr>
              <w:t>其中，房屋建筑与市政工程项目CJZ格式的工程造价数据文件是由符合《四川省建设工程造价电子数据标准》（DBJ51／T048－2026）的造价软件生成。</w:t>
            </w:r>
            <w:r>
              <w:rPr>
                <w:rFonts w:hint="eastAsia" w:cs="Arial"/>
                <w:b w:val="0"/>
                <w:bCs w:val="0"/>
                <w:i w:val="0"/>
                <w:color w:val="08090C"/>
                <w:szCs w:val="21"/>
                <w:highlight w:val="none"/>
                <w:lang w:eastAsia="zh-CN"/>
              </w:rPr>
              <w:t>（</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r>
              <w:rPr>
                <w:rFonts w:hint="eastAsia" w:cs="Arial"/>
                <w:b w:val="0"/>
                <w:bCs w:val="0"/>
                <w:i w:val="0"/>
                <w:color w:val="08090C"/>
                <w:szCs w:val="21"/>
                <w:highlight w:val="none"/>
                <w:lang w:eastAsia="zh-CN"/>
              </w:rPr>
              <w:t>）</w:t>
            </w:r>
          </w:p>
          <w:p w14:paraId="0AAC714F">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（3）制作电子投标文件应按照文件制作导航系统建立目录并分级，不同内容按标签提示制作导入，应保证目录清晰、内容完整、方便评审。涉及图片类的文件须保证图片清晰。</w:t>
            </w:r>
          </w:p>
          <w:p w14:paraId="755147E7">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（4）电子投标文件制作完成后，应在相应位置加盖电子签章，使其电子投标文件具备法律效力。</w:t>
            </w:r>
          </w:p>
          <w:p w14:paraId="3E47A828">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szCs w:val="22"/>
              </w:rPr>
              <w:t>（5）电子投标文件制作完成后，应使用投标人的企业CA数字证书对投标文件进行加密。</w:t>
            </w:r>
          </w:p>
        </w:tc>
      </w:tr>
      <w:tr w14:paraId="7C1D3733">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493D6937">
            <w:pPr>
              <w:pStyle w:val="10"/>
              <w:spacing w:line="23" w:lineRule="atLeast"/>
              <w:ind w:left="0"/>
              <w:jc w:val="center"/>
              <w:rPr>
                <w:szCs w:val="22"/>
              </w:rPr>
            </w:pPr>
            <w:r>
              <w:rPr>
                <w:rFonts w:hint="eastAsia"/>
                <w:szCs w:val="22"/>
              </w:rPr>
              <w:t>12</w:t>
            </w:r>
          </w:p>
        </w:tc>
        <w:tc>
          <w:tcPr>
            <w:tcW w:w="2001" w:type="dxa"/>
            <w:tcBorders>
              <w:top w:val="single" w:color="auto" w:sz="4" w:space="0"/>
              <w:left w:val="single" w:color="auto" w:sz="4" w:space="0"/>
              <w:bottom w:val="single" w:color="auto" w:sz="4" w:space="0"/>
              <w:right w:val="single" w:color="auto" w:sz="4" w:space="0"/>
            </w:tcBorders>
            <w:vAlign w:val="center"/>
          </w:tcPr>
          <w:p w14:paraId="72E8618D">
            <w:pPr>
              <w:pStyle w:val="10"/>
              <w:spacing w:line="23" w:lineRule="atLeast"/>
              <w:ind w:left="0"/>
              <w:jc w:val="center"/>
              <w:rPr>
                <w:szCs w:val="22"/>
              </w:rPr>
            </w:pPr>
            <w:r>
              <w:rPr>
                <w:rFonts w:hint="eastAsia"/>
                <w:szCs w:val="22"/>
              </w:rPr>
              <w:t>特别注意</w:t>
            </w:r>
          </w:p>
        </w:tc>
        <w:tc>
          <w:tcPr>
            <w:tcW w:w="6892" w:type="dxa"/>
            <w:tcBorders>
              <w:top w:val="single" w:color="auto" w:sz="4" w:space="0"/>
              <w:left w:val="single" w:color="auto" w:sz="4" w:space="0"/>
              <w:bottom w:val="single" w:color="auto" w:sz="4" w:space="0"/>
              <w:right w:val="single" w:color="auto" w:sz="4" w:space="0"/>
            </w:tcBorders>
            <w:vAlign w:val="center"/>
          </w:tcPr>
          <w:p w14:paraId="1938BEBE">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按照《成都市发展和改革委员会等8部门关于启动成都市公共资源电子交易云平台工程建设项目招标投标系统（2017版）试运行的通知》（成发改招投标〔2017〕1098号）、《成都市国家投资工程建设项目电子化招标投标技术导则》和《关于印发&lt;成都市工程建设项目不见面开标交易工作规程（试行）&gt;和&lt;成都市工程建设项目异地远程评标工作规程（试行）&gt;的通知》(成发改法规〔2020〕49号)相关规定友情提醒：</w:t>
            </w:r>
          </w:p>
          <w:p w14:paraId="1BF769E2">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一、其他事项：</w:t>
            </w:r>
          </w:p>
          <w:p w14:paraId="3245013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rPr>
            </w:pPr>
            <w:r>
              <w:rPr>
                <w:rFonts w:hint="eastAsia"/>
                <w:b w:val="0"/>
                <w:bCs w:val="0"/>
                <w:szCs w:val="22"/>
              </w:rPr>
              <w:t>（1）评标结束之前，投标人应随时关注系统提示，及时通过本单位CA数字证书对评标委员会发出的质疑函进行澄清，并确认提交成功。逾时回复将不能提交。</w:t>
            </w:r>
          </w:p>
          <w:p w14:paraId="5706C82E">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rPr>
            </w:pPr>
            <w:r>
              <w:rPr>
                <w:rFonts w:hint="eastAsia"/>
                <w:b w:val="0"/>
                <w:bCs w:val="0"/>
                <w:szCs w:val="22"/>
              </w:rPr>
              <w:t>（2）投标人出现以下情形之一的，该次投标的有关业务办理将被系统拒绝，并自行承担责任：</w:t>
            </w:r>
          </w:p>
          <w:p w14:paraId="7BB606FA">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rPr>
            </w:pPr>
            <w:r>
              <w:rPr>
                <w:rFonts w:hint="eastAsia"/>
                <w:b w:val="0"/>
                <w:bCs w:val="0"/>
                <w:szCs w:val="22"/>
              </w:rPr>
              <w:t>①投标人在获得“拟投标项目回执”成功后至评标结束期间，更换CA数字证书的，或投标人使用的CA数字证书不在有效期内的；</w:t>
            </w:r>
          </w:p>
          <w:p w14:paraId="44D8EDA4">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rPr>
            </w:pPr>
            <w:r>
              <w:rPr>
                <w:rFonts w:hint="eastAsia"/>
                <w:b w:val="0"/>
                <w:bCs w:val="0"/>
                <w:szCs w:val="22"/>
              </w:rPr>
              <w:t>②投标人在开标时，未携带加密投标文件时使用的CA数字证书的；</w:t>
            </w:r>
          </w:p>
          <w:p w14:paraId="2893B3CE">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rPr>
            </w:pPr>
            <w:r>
              <w:rPr>
                <w:rFonts w:hint="eastAsia"/>
                <w:b w:val="0"/>
                <w:bCs w:val="0"/>
                <w:szCs w:val="22"/>
              </w:rPr>
              <w:t>③提交的电子投标文件使用格式错误、文件损坏或自身存在计算机病毒等缺陷的；</w:t>
            </w:r>
          </w:p>
          <w:p w14:paraId="5EEDC855">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rPr>
            </w:pPr>
            <w:r>
              <w:rPr>
                <w:rFonts w:hint="eastAsia"/>
                <w:b w:val="0"/>
                <w:bCs w:val="0"/>
                <w:szCs w:val="22"/>
              </w:rPr>
              <w:t>④电子投标文件不是使用专用的“成都市电子投标文件制作系统（2017版）”制作生成CDT格式文件的；</w:t>
            </w:r>
          </w:p>
          <w:p w14:paraId="64FF0725">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rFonts w:hint="eastAsia"/>
                <w:b w:val="0"/>
                <w:bCs w:val="0"/>
                <w:szCs w:val="22"/>
              </w:rPr>
            </w:pPr>
            <w:r>
              <w:rPr>
                <w:rFonts w:hint="eastAsia"/>
                <w:b w:val="0"/>
                <w:bCs w:val="0"/>
                <w:szCs w:val="22"/>
              </w:rPr>
              <w:t>⑤其他不符合招标文件中有关要求的情形。</w:t>
            </w:r>
          </w:p>
          <w:p w14:paraId="29595A04">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二、突发系统故障处理</w:t>
            </w:r>
          </w:p>
          <w:p w14:paraId="15EBC48A">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（1）因非可控因素，导致系统不能正常运行的，由交易中心工作人员及时通知招标人和监督人，并进行处理，待系统恢复后再继续进行。如评标委员会成员已离场的，应重新抽取专家评标。</w:t>
            </w:r>
          </w:p>
          <w:p w14:paraId="69DC3BD1">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（2）非可控因素包括以下内容：</w:t>
            </w:r>
          </w:p>
          <w:p w14:paraId="3E7E555B">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网络中断、停电等；</w:t>
            </w:r>
          </w:p>
          <w:p w14:paraId="07833041">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系统服务器发生故障而无法访问系统或无法使用系统；</w:t>
            </w:r>
          </w:p>
          <w:p w14:paraId="4FEF2984">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系统的软件或数据库出现错误，不能进行正常操作；</w:t>
            </w:r>
          </w:p>
          <w:p w14:paraId="25E1BD91">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系统或服务器受到网络攻击，或受到计算机病毒的攻击；</w:t>
            </w:r>
          </w:p>
          <w:p w14:paraId="27A5A3EA">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其他不可抗力等因素引起系统无法正常使用；</w:t>
            </w:r>
          </w:p>
          <w:p w14:paraId="02866D4F">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其他无法保证招标投标过程公平、公正和信息安全的意外情形。</w:t>
            </w:r>
          </w:p>
          <w:p w14:paraId="4AA468A9">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如招标文件、投标文件自身错误的，评标不可中止或终止，后果由相应编制人员自行承担。</w:t>
            </w:r>
          </w:p>
          <w:p w14:paraId="25E15F1E">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b w:val="0"/>
                <w:bCs w:val="0"/>
                <w:szCs w:val="22"/>
              </w:rPr>
            </w:pPr>
            <w:r>
              <w:rPr>
                <w:rFonts w:hint="eastAsia"/>
                <w:b w:val="0"/>
                <w:bCs w:val="0"/>
                <w:szCs w:val="22"/>
              </w:rPr>
              <w:t>（3）异地远程评标中，如遇停电、网络故障、电子设备、评标席位或者电子评标系统故障导致无法开展评标活动且短时间内无法修复的，由招标人和监督人确定是否暂停评标或解散当次评标委员会，并及时封标。</w:t>
            </w:r>
          </w:p>
          <w:p w14:paraId="6FAA38D2">
            <w:pPr>
              <w:pStyle w:val="10"/>
              <w:keepNext w:val="0"/>
              <w:keepLines w:val="0"/>
              <w:pageBreakBefore w:val="0"/>
              <w:widowControl w:val="0"/>
              <w:kinsoku/>
              <w:wordWrap/>
              <w:overflowPunct/>
              <w:topLinePunct w:val="0"/>
              <w:autoSpaceDE/>
              <w:autoSpaceDN/>
              <w:bidi w:val="0"/>
              <w:adjustRightInd/>
              <w:snapToGrid/>
              <w:spacing w:line="23" w:lineRule="atLeast"/>
              <w:ind w:left="0"/>
              <w:textAlignment w:val="auto"/>
              <w:rPr>
                <w:szCs w:val="22"/>
              </w:rPr>
            </w:pPr>
            <w:r>
              <w:rPr>
                <w:rFonts w:hint="eastAsia"/>
                <w:b w:val="0"/>
                <w:bCs w:val="0"/>
                <w:szCs w:val="22"/>
              </w:rPr>
              <w:t>评标开始后，如因副场停电、网络故障、电子设备或者电子评标系统等故障导致无法继续进行评标且短时间内无法修复的，经招标人和监督人同意，可取消副场评标，由主场补充抽取专家完成所有评标。取消副场评标的，原副场已进入评标流程的专家需等待补抽专家进场后方可离场,等待期间的费用按评标费标准支付。</w:t>
            </w:r>
          </w:p>
        </w:tc>
      </w:tr>
      <w:tr w14:paraId="18C43A1C">
        <w:tblPrEx>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vAlign w:val="center"/>
          </w:tcPr>
          <w:p w14:paraId="32272F48">
            <w:pPr>
              <w:pStyle w:val="10"/>
              <w:spacing w:line="23" w:lineRule="atLeast"/>
              <w:ind w:left="0"/>
              <w:jc w:val="center"/>
              <w:rPr>
                <w:szCs w:val="22"/>
              </w:rPr>
            </w:pPr>
            <w:r>
              <w:rPr>
                <w:rFonts w:hint="eastAsia"/>
                <w:szCs w:val="22"/>
              </w:rPr>
              <w:t>…</w:t>
            </w:r>
          </w:p>
        </w:tc>
        <w:tc>
          <w:tcPr>
            <w:tcW w:w="2001" w:type="dxa"/>
            <w:tcBorders>
              <w:top w:val="single" w:color="auto" w:sz="4" w:space="0"/>
              <w:left w:val="single" w:color="auto" w:sz="4" w:space="0"/>
              <w:bottom w:val="single" w:color="auto" w:sz="4" w:space="0"/>
              <w:right w:val="single" w:color="auto" w:sz="4" w:space="0"/>
            </w:tcBorders>
            <w:vAlign w:val="center"/>
          </w:tcPr>
          <w:p w14:paraId="0C41D741">
            <w:pPr>
              <w:pStyle w:val="10"/>
              <w:spacing w:line="23" w:lineRule="atLeast"/>
              <w:ind w:left="0"/>
              <w:jc w:val="center"/>
              <w:rPr>
                <w:szCs w:val="22"/>
              </w:rPr>
            </w:pPr>
            <w:r>
              <w:rPr>
                <w:rFonts w:hint="eastAsia"/>
                <w:szCs w:val="22"/>
              </w:rPr>
              <w:t>…</w:t>
            </w:r>
          </w:p>
        </w:tc>
        <w:tc>
          <w:tcPr>
            <w:tcW w:w="6892" w:type="dxa"/>
            <w:tcBorders>
              <w:top w:val="single" w:color="auto" w:sz="4" w:space="0"/>
              <w:left w:val="single" w:color="auto" w:sz="4" w:space="0"/>
              <w:bottom w:val="single" w:color="auto" w:sz="4" w:space="0"/>
              <w:right w:val="single" w:color="auto" w:sz="4" w:space="0"/>
            </w:tcBorders>
            <w:vAlign w:val="center"/>
          </w:tcPr>
          <w:p w14:paraId="6684E6AB">
            <w:pPr>
              <w:pStyle w:val="10"/>
              <w:spacing w:line="23" w:lineRule="atLeast"/>
              <w:ind w:left="0"/>
              <w:rPr>
                <w:szCs w:val="22"/>
              </w:rPr>
            </w:pPr>
            <w:r>
              <w:rPr>
                <w:rFonts w:hint="eastAsia"/>
                <w:szCs w:val="22"/>
              </w:rPr>
              <w:t>…</w:t>
            </w:r>
          </w:p>
        </w:tc>
      </w:tr>
    </w:tbl>
    <w:p w14:paraId="1C427550">
      <w:pPr>
        <w:pStyle w:val="10"/>
        <w:ind w:left="0"/>
      </w:pPr>
      <w:r>
        <w:rPr>
          <w:rFonts w:hint="eastAsia"/>
          <w:color w:val="FF0000"/>
        </w:rPr>
        <w:t>注：“投标人须知前附表”中内容仅能填空，如果因为招标项目的情况，需增加其他相关条款，应填入“投标人须知附表增加条款表”中，增加的条款不能与“投标人须知前附表”中内容相冲突。</w:t>
      </w:r>
    </w:p>
    <w:p w14:paraId="36C3EB27">
      <w:pPr>
        <w:pStyle w:val="10"/>
        <w:ind w:left="0"/>
      </w:pPr>
    </w:p>
    <w:p w14:paraId="42FE3B98">
      <w:pPr>
        <w:jc w:val="center"/>
        <w:rPr>
          <w:b/>
          <w:bCs/>
        </w:rPr>
      </w:pPr>
      <w:r>
        <w:rPr>
          <w:rFonts w:hint="eastAsia"/>
          <w:b/>
          <w:bCs/>
        </w:rPr>
        <w:t>投标人须知前附表增加条款表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5032"/>
        <w:gridCol w:w="3772"/>
      </w:tblGrid>
      <w:tr w14:paraId="09E1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vAlign w:val="center"/>
          </w:tcPr>
          <w:p w14:paraId="7C37E27B">
            <w:pPr>
              <w:pStyle w:val="10"/>
              <w:ind w:left="0"/>
              <w:jc w:val="center"/>
            </w:pPr>
            <w:r>
              <w:rPr>
                <w:rFonts w:hint="eastAsia"/>
              </w:rPr>
              <w:t>条款号</w:t>
            </w:r>
          </w:p>
        </w:tc>
        <w:tc>
          <w:tcPr>
            <w:tcW w:w="5032" w:type="dxa"/>
            <w:vAlign w:val="center"/>
          </w:tcPr>
          <w:p w14:paraId="46ACD5BF">
            <w:pPr>
              <w:pStyle w:val="10"/>
              <w:ind w:left="0"/>
              <w:jc w:val="center"/>
            </w:pPr>
            <w:r>
              <w:rPr>
                <w:rFonts w:hint="eastAsia"/>
              </w:rPr>
              <w:t>条 款 名 称</w:t>
            </w:r>
          </w:p>
        </w:tc>
        <w:tc>
          <w:tcPr>
            <w:tcW w:w="3772" w:type="dxa"/>
            <w:vAlign w:val="center"/>
          </w:tcPr>
          <w:p w14:paraId="530269A8">
            <w:pPr>
              <w:pStyle w:val="10"/>
              <w:ind w:left="0"/>
              <w:jc w:val="center"/>
            </w:pPr>
            <w:r>
              <w:rPr>
                <w:rFonts w:hint="eastAsia"/>
              </w:rPr>
              <w:t>编 列 内 容</w:t>
            </w:r>
          </w:p>
        </w:tc>
      </w:tr>
      <w:tr w14:paraId="10C7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58" w:type="dxa"/>
          </w:tcPr>
          <w:p w14:paraId="669BE63F"/>
        </w:tc>
        <w:tc>
          <w:tcPr>
            <w:tcW w:w="5032" w:type="dxa"/>
          </w:tcPr>
          <w:p w14:paraId="3603D016"/>
        </w:tc>
        <w:tc>
          <w:tcPr>
            <w:tcW w:w="3772" w:type="dxa"/>
          </w:tcPr>
          <w:p w14:paraId="4579FFB5">
            <w:pPr>
              <w:pStyle w:val="10"/>
            </w:pPr>
          </w:p>
        </w:tc>
      </w:tr>
    </w:tbl>
    <w:p w14:paraId="3D3960FC">
      <w:r>
        <w:br w:type="page"/>
      </w:r>
    </w:p>
    <w:p w14:paraId="2EDBD16F">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01" w:name="_Toc27846"/>
      <w:bookmarkStart w:id="102" w:name="_Toc22730"/>
      <w:bookmarkStart w:id="103" w:name="_Toc4770"/>
      <w:r>
        <w:rPr>
          <w:rFonts w:hint="eastAsia" w:ascii="宋体" w:hAnsi="宋体" w:eastAsia="宋体" w:cs="宋体"/>
          <w:b w:val="0"/>
          <w:bCs w:val="0"/>
          <w:color w:val="000000"/>
          <w:sz w:val="22"/>
          <w:szCs w:val="22"/>
        </w:rPr>
        <w:t>1. 总则</w:t>
      </w:r>
      <w:bookmarkEnd w:id="101"/>
      <w:bookmarkEnd w:id="102"/>
      <w:bookmarkEnd w:id="103"/>
    </w:p>
    <w:p w14:paraId="63A73E9E">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1.1 项目概况</w:t>
      </w:r>
    </w:p>
    <w:p w14:paraId="2AA805E9">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1.1.1根据《中华人民共和国招标投标法》等有关法律、法规和规章的规定，本招标项目已具备招标条件，现对本标段施工进行招标。</w:t>
      </w:r>
    </w:p>
    <w:p w14:paraId="30F1B4B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1.1.2 本招标项目招标人：见投标人须知前附表。</w:t>
      </w:r>
    </w:p>
    <w:p w14:paraId="1EEF744F">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1.1.3 本标段招标代理机构：见投标人须知前附表。</w:t>
      </w:r>
    </w:p>
    <w:p w14:paraId="75B5B4B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1.1.4 本招标项目名称：见投标人须知前附表。</w:t>
      </w:r>
    </w:p>
    <w:p w14:paraId="3E0EFEC2">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1.1.5 本标段建设地点：见投标人须知前附表。</w:t>
      </w:r>
    </w:p>
    <w:p w14:paraId="45130CF4">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1.2 资金来源和落实情况</w:t>
      </w:r>
    </w:p>
    <w:p w14:paraId="07091BBE">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1.2.1 本招标项目的资金来源：见投标人须知前附表。</w:t>
      </w:r>
    </w:p>
    <w:p w14:paraId="38D7A040">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1.2.2 本招标项目的出资比例：见投标人须知前附表。</w:t>
      </w:r>
    </w:p>
    <w:p w14:paraId="3681308F">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1.2.3 本招标项目的资金落实情况：见投标人须知前附表。</w:t>
      </w:r>
    </w:p>
    <w:p w14:paraId="180A8B64">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1.3 招标范围、计划工期和质量要求</w:t>
      </w:r>
    </w:p>
    <w:p w14:paraId="70C973C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1.3.1 本次招标范围：见投标人须知前附表。</w:t>
      </w:r>
    </w:p>
    <w:p w14:paraId="7A3712C8">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1.3.2 本标段的计划工期：见投标人须知前附表。</w:t>
      </w:r>
    </w:p>
    <w:p w14:paraId="0142A38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1.3.3 本标段的质量要求：见投标人须知前附表。</w:t>
      </w:r>
    </w:p>
    <w:p w14:paraId="07D956CD">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1.4 投标人资格要求（适用于已进行资格预审的）</w:t>
      </w:r>
    </w:p>
    <w:p w14:paraId="5007E9AA">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投标人应是收到招标人发出投标邀请书的单位。</w:t>
      </w:r>
    </w:p>
    <w:p w14:paraId="313B0061">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1.4 投标人资格要求（适用于未进行资格预审的）</w:t>
      </w:r>
    </w:p>
    <w:p w14:paraId="266F800A">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1.4.1投标人应具备承担本标段施工的资质条件、能力和信誉。</w:t>
      </w:r>
    </w:p>
    <w:p w14:paraId="2D8E7520">
      <w:pPr>
        <w:widowControl w:val="0"/>
        <w:numPr>
          <w:ilvl w:val="0"/>
          <w:numId w:val="0"/>
        </w:numPr>
        <w:spacing w:line="400" w:lineRule="exact"/>
        <w:ind w:left="1138" w:hanging="420" w:firstLineChars="0"/>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（1）资质条件：见投标人须知前附表；</w:t>
      </w:r>
    </w:p>
    <w:p w14:paraId="0777F659">
      <w:pPr>
        <w:widowControl w:val="0"/>
        <w:numPr>
          <w:ilvl w:val="0"/>
          <w:numId w:val="0"/>
        </w:numPr>
        <w:spacing w:line="400" w:lineRule="exact"/>
        <w:ind w:left="1138" w:hanging="420" w:firstLineChars="0"/>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（2）财务要求：见投标人须知前附表；</w:t>
      </w:r>
    </w:p>
    <w:p w14:paraId="204DF877">
      <w:pPr>
        <w:widowControl w:val="0"/>
        <w:numPr>
          <w:ilvl w:val="0"/>
          <w:numId w:val="0"/>
        </w:numPr>
        <w:spacing w:line="400" w:lineRule="exact"/>
        <w:ind w:left="1138" w:hanging="420" w:firstLineChars="0"/>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（3）类似工程业绩要求：见投标人须知前附表；</w:t>
      </w:r>
    </w:p>
    <w:p w14:paraId="71D4A8B6">
      <w:pPr>
        <w:widowControl w:val="0"/>
        <w:numPr>
          <w:ilvl w:val="0"/>
          <w:numId w:val="0"/>
        </w:numPr>
        <w:spacing w:line="400" w:lineRule="exact"/>
        <w:ind w:left="1138" w:hanging="420" w:firstLineChars="0"/>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（4）信誉要求：见投标人须知前附表;</w:t>
      </w:r>
    </w:p>
    <w:p w14:paraId="64448924">
      <w:pPr>
        <w:widowControl w:val="0"/>
        <w:numPr>
          <w:ilvl w:val="0"/>
          <w:numId w:val="0"/>
        </w:numPr>
        <w:spacing w:line="400" w:lineRule="exact"/>
        <w:ind w:left="1138" w:hanging="420" w:firstLineChars="0"/>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（5）项目经理资格：见投标人须知前附表；</w:t>
      </w:r>
    </w:p>
    <w:p w14:paraId="10A01261">
      <w:pPr>
        <w:widowControl w:val="0"/>
        <w:numPr>
          <w:ilvl w:val="0"/>
          <w:numId w:val="0"/>
        </w:numPr>
        <w:spacing w:line="400" w:lineRule="exact"/>
        <w:ind w:left="1138" w:hanging="420" w:firstLineChars="0"/>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（6）技术负责人要求：见投标人须知前附表；</w:t>
      </w:r>
    </w:p>
    <w:p w14:paraId="4526824B">
      <w:pPr>
        <w:widowControl w:val="0"/>
        <w:numPr>
          <w:ilvl w:val="0"/>
          <w:numId w:val="0"/>
        </w:numPr>
        <w:spacing w:line="400" w:lineRule="exact"/>
        <w:ind w:left="1138" w:hanging="420" w:firstLineChars="0"/>
        <w:jc w:val="both"/>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（7）其他要求：见投标人须知前附表。</w:t>
      </w:r>
    </w:p>
    <w:p w14:paraId="023F72CC">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1.4.2 投标人须知前附表规定接受联合体投标的，除应符合本章第1.4.1项和投标人须知前附表的要求外，还应遵守以下规定： </w:t>
      </w:r>
    </w:p>
    <w:p w14:paraId="2E9F3173">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（1）联合体各方应按招标文件提供的格式签订联合体协议书，明确联合体牵头人和各方权利义务；</w:t>
      </w:r>
    </w:p>
    <w:p w14:paraId="163FCFD1">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（2）由同一专业的单位组成的联合体，按照资质等级较低的单位确定资质等级； </w:t>
      </w:r>
    </w:p>
    <w:p w14:paraId="0D9F2AC4">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（3）联合体各方不得再以自己名义单独或参加其他联合体在同一标段中投标。</w:t>
      </w:r>
    </w:p>
    <w:p w14:paraId="02AA5686">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1.4.3 投标人不得存在下列情形之一：</w:t>
      </w:r>
    </w:p>
    <w:p w14:paraId="3FE887EA">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（1）为招标人不具有独立法人资格的附属机构（单位）； </w:t>
      </w:r>
    </w:p>
    <w:p w14:paraId="71DAEF41">
      <w:pPr>
        <w:spacing w:line="400" w:lineRule="exact"/>
        <w:ind w:firstLine="752" w:firstLineChars="342"/>
        <w:jc w:val="both"/>
        <w:rPr>
          <w:rFonts w:hint="eastAsia" w:ascii="宋体" w:hAnsi="宋体" w:eastAsia="宋体" w:cs="Times New Roman"/>
          <w:color w:val="000000"/>
          <w:kern w:val="0"/>
          <w:sz w:val="22"/>
          <w:szCs w:val="22"/>
        </w:rPr>
      </w:pPr>
      <w:r>
        <w:rPr>
          <w:rFonts w:hint="eastAsia" w:ascii="Calibri" w:hAnsi="Calibri" w:eastAsia="宋体" w:cs="Times New Roman"/>
          <w:kern w:val="0"/>
          <w:sz w:val="22"/>
          <w:szCs w:val="22"/>
        </w:rPr>
        <w:t>（2）为本招标项目前期准备提供设计或咨询服务的；</w:t>
      </w:r>
      <w:r>
        <w:rPr>
          <w:rFonts w:hint="eastAsia" w:ascii="宋体" w:hAnsi="宋体" w:eastAsia="宋体" w:cs="Times New Roman"/>
          <w:color w:val="000000"/>
          <w:kern w:val="0"/>
          <w:sz w:val="22"/>
          <w:szCs w:val="22"/>
        </w:rPr>
        <w:t xml:space="preserve"> </w:t>
      </w:r>
    </w:p>
    <w:p w14:paraId="643187E0">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（3）为本标段的监理人；</w:t>
      </w:r>
    </w:p>
    <w:p w14:paraId="11AB5BA3">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（4）为本标段的代建人； </w:t>
      </w:r>
    </w:p>
    <w:p w14:paraId="73E9BD26">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（5）为本标段提供招标代理服务的； </w:t>
      </w:r>
    </w:p>
    <w:p w14:paraId="1AE35802">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（6）与本标段的监理人或代建人或招标代理机构同为一个法定代表人的；</w:t>
      </w:r>
    </w:p>
    <w:p w14:paraId="318D0E14">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（7）与本标段的监理人或代建人或招标代理机构相互控股或参股的；</w:t>
      </w:r>
    </w:p>
    <w:p w14:paraId="00D776BB">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（8）与本标段的监理人或代建人或招标代理机构相互任职或工作的；</w:t>
      </w:r>
    </w:p>
    <w:p w14:paraId="590D844F">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（9）被责令停业的； </w:t>
      </w:r>
    </w:p>
    <w:p w14:paraId="099A570B">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（10）被暂停或取消投标资格的； </w:t>
      </w:r>
    </w:p>
    <w:p w14:paraId="4D1384D1">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（11）进入清算程序，或被宣告破产，或其他丧失履约能力的情形；</w:t>
      </w:r>
    </w:p>
    <w:p w14:paraId="4E8809F9">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（12）在近三年内由于施工单位违反工程质量有关法律法规和工程建设标准，使工程产生结构安全、重要使用功能等方面的质量缺陷，造成重大或者特别重大工程质量事故的。</w:t>
      </w:r>
      <w:r>
        <w:rPr>
          <w:rFonts w:ascii="宋体" w:hAnsi="宋体" w:eastAsia="宋体" w:cs="Times New Roman"/>
          <w:color w:val="000000"/>
          <w:kern w:val="0"/>
          <w:sz w:val="22"/>
          <w:szCs w:val="22"/>
        </w:rPr>
        <w:cr/>
      </w:r>
    </w:p>
    <w:p w14:paraId="548870A3">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1.5 费用承担</w:t>
      </w:r>
    </w:p>
    <w:p w14:paraId="74AC6112">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投标人准备和参加投标活动发生的费用自理。</w:t>
      </w:r>
    </w:p>
    <w:p w14:paraId="4EBB3179">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1.6 保密</w:t>
      </w:r>
    </w:p>
    <w:p w14:paraId="68A62400">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参与招标投标活动的各方应对招标文件和投标文件中的商业和技术等秘密保密，违者应对由此造成的后果承担法律责任。 </w:t>
      </w:r>
    </w:p>
    <w:p w14:paraId="52A092E3">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1.7 语言文字</w:t>
      </w:r>
    </w:p>
    <w:p w14:paraId="68A4CF9B">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除专用术语外，与招标投标有关的语言均使用中文。必要时专用术语应附有中文注释。</w:t>
      </w:r>
    </w:p>
    <w:p w14:paraId="0CADCD9C">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1.8 计量单位</w:t>
      </w:r>
    </w:p>
    <w:p w14:paraId="5B962EA5">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所有计量均采用中华人民共和国法定计量单位。</w:t>
      </w:r>
    </w:p>
    <w:p w14:paraId="4742D7E2">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1.9 踏勘现场</w:t>
      </w:r>
    </w:p>
    <w:p w14:paraId="1934C2E3">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1.9.1 投标人须知前附表规定组织踏勘现场的，招标人按投标人须知前附表规定的时间、地点组织投标人踏勘项目现场。 </w:t>
      </w:r>
    </w:p>
    <w:p w14:paraId="0691F775">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1.9.2 投标人踏勘现场发生的费用自理。</w:t>
      </w:r>
    </w:p>
    <w:p w14:paraId="3F8D372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1.9.3 除招标人的原因外，投标人自行负责在踏勘现场中所发生的人员伤亡和财产损失。</w:t>
      </w:r>
    </w:p>
    <w:p w14:paraId="27210A03">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1.9.4 招标人在踏勘现场中介绍的工程场地和相关的周边环境情况，供投标人在编制投标文件时参考，招标人不对投标人据此作出的判断和决策负责。</w:t>
      </w:r>
    </w:p>
    <w:p w14:paraId="6A78E2DE">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1.10 投标预备会</w:t>
      </w:r>
    </w:p>
    <w:p w14:paraId="17E05A45">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1.10.1 投标人须知前附表规定召开投标预备会的，招标人按投标人须知前附表规定的时间和地点召开投标预备会，澄清投标人提出的问题。</w:t>
      </w:r>
    </w:p>
    <w:p w14:paraId="34D98BF6">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1.10.2 投标人应在投标人须知前附表规定的时间前，以书面形式将提出的问题送达招标人，以便招标人在会议期间澄清。</w:t>
      </w:r>
    </w:p>
    <w:p w14:paraId="76772808">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1.10.3 投标预备会后，招标人在投标人须知前附表规定的时间内，将对投标人所提问题的澄清，以书面方式通知所有购买招标文件的投标人。该澄清内容为招标文件的组成部分。</w:t>
      </w:r>
    </w:p>
    <w:p w14:paraId="2C0560E1">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1.11 分包</w:t>
      </w:r>
    </w:p>
    <w:p w14:paraId="59E57534">
      <w:pPr>
        <w:spacing w:line="400" w:lineRule="exact"/>
        <w:ind w:firstLine="594" w:firstLineChars="27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投标人拟在中标后将中标项目的部分非主体、非关键性工作进行分包的，应符合投标人须知前附表规定的分包内容、分包金额和接受分包的第三人资质要求等限制性条件。</w:t>
      </w:r>
    </w:p>
    <w:p w14:paraId="280C6263">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1.12 偏离</w:t>
      </w:r>
    </w:p>
    <w:p w14:paraId="411E291E">
      <w:pPr>
        <w:spacing w:line="400" w:lineRule="exact"/>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投标人须知前附表允许投标文件偏离招标文件某些要求的，偏离应当符合招标文件规定的偏离范围和幅度。</w:t>
      </w:r>
    </w:p>
    <w:p w14:paraId="7BB85060">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04" w:name="_Toc24375"/>
      <w:bookmarkStart w:id="105" w:name="_Toc28057"/>
      <w:bookmarkStart w:id="106" w:name="_Toc7611"/>
      <w:r>
        <w:rPr>
          <w:rFonts w:hint="eastAsia" w:ascii="宋体" w:hAnsi="宋体" w:eastAsia="宋体" w:cs="宋体"/>
          <w:b w:val="0"/>
          <w:bCs w:val="0"/>
          <w:color w:val="000000"/>
          <w:sz w:val="22"/>
          <w:szCs w:val="22"/>
        </w:rPr>
        <w:t>2. 招标文件</w:t>
      </w:r>
      <w:bookmarkEnd w:id="104"/>
      <w:bookmarkEnd w:id="105"/>
      <w:bookmarkEnd w:id="106"/>
    </w:p>
    <w:p w14:paraId="5092D1F0">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2.1 招标文件的组成</w:t>
      </w:r>
    </w:p>
    <w:p w14:paraId="0152FF95">
      <w:pPr>
        <w:spacing w:line="400" w:lineRule="exact"/>
        <w:ind w:firstLine="405"/>
        <w:jc w:val="both"/>
        <w:rPr>
          <w:rFonts w:hint="eastAsia" w:ascii="宋体" w:hAnsi="宋体" w:eastAsia="宋体" w:cs="Times New Roman"/>
          <w:color w:val="000000"/>
          <w:kern w:val="0"/>
          <w:sz w:val="22"/>
          <w:szCs w:val="22"/>
        </w:rPr>
      </w:pPr>
      <w:r>
        <w:rPr>
          <w:rFonts w:hint="eastAsia" w:ascii="宋体" w:hAnsi="宋体" w:cs="Times New Roman"/>
          <w:color w:val="000000"/>
          <w:kern w:val="0"/>
          <w:sz w:val="22"/>
          <w:szCs w:val="22"/>
          <w:lang w:val="en-US" w:eastAsia="zh-CN"/>
        </w:rPr>
        <w:t xml:space="preserve">2.1.1 </w:t>
      </w:r>
      <w:r>
        <w:rPr>
          <w:rFonts w:hint="eastAsia" w:ascii="宋体" w:hAnsi="宋体" w:eastAsia="宋体" w:cs="Times New Roman"/>
          <w:color w:val="000000"/>
          <w:kern w:val="0"/>
          <w:sz w:val="22"/>
          <w:szCs w:val="22"/>
        </w:rPr>
        <w:t>本招标文件包括：</w:t>
      </w:r>
    </w:p>
    <w:p w14:paraId="6296649C">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（1）招标公告（或投标邀请书）；</w:t>
      </w:r>
    </w:p>
    <w:p w14:paraId="11F532AB">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（2）投标人须知；</w:t>
      </w:r>
    </w:p>
    <w:p w14:paraId="0AEDB647">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（3）评标办法；</w:t>
      </w:r>
    </w:p>
    <w:p w14:paraId="13424930">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（4）合同条款及格式；</w:t>
      </w:r>
    </w:p>
    <w:p w14:paraId="18AE1CCC">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（5）工程量清单； </w:t>
      </w:r>
    </w:p>
    <w:p w14:paraId="342D9BBF">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（6）图纸； </w:t>
      </w:r>
    </w:p>
    <w:p w14:paraId="503E5635">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（7）技术标准和要求； </w:t>
      </w:r>
    </w:p>
    <w:p w14:paraId="1B4B897F">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（8）投标文件格式；</w:t>
      </w:r>
    </w:p>
    <w:p w14:paraId="50997CBB">
      <w:pPr>
        <w:spacing w:line="240" w:lineRule="auto"/>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（9）投标人须知前附表规定的其他材料。</w:t>
      </w:r>
    </w:p>
    <w:p w14:paraId="22F201E5">
      <w:pPr>
        <w:spacing w:before="120" w:after="120"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cs="Times New Roman"/>
          <w:color w:val="000000"/>
          <w:kern w:val="0"/>
          <w:sz w:val="22"/>
          <w:szCs w:val="22"/>
          <w:lang w:val="en-US" w:eastAsia="zh-CN"/>
        </w:rPr>
        <w:t xml:space="preserve">2.1.2 </w:t>
      </w:r>
      <w:r>
        <w:rPr>
          <w:rFonts w:hint="eastAsia" w:ascii="宋体" w:hAnsi="宋体" w:eastAsia="宋体" w:cs="Times New Roman"/>
          <w:color w:val="000000"/>
          <w:kern w:val="0"/>
          <w:sz w:val="22"/>
          <w:szCs w:val="22"/>
        </w:rPr>
        <w:t>根据本章第2.2款和第2.3款对招标文件所作的澄清、修改，构成招标文件的组成部分。</w:t>
      </w:r>
    </w:p>
    <w:p w14:paraId="484223DE">
      <w:pPr>
        <w:ind w:firstLine="440" w:firstLineChars="200"/>
        <w:jc w:val="both"/>
        <w:rPr>
          <w:rFonts w:hint="eastAsia" w:ascii="宋体" w:hAnsi="宋体" w:cs="Times New Roman"/>
          <w:color w:val="000000"/>
          <w:kern w:val="0"/>
          <w:szCs w:val="22"/>
        </w:rPr>
      </w:pPr>
      <w:r>
        <w:rPr>
          <w:rFonts w:hint="eastAsia" w:ascii="宋体" w:hAnsi="宋体" w:cs="Times New Roman"/>
          <w:color w:val="000000"/>
          <w:kern w:val="0"/>
          <w:szCs w:val="22"/>
        </w:rPr>
        <w:t>2.1.3 电子招标文件为扩展名为CDZ的文件，其中包含招标文件（PDF格式）、招标项目（XML格式）、工程量清单（PDF格式</w:t>
      </w:r>
      <w:r>
        <w:rPr>
          <w:rFonts w:hint="eastAsia" w:ascii="宋体" w:hAnsi="宋体" w:cs="Times New Roman"/>
          <w:color w:val="000000"/>
          <w:kern w:val="0"/>
          <w:szCs w:val="22"/>
          <w:lang w:val="en-US" w:eastAsia="zh-CN"/>
        </w:rPr>
        <w:t>或CJZ格式</w:t>
      </w:r>
      <w:r>
        <w:rPr>
          <w:rFonts w:hint="eastAsia" w:ascii="宋体" w:hAnsi="宋体" w:cs="Times New Roman"/>
          <w:color w:val="000000"/>
          <w:kern w:val="0"/>
          <w:szCs w:val="22"/>
        </w:rPr>
        <w:t>）等。工程量清单PDF格式文件</w:t>
      </w:r>
      <w:r>
        <w:rPr>
          <w:rFonts w:hint="eastAsia" w:ascii="宋体" w:hAnsi="宋体" w:cs="Times New Roman"/>
          <w:color w:val="000000"/>
          <w:kern w:val="0"/>
          <w:szCs w:val="22"/>
          <w:lang w:val="en-US" w:eastAsia="zh-CN"/>
        </w:rPr>
        <w:t>或CJZ格式</w:t>
      </w:r>
      <w:r>
        <w:rPr>
          <w:rFonts w:hint="eastAsia" w:ascii="宋体" w:hAnsi="宋体" w:cs="Times New Roman"/>
          <w:color w:val="000000"/>
          <w:kern w:val="0"/>
          <w:szCs w:val="22"/>
        </w:rPr>
        <w:t>由招标人、招标代理机构依据国家标准、招标文件、设计文件以及施工现场实际情况编制后导入“成都市电子招标文件编制系统”后生成。答疑或者补遗文件也是由电子招标文件编制系统制作生成。</w:t>
      </w:r>
    </w:p>
    <w:p w14:paraId="366FFE64">
      <w:pPr>
        <w:keepNext/>
        <w:keepLines/>
        <w:widowControl w:val="0"/>
        <w:spacing w:line="360" w:lineRule="auto"/>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2.2 招标文件的澄清</w:t>
      </w:r>
    </w:p>
    <w:p w14:paraId="121ECFE4">
      <w:pPr>
        <w:spacing w:line="240" w:lineRule="auto"/>
        <w:ind w:firstLine="440" w:firstLineChars="200"/>
        <w:jc w:val="both"/>
        <w:rPr>
          <w:rFonts w:hint="eastAsia" w:ascii="宋体" w:hAnsi="宋体" w:eastAsia="宋体" w:cs="Times New Roman"/>
          <w:b/>
          <w:bCs/>
          <w:color w:val="000000"/>
          <w:kern w:val="0"/>
          <w:sz w:val="22"/>
          <w:szCs w:val="22"/>
        </w:rPr>
      </w:pPr>
      <w:r>
        <w:rPr>
          <w:rFonts w:hint="eastAsia" w:ascii="宋体" w:hAnsi="宋体" w:eastAsia="宋体" w:cs="Times New Roman"/>
          <w:color w:val="000000"/>
          <w:kern w:val="0"/>
          <w:sz w:val="22"/>
          <w:szCs w:val="22"/>
        </w:rPr>
        <w:t>详见投标人须知前附表</w:t>
      </w:r>
    </w:p>
    <w:p w14:paraId="28557E72">
      <w:pPr>
        <w:keepNext/>
        <w:keepLines/>
        <w:widowControl w:val="0"/>
        <w:spacing w:line="360" w:lineRule="auto"/>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2.3 招标文件的修改</w:t>
      </w:r>
    </w:p>
    <w:p w14:paraId="7CD061D5">
      <w:pPr>
        <w:spacing w:line="24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详见投标人须知前附表</w:t>
      </w:r>
    </w:p>
    <w:p w14:paraId="0FDB1ED0">
      <w:pPr>
        <w:keepNext/>
        <w:keepLines/>
        <w:widowControl w:val="0"/>
        <w:spacing w:before="100" w:after="0" w:line="360" w:lineRule="auto"/>
        <w:jc w:val="both"/>
        <w:outlineLvl w:val="1"/>
        <w:rPr>
          <w:rFonts w:hint="eastAsia" w:ascii="宋体" w:hAnsi="宋体" w:eastAsia="宋体" w:cs="宋体"/>
          <w:b w:val="0"/>
          <w:bCs w:val="0"/>
          <w:color w:val="000000"/>
          <w:sz w:val="22"/>
          <w:szCs w:val="22"/>
        </w:rPr>
      </w:pPr>
      <w:bookmarkStart w:id="107" w:name="_Toc3863"/>
      <w:bookmarkStart w:id="108" w:name="_Toc20812"/>
      <w:bookmarkStart w:id="109" w:name="_Toc32620"/>
      <w:r>
        <w:rPr>
          <w:rFonts w:hint="eastAsia" w:ascii="宋体" w:hAnsi="宋体" w:eastAsia="宋体" w:cs="宋体"/>
          <w:b w:val="0"/>
          <w:bCs w:val="0"/>
          <w:color w:val="000000"/>
          <w:sz w:val="22"/>
          <w:szCs w:val="22"/>
        </w:rPr>
        <w:t>3. 投标文件</w:t>
      </w:r>
      <w:bookmarkEnd w:id="107"/>
      <w:bookmarkEnd w:id="108"/>
      <w:bookmarkEnd w:id="109"/>
    </w:p>
    <w:p w14:paraId="583046AF">
      <w:pPr>
        <w:keepNext/>
        <w:keepLines/>
        <w:widowControl w:val="0"/>
        <w:spacing w:line="360" w:lineRule="auto"/>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3.1 投标文件的组成</w:t>
      </w:r>
    </w:p>
    <w:p w14:paraId="57AA6C1F">
      <w:pPr>
        <w:spacing w:line="400" w:lineRule="exact"/>
        <w:ind w:firstLine="405"/>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3.1.1投标文件应包括的内容见“第八章 投标文件格式”。 </w:t>
      </w:r>
    </w:p>
    <w:p w14:paraId="2D4503F9">
      <w:pPr>
        <w:spacing w:line="400" w:lineRule="exact"/>
        <w:ind w:firstLine="405"/>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3.1.2 投标人须知前附表规定不接受联合体投标的，或投标人没有组成联合体的，投标文件无须提供联合体协议书。 </w:t>
      </w:r>
    </w:p>
    <w:p w14:paraId="7F888185">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3.2 投标报价</w:t>
      </w:r>
    </w:p>
    <w:p w14:paraId="2AA65180">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3.2.1 投标人应按第五章“工程量清单”的要求填写相应表格。</w:t>
      </w:r>
    </w:p>
    <w:p w14:paraId="1AC292C3">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3.2.2 投标人在投标截止时间前修改投标函中的投标总报价，应同时修改第五章“工程量清单”中的相应报价。此修改须符合本章第4.3款的有关要求。</w:t>
      </w:r>
    </w:p>
    <w:p w14:paraId="0BB19160">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3.3 投标有效期</w:t>
      </w:r>
    </w:p>
    <w:p w14:paraId="47EF3568">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3.3.1 在投标人须知前附表规定的投标有效期内，投标人不得要求撤销或修改其投标文件。</w:t>
      </w:r>
    </w:p>
    <w:p w14:paraId="3D7B09E0">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6D156989">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3.4 投标保证金</w:t>
      </w:r>
    </w:p>
    <w:p w14:paraId="69E57AB6">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3.4.1投标人在递交投标文件的同时，应按投标人须知前附表规定的金额、担保形式递交投标保证金。联合体投标的，其投标保证金由牵头人递交，并应符合投标人须知前附表的规定。</w:t>
      </w:r>
    </w:p>
    <w:p w14:paraId="22E32D98">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3.4.2 投标人不按本章第3.4.1项要求提交投标保证金的，其投标文件作否决投标处理。</w:t>
      </w:r>
    </w:p>
    <w:p w14:paraId="0A0CFF9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3.4.3投标保证金的退还：详见投标人须知前附表。</w:t>
      </w:r>
    </w:p>
    <w:p w14:paraId="1C039CF6">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3.4.4 有下列情形之一的，投标保证金将不予退还： </w:t>
      </w:r>
    </w:p>
    <w:p w14:paraId="2B5E4D56">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（1）投标人在规定的投标有效期内撤销或修改其投标文件；</w:t>
      </w:r>
    </w:p>
    <w:p w14:paraId="27825218">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（2）中标人在收到中标通知书后，无正当理由拒签合同协议书或未按招标文件规定提交履约担保。</w:t>
      </w:r>
    </w:p>
    <w:p w14:paraId="0EECBF79">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3.5 资格审查资料（适用于已进行资格预审的）</w:t>
      </w:r>
    </w:p>
    <w:p w14:paraId="4CA9B1A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投标人在编制投标文件时，应按新情况更新或补充其在申请资格预审时提供的资料，以证实其各项资格条件仍能继续满足资格预审文件的要求，具备承担本标段施工的资质条件、能力和信誉。</w:t>
      </w:r>
    </w:p>
    <w:p w14:paraId="75BAA448">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3.5 资格审查资料（适用于未进行资格预审的）</w:t>
      </w:r>
    </w:p>
    <w:p w14:paraId="1304CA5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3.5.1 “投标人基本情况表”应附投标人有效的营业执照副本、资质证书副本和安全生产许可证副本（依法不需要提供的除外）等材料的扫描件。</w:t>
      </w:r>
    </w:p>
    <w:p w14:paraId="41DB850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3.5.2 “近年财务状况表”应附经会计师事务所或审计机构出具的财务会计报表，包括资产负债表、现金流量表、利润表的扫描件，具体年份要求见投标人须知前附表。</w:t>
      </w:r>
    </w:p>
    <w:p w14:paraId="738C547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3.5.3 “近年完成的类似项目”应附证明材料详见第八章“投标文件格式”要求，具体年份要求见投标人须知前附表。每张表格只填写一个项目，并标明序号。</w:t>
      </w:r>
    </w:p>
    <w:p w14:paraId="08BEB660">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3.5.4“正在施工和新承接的项目”应附证明材料详见第八章“投标文件格式”要求。每张表格只填写一个项目，并标明序号。</w:t>
      </w:r>
    </w:p>
    <w:p w14:paraId="56C0BC5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3.5.5 “近年发生的诉讼及仲裁情况”</w:t>
      </w:r>
      <w:r>
        <w:rPr>
          <w:rFonts w:ascii="宋体" w:hAnsi="宋体" w:eastAsia="宋体" w:cs="Times New Roman"/>
          <w:color w:val="000000"/>
          <w:kern w:val="0"/>
          <w:sz w:val="22"/>
          <w:szCs w:val="22"/>
        </w:rPr>
        <w:t xml:space="preserve"> :</w:t>
      </w:r>
      <w:r>
        <w:rPr>
          <w:rFonts w:hint="eastAsia" w:ascii="宋体" w:hAnsi="宋体" w:eastAsia="宋体" w:cs="Times New Roman"/>
          <w:color w:val="000000"/>
          <w:kern w:val="0"/>
          <w:sz w:val="22"/>
          <w:szCs w:val="22"/>
        </w:rPr>
        <w:t>详见投标人须知前附表。</w:t>
      </w:r>
    </w:p>
    <w:p w14:paraId="4F26C82D">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3.5.6 投标人须知前附表规定接受联合体投标的，本章第3.5.1项至第3.5.5项规定的表格和资料应包括联合体各方相关情况。</w:t>
      </w:r>
    </w:p>
    <w:p w14:paraId="6F98A0F5">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3.6 备选投标方案</w:t>
      </w:r>
    </w:p>
    <w:p w14:paraId="7831032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348D85E6">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3.7 投标文件的编制</w:t>
      </w:r>
    </w:p>
    <w:p w14:paraId="5771FCAB">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3BF44B21">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3.7.2 投标文件应当对招标文件有关工期、投标有效期、质量要求、技术标准和要求、招标范围等实质性内容作出响应。</w:t>
      </w:r>
    </w:p>
    <w:p w14:paraId="331D4D2B">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3.7.3</w:t>
      </w:r>
      <w:r>
        <w:rPr>
          <w:rFonts w:hint="eastAsia" w:ascii="宋体" w:hAnsi="宋体" w:cs="Times New Roman"/>
          <w:kern w:val="0"/>
          <w:sz w:val="22"/>
          <w:szCs w:val="22"/>
          <w:lang w:eastAsia="zh-CN"/>
        </w:rPr>
        <w:t>签字或签章</w:t>
      </w:r>
      <w:r>
        <w:rPr>
          <w:rFonts w:hint="eastAsia" w:ascii="宋体" w:hAnsi="宋体" w:eastAsia="宋体" w:cs="Times New Roman"/>
          <w:kern w:val="0"/>
          <w:sz w:val="22"/>
          <w:szCs w:val="22"/>
        </w:rPr>
        <w:t>的具体要求见投标人须知前附表。</w:t>
      </w:r>
      <w:r>
        <w:rPr>
          <w:rFonts w:hint="eastAsia" w:ascii="宋体" w:hAnsi="宋体" w:eastAsia="宋体" w:cs="Times New Roman"/>
          <w:color w:val="000000"/>
          <w:kern w:val="0"/>
          <w:sz w:val="22"/>
          <w:szCs w:val="22"/>
        </w:rPr>
        <w:t xml:space="preserve"> </w:t>
      </w:r>
    </w:p>
    <w:p w14:paraId="44F745C3">
      <w:pPr>
        <w:spacing w:line="400" w:lineRule="exact"/>
        <w:ind w:firstLine="440" w:firstLineChars="200"/>
        <w:jc w:val="both"/>
        <w:rPr>
          <w:rFonts w:hint="eastAsia" w:ascii="宋体" w:hAnsi="宋体" w:eastAsia="宋体" w:cs="Times New Roman"/>
          <w:kern w:val="0"/>
          <w:sz w:val="22"/>
          <w:szCs w:val="22"/>
        </w:rPr>
      </w:pPr>
      <w:r>
        <w:rPr>
          <w:rFonts w:hint="eastAsia" w:ascii="宋体" w:hAnsi="宋体" w:eastAsia="宋体" w:cs="Times New Roman"/>
          <w:color w:val="000000"/>
          <w:kern w:val="0"/>
          <w:sz w:val="22"/>
          <w:szCs w:val="22"/>
        </w:rPr>
        <w:t>3.7.4</w:t>
      </w:r>
      <w:r>
        <w:rPr>
          <w:rFonts w:hint="eastAsia" w:ascii="宋体" w:hAnsi="宋体" w:eastAsia="宋体" w:cs="Times New Roman"/>
          <w:kern w:val="0"/>
          <w:sz w:val="22"/>
          <w:szCs w:val="22"/>
        </w:rPr>
        <w:t>投标人应提供一份格式正确、内容完整、加密的电子投标文件。电子投标文件应使用“成都市电子投标文件制作系统（2017版）”制作，并通过CA数字证书进行加密，存储为扩展名为CDT的文件。</w:t>
      </w:r>
    </w:p>
    <w:p w14:paraId="7BC4BBF8">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kern w:val="0"/>
          <w:sz w:val="22"/>
          <w:szCs w:val="22"/>
        </w:rPr>
        <w:t>不见面开标项目不接受投标人现场递交光盘等形式的投标文件，不接受投标人现场解密投标文件。</w:t>
      </w:r>
    </w:p>
    <w:p w14:paraId="5A13AD6F">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10" w:name="_Toc7308"/>
      <w:bookmarkStart w:id="111" w:name="_Toc16161"/>
      <w:bookmarkStart w:id="112" w:name="_Toc28411"/>
      <w:r>
        <w:rPr>
          <w:rFonts w:hint="eastAsia" w:ascii="宋体" w:hAnsi="宋体" w:eastAsia="宋体" w:cs="宋体"/>
          <w:b w:val="0"/>
          <w:bCs w:val="0"/>
          <w:color w:val="000000"/>
          <w:sz w:val="22"/>
          <w:szCs w:val="22"/>
        </w:rPr>
        <w:t>4. 投标</w:t>
      </w:r>
      <w:bookmarkEnd w:id="110"/>
      <w:bookmarkEnd w:id="111"/>
      <w:bookmarkEnd w:id="112"/>
    </w:p>
    <w:p w14:paraId="332C9721">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4.1 投标文件的密封和标记</w:t>
      </w:r>
    </w:p>
    <w:p w14:paraId="766E4832">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4.1.1</w:t>
      </w:r>
      <w:r>
        <w:rPr>
          <w:rFonts w:hint="eastAsia" w:ascii="Calibri" w:hAnsi="Calibri" w:eastAsia="宋体" w:cs="Times New Roman"/>
          <w:kern w:val="0"/>
          <w:sz w:val="22"/>
          <w:szCs w:val="22"/>
        </w:rPr>
        <w:t>电子投标文件未使用CA数字证书进行加密的，将无法上传至云平台。若投标人投标文件因未加密而造成过早失密等情况，招标人及招标代理机构概不负责。不见面开标项目不接受投标人现场递交光盘等形式的投标文件，不接受投标人现场解密投标文件。</w:t>
      </w:r>
    </w:p>
    <w:p w14:paraId="7D6B0089">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4.2 投标文件的递交</w:t>
      </w:r>
    </w:p>
    <w:p w14:paraId="1AADD9DC">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4.2.1 投标人应在本章第2.2.2项规定的投标截止时间前递交投标文件。</w:t>
      </w:r>
    </w:p>
    <w:p w14:paraId="6FCF717A">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4.2.2投标文件未能在规定时间内成功解密的，视为投标人未在规定时间内提交投标文件，由投标人自行承担责任。不见面开标项目不接受投标人现场递交光盘等形式的投标文件，不接受投标人现场解密投标文件。</w:t>
      </w:r>
    </w:p>
    <w:p w14:paraId="2538900E">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4.3 投标文件的修改与撤回</w:t>
      </w:r>
    </w:p>
    <w:p w14:paraId="3BD8A01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4.3.1 在本章第2.2.2项规定的投标截止时间前，投标人可以修改或撤回已递交的投标文件，投标人投标文件进行撤回的，应在“成都市公共资源电子交易云平台”直接进行撤回操作；投标人对投标文件进行修改的，应在投标文件截止时间前在“成都市公共资源电子交易云平台”撤回原文件后，重新上传修改后并加密的投标文件。</w:t>
      </w:r>
    </w:p>
    <w:p w14:paraId="570823B9">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4.3.2</w:t>
      </w:r>
      <w:r>
        <w:rPr>
          <w:rFonts w:ascii="宋体" w:hAnsi="宋体" w:eastAsia="宋体" w:cs="Times New Roman"/>
          <w:color w:val="000000"/>
          <w:kern w:val="0"/>
          <w:sz w:val="22"/>
          <w:szCs w:val="22"/>
        </w:rPr>
        <w:t xml:space="preserve"> </w:t>
      </w:r>
      <w:r>
        <w:rPr>
          <w:rFonts w:hint="eastAsia" w:ascii="宋体" w:hAnsi="宋体" w:eastAsia="宋体" w:cs="Times New Roman"/>
          <w:kern w:val="0"/>
          <w:sz w:val="22"/>
          <w:szCs w:val="22"/>
        </w:rPr>
        <w:t>投标人修改或撤回已递交投标文件的书面通知应按照本章第3.7.3项的要求盖章。</w:t>
      </w:r>
    </w:p>
    <w:p w14:paraId="44072D30">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13" w:name="_Toc11945"/>
      <w:bookmarkStart w:id="114" w:name="_Toc2488"/>
      <w:bookmarkStart w:id="115" w:name="_Toc17186"/>
      <w:r>
        <w:rPr>
          <w:rFonts w:hint="eastAsia" w:ascii="宋体" w:hAnsi="宋体" w:eastAsia="宋体" w:cs="宋体"/>
          <w:b w:val="0"/>
          <w:bCs w:val="0"/>
          <w:color w:val="000000"/>
          <w:sz w:val="22"/>
          <w:szCs w:val="22"/>
        </w:rPr>
        <w:t>5. 开标</w:t>
      </w:r>
      <w:bookmarkEnd w:id="113"/>
      <w:bookmarkEnd w:id="114"/>
      <w:bookmarkEnd w:id="115"/>
    </w:p>
    <w:p w14:paraId="4CA6206B">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5.1 开标时间</w:t>
      </w:r>
    </w:p>
    <w:p w14:paraId="7274480C">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招标人在本章第2.2.2项规定的投标截止时间（开标时间）开标。招标人或其委托代理机构，以及已在投标截止时间前按规定上传投标文件的投标人，均应在开标当日投标截止时间前登录不见面开标系统（网址：www.cdggzy.com），录入相关人员姓名、电话等基本信息。投标人未按时登录不见面开标系统，错过开标解密时间的，由投标人自行承担不利后果。</w:t>
      </w:r>
    </w:p>
    <w:p w14:paraId="0CD5D6B2">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5.2 开标程序</w:t>
      </w:r>
    </w:p>
    <w:p w14:paraId="3D12878C">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（1）招标人或其委托代理机构，以及已在投标截止时间前按规定上传投标文件的投标人，均应在开标当日投标截止时间前登录不见面开标系统（网址：www.cdggzy.com），录入相关人员姓名、电话等基本信息。</w:t>
      </w:r>
    </w:p>
    <w:p w14:paraId="0AE6DB82">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（2）</w:t>
      </w:r>
      <w:r>
        <w:rPr>
          <w:rFonts w:hint="eastAsia" w:ascii="Times New Roman" w:hAnsi="宋体" w:eastAsia="宋体" w:cs="Times New Roman"/>
          <w:color w:val="auto"/>
          <w:sz w:val="22"/>
          <w:szCs w:val="22"/>
          <w:highlight w:val="none"/>
        </w:rPr>
        <w:t>投标时间截止后，当投标文件份数上传大于等于3份时，招标人或其委托代理机构点击确认开标开始，系统进入正式开标环节。 招标人或其委托代理机构应点击进入投标文件解密环节，投标人应在解密开始后30分钟内在线完成投标文件解密。</w:t>
      </w:r>
    </w:p>
    <w:p w14:paraId="557FAEF1">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（3）</w:t>
      </w:r>
      <w:r>
        <w:rPr>
          <w:rFonts w:hint="eastAsia" w:ascii="Times New Roman" w:hAnsi="宋体" w:eastAsia="宋体" w:cs="Times New Roman"/>
          <w:color w:val="auto"/>
          <w:sz w:val="22"/>
          <w:szCs w:val="22"/>
          <w:highlight w:val="none"/>
        </w:rPr>
        <w:t>所有投标人完成解密后或在规定解密时间截止后，展示所有已上传投标文件的投标人名单、投标保证金交纳情况和投标人相关信用信息等投标基本情况。</w:t>
      </w:r>
    </w:p>
    <w:p w14:paraId="1E672D8B">
      <w:pPr>
        <w:spacing w:line="360" w:lineRule="auto"/>
        <w:ind w:left="0" w:leftChars="0" w:right="31"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（4）招标人或其委托代理机构确认进入唱标展示环节，由系统直接展示各投标人名称、投标报价等唱标内容，生成开标记录表。</w:t>
      </w:r>
    </w:p>
    <w:p w14:paraId="7AAB5ADC">
      <w:pPr>
        <w:spacing w:line="400" w:lineRule="exact"/>
        <w:ind w:firstLine="376" w:firstLineChars="171"/>
        <w:jc w:val="both"/>
        <w:rPr>
          <w:rFonts w:hint="eastAsia" w:ascii="宋体" w:hAnsi="宋体" w:eastAsia="宋体" w:cs="Times New Roman"/>
          <w:color w:val="000000"/>
          <w:kern w:val="0"/>
          <w:sz w:val="22"/>
          <w:szCs w:val="22"/>
        </w:rPr>
      </w:pPr>
      <w:r>
        <w:rPr>
          <w:rFonts w:hint="eastAsia" w:ascii="Times New Roman" w:hAnsi="宋体" w:eastAsia="宋体" w:cs="Times New Roman"/>
          <w:color w:val="auto"/>
          <w:sz w:val="22"/>
          <w:szCs w:val="22"/>
          <w:highlight w:val="none"/>
        </w:rPr>
        <w:t>（5）投标人对开标有异议的，应在线提出，由招标人或其委托代理机构在线即时答复处理。招标人或其委托代理机构应为投标人提供提出异议时间不少于10分钟（生成开标记录表开始起算）。所有异议处理完毕后，由招标人或其委托代理机构确认开标结束。</w:t>
      </w:r>
    </w:p>
    <w:p w14:paraId="7EF145A0">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16" w:name="_Toc18262"/>
      <w:bookmarkStart w:id="117" w:name="_Toc27021"/>
      <w:bookmarkStart w:id="118" w:name="_Toc12272"/>
      <w:r>
        <w:rPr>
          <w:rFonts w:hint="eastAsia" w:ascii="宋体" w:hAnsi="宋体" w:eastAsia="宋体" w:cs="宋体"/>
          <w:b w:val="0"/>
          <w:bCs w:val="0"/>
          <w:color w:val="000000"/>
          <w:sz w:val="22"/>
          <w:szCs w:val="22"/>
        </w:rPr>
        <w:t>6. 评标</w:t>
      </w:r>
      <w:bookmarkEnd w:id="116"/>
      <w:bookmarkEnd w:id="117"/>
      <w:bookmarkEnd w:id="118"/>
    </w:p>
    <w:p w14:paraId="445F21FB">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6.1 评标委员会</w:t>
      </w:r>
    </w:p>
    <w:p w14:paraId="48E9D6B5">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F91A7A7">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6.1.2 评标委员会成员有下列情形之一的，应当回避：</w:t>
      </w:r>
    </w:p>
    <w:p w14:paraId="45976A12">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（1）招标人或投标人的主要负责人的近亲属；</w:t>
      </w:r>
    </w:p>
    <w:p w14:paraId="0F640E2F">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（2）项目主管部门或者行政监督部门的人员；</w:t>
      </w:r>
    </w:p>
    <w:p w14:paraId="75742B2B">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（3）与投标人有经济利益关系，可能影响对投标公正评审的；</w:t>
      </w:r>
    </w:p>
    <w:p w14:paraId="1C4D2760">
      <w:pPr>
        <w:spacing w:line="400" w:lineRule="exact"/>
        <w:ind w:firstLine="752" w:firstLineChars="342"/>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（4）曾因在招标、评标以及其他与招标投标有关活动中从事违法行为而受过行政处罚或刑事处罚的。</w:t>
      </w:r>
    </w:p>
    <w:p w14:paraId="6D6D8F4B">
      <w:pPr>
        <w:keepNext/>
        <w:keepLines/>
        <w:widowControl w:val="0"/>
        <w:tabs>
          <w:tab w:val="left" w:pos="2620"/>
        </w:tabs>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6.2 评标原则</w:t>
      </w:r>
      <w:r>
        <w:rPr>
          <w:rFonts w:ascii="宋体" w:hAnsi="宋体" w:eastAsia="宋体" w:cs="宋体"/>
          <w:b w:val="0"/>
          <w:bCs w:val="0"/>
          <w:color w:val="000000"/>
          <w:sz w:val="22"/>
          <w:szCs w:val="22"/>
        </w:rPr>
        <w:tab/>
      </w:r>
    </w:p>
    <w:p w14:paraId="05E399C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评标活动遵循公平、公正、科学和择优的原则。</w:t>
      </w:r>
    </w:p>
    <w:p w14:paraId="103CFA62">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6.3 评标</w:t>
      </w:r>
    </w:p>
    <w:p w14:paraId="64CFA7C8">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评标委员会按照第三章“评标办法”规定的方法、评审因素、标准和程序对投标文件进行评审。第三章“评标办法”没有规定的方法、评审因素和标准，不作为评标依据。</w:t>
      </w:r>
    </w:p>
    <w:p w14:paraId="51B4DF83">
      <w:pPr>
        <w:spacing w:line="400" w:lineRule="exact"/>
        <w:ind w:firstLine="440" w:firstLineChars="200"/>
        <w:jc w:val="both"/>
      </w:pPr>
      <w:r>
        <w:rPr>
          <w:rFonts w:hint="eastAsia"/>
          <w:szCs w:val="22"/>
        </w:rPr>
        <w:t>□</w:t>
      </w:r>
      <w:r>
        <w:rPr>
          <w:rFonts w:hint="eastAsia" w:ascii="宋体" w:hAnsi="宋体" w:eastAsia="宋体" w:cs="宋体"/>
        </w:rPr>
        <w:t xml:space="preserve">6.3.1 </w:t>
      </w:r>
      <w:r>
        <w:rPr>
          <w:rFonts w:hint="eastAsia"/>
        </w:rPr>
        <w:t>投标人须知前附表规定采用暗标时，则制作暗标部分投标文件时应满足下列要求：</w:t>
      </w:r>
    </w:p>
    <w:p w14:paraId="76332585">
      <w:pPr>
        <w:spacing w:line="400" w:lineRule="exact"/>
        <w:ind w:firstLine="752" w:firstLineChars="342"/>
        <w:rPr>
          <w:rFonts w:hint="eastAsia" w:ascii="宋体" w:hAnsi="宋体" w:eastAsia="宋体" w:cs="宋体"/>
        </w:rPr>
      </w:pPr>
      <w:r>
        <w:rPr>
          <w:rFonts w:hint="eastAsia" w:ascii="宋体" w:hAnsi="宋体" w:eastAsia="宋体" w:cs="宋体"/>
        </w:rPr>
        <w:t>(1)暗标部分应当以能够隐去投标人的可识别身份信息为原则：投标人不得在暗标中出现投标单位名称、地址、徽标、特有工法、专利、企业文化(宗旨、愿景等)人员名称及能判断出该投标人的内容等任何标识或暗示该投标人信息的标记，不得出现彩色内容(包括但不限于文字、图表、插图等);暗标部分中不得明示的内容可以“******”(六个*)代替。</w:t>
      </w:r>
    </w:p>
    <w:p w14:paraId="2CBC27F7">
      <w:pPr>
        <w:spacing w:line="400" w:lineRule="exact"/>
        <w:ind w:firstLine="752" w:firstLineChars="342"/>
        <w:rPr>
          <w:rFonts w:hint="eastAsia" w:ascii="宋体" w:hAnsi="宋体" w:eastAsia="宋体" w:cs="宋体"/>
        </w:rPr>
      </w:pPr>
      <w:r>
        <w:rPr>
          <w:rFonts w:hint="eastAsia" w:ascii="宋体" w:hAnsi="宋体" w:eastAsia="宋体" w:cs="宋体"/>
        </w:rPr>
        <w:t>(2)字体及排版要求：采用A4幅面白底，纸张方向纵向，页边距：上2.5cm，下2.0cm，左2.0cm，右2.0cm；不得出现底纹、水印、页码、页眉、页脚；段落对齐方式为左对齐，左右缩进为0字符，文字方向为从左到右，首行缩进2字符，段前段后为0；字体全部采用宋体四号，黑色，1.5倍行距，不得出现空行；字符间距为标准，字符位置为标准，字符缩放为100%;字形为常规，不得使用加粗、斜体、下划线、加框、着重号等；不得使用任何文字效果；文中不得出现特殊符号。</w:t>
      </w:r>
    </w:p>
    <w:p w14:paraId="3261B089">
      <w:pPr>
        <w:spacing w:line="400" w:lineRule="exact"/>
        <w:ind w:firstLine="752" w:firstLineChars="342"/>
        <w:rPr>
          <w:rFonts w:hint="eastAsia" w:ascii="宋体" w:hAnsi="宋体" w:eastAsia="宋体" w:cs="宋体"/>
        </w:rPr>
      </w:pPr>
      <w:r>
        <w:rPr>
          <w:rFonts w:hint="eastAsia" w:ascii="宋体" w:hAnsi="宋体" w:eastAsia="宋体" w:cs="宋体"/>
        </w:rPr>
        <w:t>(3)图、表中的字体、段落等与上述要求相同，但是段落对齐方式为居中，特殊格式(首行缩进)为无。</w:t>
      </w:r>
    </w:p>
    <w:p w14:paraId="177A822E">
      <w:pPr>
        <w:spacing w:line="400" w:lineRule="exact"/>
        <w:ind w:firstLine="752" w:firstLineChars="342"/>
        <w:rPr>
          <w:rFonts w:hint="eastAsia" w:ascii="宋体" w:hAnsi="宋体" w:eastAsia="宋体" w:cs="宋体"/>
        </w:rPr>
      </w:pPr>
      <w:r>
        <w:rPr>
          <w:rFonts w:hint="eastAsia" w:ascii="宋体" w:hAnsi="宋体" w:eastAsia="宋体" w:cs="宋体"/>
        </w:rPr>
        <w:t>(4)暗标部分封面必须严格按照招标文件的格式填写，封底不可加入任何标识。每部分当中：一级标题格式：例如“第2章技术方案”。二级标题格式：例如“2.1关键技术路线”。三级标题格式：例如“2.1.1 关键技术路线剖析”，以此类推。标题中空格为1个英文半角空格。</w:t>
      </w:r>
    </w:p>
    <w:p w14:paraId="64A4236A">
      <w:pPr>
        <w:spacing w:line="400" w:lineRule="exact"/>
        <w:ind w:firstLine="752" w:firstLineChars="342"/>
        <w:rPr>
          <w:rFonts w:hint="eastAsia" w:ascii="宋体" w:hAnsi="宋体" w:eastAsia="宋体" w:cs="宋体"/>
        </w:rPr>
      </w:pPr>
      <w:r>
        <w:rPr>
          <w:rFonts w:hint="eastAsia" w:ascii="宋体" w:hAnsi="宋体" w:eastAsia="宋体" w:cs="宋体"/>
        </w:rPr>
        <w:t>(5)“明标”商务文件(资格部分)中出现过的任何图、表、品牌规格型号等内容，不得在暗标中重复出现。</w:t>
      </w:r>
    </w:p>
    <w:p w14:paraId="2324F32B">
      <w:pPr>
        <w:spacing w:line="400" w:lineRule="exact"/>
        <w:ind w:firstLine="752" w:firstLineChars="342"/>
        <w:rPr>
          <w:rFonts w:hint="eastAsia" w:ascii="宋体" w:hAnsi="宋体" w:eastAsia="宋体" w:cs="宋体"/>
        </w:rPr>
      </w:pPr>
      <w:r>
        <w:rPr>
          <w:rFonts w:hint="eastAsia" w:ascii="宋体" w:hAnsi="宋体" w:eastAsia="宋体" w:cs="宋体"/>
        </w:rPr>
        <w:t>(6)暗标部分不做目录。</w:t>
      </w:r>
    </w:p>
    <w:p w14:paraId="39C564CC">
      <w:pPr>
        <w:spacing w:line="400" w:lineRule="exact"/>
        <w:ind w:firstLine="752" w:firstLineChars="342"/>
        <w:rPr>
          <w:rFonts w:hint="eastAsia" w:ascii="宋体" w:hAnsi="宋体" w:eastAsia="宋体" w:cs="宋体"/>
        </w:rPr>
      </w:pPr>
      <w:r>
        <w:rPr>
          <w:rFonts w:hint="eastAsia" w:ascii="宋体" w:hAnsi="宋体" w:eastAsia="宋体" w:cs="宋体"/>
        </w:rPr>
        <w:t>(7)暗标部分投标文件文本格式应为.docx。</w:t>
      </w:r>
    </w:p>
    <w:p w14:paraId="4E955233">
      <w:pPr>
        <w:spacing w:line="400" w:lineRule="exact"/>
        <w:ind w:firstLine="440" w:firstLineChars="200"/>
        <w:jc w:val="left"/>
        <w:rPr>
          <w:rFonts w:hint="eastAsia" w:ascii="宋体" w:hAnsi="宋体" w:eastAsia="宋体" w:cs="Times New Roman"/>
          <w:color w:val="000000"/>
          <w:kern w:val="0"/>
          <w:sz w:val="22"/>
          <w:szCs w:val="22"/>
        </w:rPr>
      </w:pPr>
      <w:r>
        <w:rPr>
          <w:rFonts w:hint="eastAsia" w:ascii="宋体" w:hAnsi="宋体" w:eastAsia="宋体" w:cs="宋体"/>
        </w:rPr>
        <w:t>6.3.2招标人如对暗标编制有其他要求的详见“投标人须知前附表”。</w:t>
      </w:r>
    </w:p>
    <w:p w14:paraId="3BF190DA">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19" w:name="_Toc26985"/>
      <w:bookmarkStart w:id="120" w:name="_Toc8064"/>
      <w:bookmarkStart w:id="121" w:name="_Toc7196"/>
      <w:r>
        <w:rPr>
          <w:rFonts w:hint="eastAsia" w:ascii="宋体" w:hAnsi="宋体" w:eastAsia="宋体" w:cs="宋体"/>
          <w:b w:val="0"/>
          <w:bCs w:val="0"/>
          <w:color w:val="000000"/>
          <w:sz w:val="22"/>
          <w:szCs w:val="22"/>
        </w:rPr>
        <w:t>7. 合同授予</w:t>
      </w:r>
      <w:bookmarkEnd w:id="119"/>
      <w:bookmarkEnd w:id="120"/>
      <w:bookmarkEnd w:id="121"/>
    </w:p>
    <w:p w14:paraId="42728912">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7.1 定标方式</w:t>
      </w:r>
    </w:p>
    <w:p w14:paraId="3D67424D">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除投标人须知前附表规定评标委员会直接确定中标人外，招标人依据评标委员会推荐的中标候选人确定中标人，评标委员会推荐中标候选人的人数见投标人须知前附表。</w:t>
      </w:r>
    </w:p>
    <w:p w14:paraId="5B443D2F">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7.2 中标通知</w:t>
      </w:r>
    </w:p>
    <w:p w14:paraId="70F2B128">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在本章第3.3款规定的投标有效期内，招标人以书面形式向中标人发出中标通知书，同时将中标结果通知未中标的投标人。</w:t>
      </w:r>
    </w:p>
    <w:p w14:paraId="7F5B6438">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7.3 履约担保</w:t>
      </w:r>
    </w:p>
    <w:p w14:paraId="09D30BC9">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7.3.1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14:paraId="638D8B4B">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7.3.2 中标人不能按本章第7.3.1项要求提交履约担保的，视为放弃中标，其投标保证金不予退还，给招标人造成的损失超过投标保证金数额的，中标人还应当对超过部分予以赔偿。</w:t>
      </w:r>
    </w:p>
    <w:p w14:paraId="34C1DA38">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7.4 签订合同</w:t>
      </w:r>
    </w:p>
    <w:p w14:paraId="072836C2">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7.4.1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23CC25FD">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7.4.2 发出中标通知书后，招标人无正当理由拒签合同的，招标人向中标人退还投标保证金；给中标人造成损失的，还应当赔偿损失。 </w:t>
      </w:r>
    </w:p>
    <w:p w14:paraId="158246F7">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22" w:name="_Toc9498"/>
      <w:bookmarkStart w:id="123" w:name="_Toc7085"/>
      <w:bookmarkStart w:id="124" w:name="_Toc26580"/>
      <w:r>
        <w:rPr>
          <w:rFonts w:hint="eastAsia" w:ascii="宋体" w:hAnsi="宋体" w:eastAsia="宋体" w:cs="宋体"/>
          <w:b w:val="0"/>
          <w:bCs w:val="0"/>
          <w:color w:val="000000"/>
          <w:sz w:val="22"/>
          <w:szCs w:val="22"/>
        </w:rPr>
        <w:t>8. 重新招标和不再招标</w:t>
      </w:r>
      <w:bookmarkEnd w:id="122"/>
      <w:bookmarkEnd w:id="123"/>
      <w:bookmarkEnd w:id="124"/>
    </w:p>
    <w:p w14:paraId="691E4313">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8.1 重新招标</w:t>
      </w:r>
    </w:p>
    <w:p w14:paraId="31E8C74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有下列情形之一的，招标人将重新招标：</w:t>
      </w:r>
    </w:p>
    <w:p w14:paraId="6092D418">
      <w:pPr>
        <w:spacing w:line="400" w:lineRule="exact"/>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（1）投标截止时间止，投标人少于3个的；</w:t>
      </w:r>
    </w:p>
    <w:p w14:paraId="2E7F3875">
      <w:pPr>
        <w:spacing w:line="400" w:lineRule="exact"/>
        <w:ind w:firstLine="376" w:firstLineChars="171"/>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（2）经评标委员会评审后否决所有投标的。</w:t>
      </w:r>
    </w:p>
    <w:p w14:paraId="7077D126">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8.2 不再招标</w:t>
      </w:r>
    </w:p>
    <w:p w14:paraId="3B50EC61">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重新招标后投标人仍少于3个或者所有投标被否决的，属于必须审批或核准的工程建设项目，经原审批或核准部门批准后不再进行招标。</w:t>
      </w:r>
    </w:p>
    <w:p w14:paraId="4775DBA9">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25" w:name="_Toc13370"/>
      <w:bookmarkStart w:id="126" w:name="_Toc21616"/>
      <w:bookmarkStart w:id="127" w:name="_Toc24318"/>
      <w:r>
        <w:rPr>
          <w:rFonts w:hint="eastAsia" w:ascii="宋体" w:hAnsi="宋体" w:eastAsia="宋体" w:cs="宋体"/>
          <w:b w:val="0"/>
          <w:bCs w:val="0"/>
          <w:color w:val="000000"/>
          <w:sz w:val="22"/>
          <w:szCs w:val="22"/>
        </w:rPr>
        <w:t>9. 纪律和监督</w:t>
      </w:r>
      <w:bookmarkEnd w:id="125"/>
      <w:bookmarkEnd w:id="126"/>
      <w:bookmarkEnd w:id="127"/>
    </w:p>
    <w:p w14:paraId="4CB8F7CA">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9.1 对招标人的纪律要求</w:t>
      </w:r>
    </w:p>
    <w:p w14:paraId="3A9AFCF6">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招标人不得泄漏招标投标活动中应当保密的情况和资料，不得与投标人串通损害国家利益、社会公共利益或者他人合法权益。</w:t>
      </w:r>
    </w:p>
    <w:p w14:paraId="47D8B4FC">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9.2 对投标人的纪律要求</w:t>
      </w:r>
    </w:p>
    <w:p w14:paraId="378E55ED">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0B86BB6">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9.3 对评标委员会成员的纪律要求</w:t>
      </w:r>
    </w:p>
    <w:p w14:paraId="2B22D3E3">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3BA4D12C">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9.4 对与评标活动有关的工作人员的纪律要求</w:t>
      </w:r>
    </w:p>
    <w:p w14:paraId="48AA8FE4">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856D789">
      <w:pPr>
        <w:keepNext/>
        <w:keepLines/>
        <w:widowControl w:val="0"/>
        <w:spacing w:line="400" w:lineRule="exact"/>
        <w:jc w:val="both"/>
        <w:outlineLvl w:val="2"/>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9.5 投诉</w:t>
      </w:r>
    </w:p>
    <w:p w14:paraId="05BD5315">
      <w:pPr>
        <w:spacing w:line="40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投标人和其他利害关系人认为本次招标活动违反法律、法规和规章规定的，有权向有关行政监督部门投诉。</w:t>
      </w:r>
    </w:p>
    <w:p w14:paraId="3E0ECC7B">
      <w:pPr>
        <w:keepNext/>
        <w:keepLines/>
        <w:widowControl w:val="0"/>
        <w:spacing w:before="100" w:after="0" w:line="400" w:lineRule="exact"/>
        <w:jc w:val="both"/>
        <w:outlineLvl w:val="1"/>
        <w:rPr>
          <w:rFonts w:hint="eastAsia" w:ascii="宋体" w:hAnsi="宋体" w:eastAsia="宋体" w:cs="宋体"/>
          <w:b w:val="0"/>
          <w:bCs w:val="0"/>
          <w:color w:val="000000"/>
          <w:sz w:val="22"/>
          <w:szCs w:val="22"/>
        </w:rPr>
      </w:pPr>
      <w:bookmarkStart w:id="128" w:name="_Toc19504"/>
      <w:bookmarkStart w:id="129" w:name="_Toc2158"/>
      <w:bookmarkStart w:id="130" w:name="_Toc2431"/>
      <w:r>
        <w:rPr>
          <w:rFonts w:hint="eastAsia" w:ascii="宋体" w:hAnsi="宋体" w:eastAsia="宋体" w:cs="宋体"/>
          <w:b w:val="0"/>
          <w:bCs w:val="0"/>
          <w:color w:val="000000"/>
          <w:sz w:val="22"/>
          <w:szCs w:val="22"/>
        </w:rPr>
        <w:t>10. 需要补充的其他内容</w:t>
      </w:r>
      <w:bookmarkEnd w:id="128"/>
      <w:bookmarkEnd w:id="129"/>
      <w:bookmarkEnd w:id="130"/>
    </w:p>
    <w:p w14:paraId="15CF6764">
      <w:pPr>
        <w:spacing w:line="400" w:lineRule="exact"/>
        <w:ind w:firstLine="440" w:firstLineChars="200"/>
        <w:jc w:val="both"/>
        <w:rPr>
          <w:rFonts w:hint="eastAsia" w:ascii="宋体" w:hAnsi="宋体" w:eastAsia="宋体" w:cs="Times New Roman"/>
          <w:color w:val="000000"/>
          <w:kern w:val="0"/>
          <w:sz w:val="22"/>
          <w:szCs w:val="24"/>
        </w:rPr>
      </w:pPr>
      <w:r>
        <w:rPr>
          <w:rFonts w:hint="eastAsia" w:ascii="宋体" w:hAnsi="宋体" w:eastAsia="宋体" w:cs="Times New Roman"/>
          <w:color w:val="000000"/>
          <w:kern w:val="0"/>
          <w:sz w:val="22"/>
          <w:szCs w:val="22"/>
        </w:rPr>
        <w:t>需要补充的其他内容：见投标人须知前附表。</w:t>
      </w:r>
    </w:p>
    <w:p w14:paraId="4186670C">
      <w:pPr>
        <w:widowControl/>
        <w:spacing w:line="240" w:lineRule="auto"/>
        <w:jc w:val="left"/>
        <w:rPr>
          <w:rFonts w:hint="eastAsia" w:ascii="宋体" w:hAnsi="宋体" w:eastAsia="宋体" w:cs="Times New Roman"/>
          <w:color w:val="000000"/>
          <w:kern w:val="0"/>
          <w:sz w:val="22"/>
          <w:szCs w:val="24"/>
        </w:rPr>
      </w:pPr>
      <w:r>
        <w:rPr>
          <w:rFonts w:ascii="宋体" w:hAnsi="宋体" w:eastAsia="宋体" w:cs="Times New Roman"/>
          <w:color w:val="000000"/>
          <w:kern w:val="0"/>
          <w:sz w:val="22"/>
          <w:szCs w:val="24"/>
        </w:rPr>
        <w:br w:type="page"/>
      </w:r>
    </w:p>
    <w:p w14:paraId="6F4B5B27">
      <w:pPr>
        <w:keepNext/>
        <w:keepLines/>
        <w:widowControl w:val="0"/>
        <w:spacing w:before="0" w:after="0" w:line="400" w:lineRule="exact"/>
        <w:jc w:val="both"/>
        <w:outlineLvl w:val="2"/>
        <w:rPr>
          <w:rFonts w:hint="eastAsia" w:ascii="黑体" w:hAnsi="黑体" w:eastAsia="黑体" w:cs="黑体"/>
          <w:b/>
          <w:bCs w:val="0"/>
          <w:kern w:val="0"/>
          <w:sz w:val="22"/>
          <w:szCs w:val="22"/>
          <w:lang w:val="zh-CN" w:eastAsia="zh-CN" w:bidi="ar-SA"/>
        </w:rPr>
      </w:pPr>
      <w:r>
        <w:rPr>
          <w:rFonts w:hint="eastAsia" w:ascii="黑体" w:hAnsi="黑体" w:eastAsia="黑体" w:cs="黑体"/>
          <w:b/>
          <w:bCs w:val="0"/>
          <w:kern w:val="0"/>
          <w:sz w:val="22"/>
          <w:szCs w:val="22"/>
          <w:lang w:val="zh-CN" w:eastAsia="zh-CN" w:bidi="ar-SA"/>
        </w:rPr>
        <w:t>附表一：串通投标行为线索表</w:t>
      </w:r>
    </w:p>
    <w:p w14:paraId="08132C3B">
      <w:pPr>
        <w:spacing w:line="240" w:lineRule="auto"/>
        <w:jc w:val="both"/>
        <w:rPr>
          <w:rFonts w:ascii="Times New Roman" w:hAnsi="Times New Roman" w:cs="Times New Roman"/>
          <w:sz w:val="21"/>
        </w:rPr>
      </w:pPr>
    </w:p>
    <w:p w14:paraId="55D756AA">
      <w:pPr>
        <w:spacing w:line="240" w:lineRule="auto"/>
        <w:jc w:val="center"/>
        <w:rPr>
          <w:rFonts w:hint="eastAsia" w:ascii="宋体" w:hAnsi="宋体" w:cs="宋体"/>
          <w:b/>
          <w:kern w:val="0"/>
          <w:sz w:val="28"/>
          <w:szCs w:val="28"/>
        </w:rPr>
      </w:pPr>
      <w:r>
        <w:rPr>
          <w:rFonts w:hint="eastAsia" w:ascii="宋体" w:hAnsi="宋体" w:cs="宋体"/>
          <w:b/>
          <w:kern w:val="0"/>
          <w:sz w:val="28"/>
          <w:szCs w:val="28"/>
        </w:rPr>
        <w:t>串通投标行为线索表</w:t>
      </w:r>
    </w:p>
    <w:p w14:paraId="34819D2B">
      <w:pPr>
        <w:spacing w:line="240" w:lineRule="auto"/>
        <w:jc w:val="center"/>
        <w:rPr>
          <w:rFonts w:ascii="Times New Roman" w:hAnsi="Times New Roman" w:cs="Times New Roman"/>
          <w:sz w:val="21"/>
        </w:rPr>
      </w:pPr>
    </w:p>
    <w:p w14:paraId="60350ACE">
      <w:pPr>
        <w:spacing w:line="360" w:lineRule="auto"/>
        <w:jc w:val="both"/>
        <w:rPr>
          <w:rFonts w:hint="eastAsia" w:ascii="宋体" w:hAnsi="宋体" w:cs="Times New Roman"/>
          <w:sz w:val="22"/>
          <w:szCs w:val="22"/>
        </w:rPr>
      </w:pPr>
      <w:r>
        <w:rPr>
          <w:rFonts w:hint="eastAsia" w:ascii="宋体" w:hAnsi="宋体" w:cs="Times New Roman"/>
          <w:sz w:val="22"/>
          <w:szCs w:val="22"/>
        </w:rPr>
        <w:t>在评标过程中，是否发现有投标人存在以下情形：</w:t>
      </w:r>
    </w:p>
    <w:p w14:paraId="74C8D3FA">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不同投标人的投标文件内容存在非正常一致；</w:t>
      </w:r>
    </w:p>
    <w:p w14:paraId="323D970E">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不同投标人的投标文件错漏之处一致；</w:t>
      </w:r>
    </w:p>
    <w:p w14:paraId="4078373C">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不同投标人的投标文件异常一致或者投标报价呈规律性差异；</w:t>
      </w:r>
    </w:p>
    <w:p w14:paraId="3933A92C">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不同投标人的投标文件由同一单位或者同一个人编制；</w:t>
      </w:r>
    </w:p>
    <w:p w14:paraId="63CE96F4">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不同投标人的投标文件载明的项目管理班子成员出现同一人；</w:t>
      </w:r>
    </w:p>
    <w:p w14:paraId="553F4CAA">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不同投标人的投标文件相互混装；</w:t>
      </w:r>
    </w:p>
    <w:p w14:paraId="2D98E355">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不同投标人MAC地址或计价锁号相同的；</w:t>
      </w:r>
    </w:p>
    <w:p w14:paraId="7D25270C">
      <w:pPr>
        <w:widowControl w:val="0"/>
        <w:numPr>
          <w:ilvl w:val="0"/>
          <w:numId w:val="2"/>
        </w:numPr>
        <w:spacing w:line="360" w:lineRule="auto"/>
        <w:ind w:left="360" w:hanging="360" w:firstLineChars="0"/>
        <w:jc w:val="both"/>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不同投标人委托同一单位或者个人办理投标事宜；</w:t>
      </w:r>
    </w:p>
    <w:p w14:paraId="0C8363DA">
      <w:pPr>
        <w:widowControl w:val="0"/>
        <w:numPr>
          <w:ilvl w:val="0"/>
          <w:numId w:val="2"/>
        </w:numPr>
        <w:spacing w:line="360" w:lineRule="auto"/>
        <w:ind w:left="357" w:hanging="357" w:firstLineChars="0"/>
        <w:jc w:val="both"/>
        <w:rPr>
          <w:rFonts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不同投标人的投标保证金从同一单位或者个人的账户转出；</w:t>
      </w:r>
    </w:p>
    <w:p w14:paraId="6C8AED95">
      <w:pPr>
        <w:widowControl w:val="0"/>
        <w:numPr>
          <w:ilvl w:val="0"/>
          <w:numId w:val="2"/>
        </w:numPr>
        <w:spacing w:line="360" w:lineRule="auto"/>
        <w:ind w:left="357" w:hanging="357" w:firstLineChars="0"/>
        <w:jc w:val="both"/>
        <w:rPr>
          <w:rFonts w:ascii="Times New Roman" w:hAnsi="Times New Roman" w:eastAsia="宋体" w:cs="Times New Roman"/>
          <w:kern w:val="2"/>
          <w:sz w:val="22"/>
          <w:szCs w:val="22"/>
          <w:lang w:val="en-US" w:eastAsia="zh-CN" w:bidi="ar-SA"/>
        </w:rPr>
      </w:pPr>
      <w:r>
        <w:rPr>
          <w:rFonts w:hint="eastAsia" w:ascii="宋体" w:hAnsi="宋体" w:eastAsia="宋体" w:cs="Arial"/>
          <w:color w:val="000000"/>
          <w:kern w:val="2"/>
          <w:sz w:val="22"/>
          <w:szCs w:val="22"/>
          <w:lang w:val="en-US" w:eastAsia="zh-CN" w:bidi="ar-SA"/>
        </w:rPr>
        <w:t>同一项目同一投标人应缴纳投标保证金的账户收到两笔以上（含两笔）投标保证金，且上述保证金从本项目不相同投标人的账户转入</w:t>
      </w:r>
      <w:r>
        <w:rPr>
          <w:rFonts w:hint="eastAsia" w:ascii="Times New Roman" w:hAnsi="Times New Roman" w:eastAsia="宋体" w:cs="Times New Roman"/>
          <w:kern w:val="2"/>
          <w:sz w:val="22"/>
          <w:szCs w:val="22"/>
          <w:lang w:val="en-US" w:eastAsia="zh-CN" w:bidi="ar-SA"/>
        </w:rPr>
        <w:t>；</w:t>
      </w:r>
    </w:p>
    <w:p w14:paraId="607F10AD">
      <w:pPr>
        <w:widowControl w:val="0"/>
        <w:numPr>
          <w:ilvl w:val="0"/>
          <w:numId w:val="2"/>
        </w:numPr>
        <w:spacing w:line="360" w:lineRule="auto"/>
        <w:ind w:left="357" w:hanging="357" w:firstLineChars="0"/>
        <w:jc w:val="both"/>
        <w:rPr>
          <w:rFonts w:ascii="Times New Roman" w:hAnsi="Times New Roman" w:eastAsia="宋体" w:cs="Times New Roman"/>
          <w:kern w:val="2"/>
          <w:sz w:val="22"/>
          <w:szCs w:val="22"/>
          <w:lang w:val="en-US" w:eastAsia="zh-CN" w:bidi="ar-SA"/>
        </w:rPr>
      </w:pPr>
      <w:r>
        <w:rPr>
          <w:rFonts w:hint="eastAsia" w:ascii="Times New Roman" w:hAnsi="Times New Roman" w:eastAsia="宋体" w:cs="Times New Roman"/>
          <w:kern w:val="2"/>
          <w:sz w:val="22"/>
          <w:szCs w:val="22"/>
          <w:lang w:val="en-US" w:eastAsia="zh-CN" w:bidi="ar-SA"/>
        </w:rPr>
        <w:t>不同投标人聘请同一人为其投标提供技术或者经济咨询服务，但招投标项目本身要求采用专有技术的除外；</w:t>
      </w:r>
    </w:p>
    <w:p w14:paraId="02CEFE28">
      <w:pPr>
        <w:spacing w:line="400" w:lineRule="exact"/>
        <w:ind w:firstLine="110" w:firstLineChars="50"/>
        <w:jc w:val="both"/>
        <w:rPr>
          <w:rFonts w:hint="eastAsia" w:ascii="宋体" w:hAnsi="宋体" w:eastAsia="宋体" w:cs="Times New Roman"/>
          <w:sz w:val="21"/>
          <w:szCs w:val="21"/>
        </w:rPr>
      </w:pPr>
      <w:r>
        <w:rPr>
          <w:rFonts w:hint="eastAsia" w:ascii="宋体" w:hAnsi="宋体" w:cs="Times New Roman"/>
          <w:sz w:val="22"/>
          <w:szCs w:val="22"/>
        </w:rPr>
        <w:t>评标委员会签字或签章：</w:t>
      </w:r>
    </w:p>
    <w:p w14:paraId="3F93F7AC">
      <w:pPr>
        <w:spacing w:line="400" w:lineRule="exact"/>
        <w:ind w:firstLine="105" w:firstLineChars="50"/>
        <w:jc w:val="both"/>
        <w:rPr>
          <w:rFonts w:hint="eastAsia" w:ascii="宋体" w:hAnsi="宋体" w:eastAsia="宋体" w:cs="Times New Roman"/>
          <w:sz w:val="21"/>
          <w:szCs w:val="21"/>
        </w:rPr>
      </w:pPr>
    </w:p>
    <w:p w14:paraId="1D020630">
      <w:pPr>
        <w:widowControl w:val="0"/>
        <w:jc w:val="left"/>
        <w:rPr>
          <w:rFonts w:ascii="Times New Roman" w:hAnsi="Times New Roman" w:eastAsia="仿宋" w:cs="Times New Roman"/>
          <w:color w:val="auto"/>
          <w:kern w:val="2"/>
          <w:sz w:val="18"/>
          <w:szCs w:val="18"/>
          <w:lang w:val="zh-CN" w:eastAsia="zh-CN" w:bidi="ar-SA"/>
        </w:rPr>
      </w:pPr>
      <w:r>
        <w:rPr>
          <w:rFonts w:hint="default" w:ascii="Times New Roman" w:hAnsi="Times New Roman" w:eastAsia="仿宋" w:cs="Times New Roman"/>
          <w:color w:val="auto"/>
          <w:kern w:val="2"/>
          <w:sz w:val="18"/>
          <w:szCs w:val="18"/>
          <w:lang w:val="zh-CN" w:eastAsia="zh-CN" w:bidi="ar-SA"/>
        </w:rPr>
        <w:t>说明：1.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24BB3A5A">
      <w:pPr>
        <w:widowControl w:val="0"/>
        <w:jc w:val="left"/>
        <w:rPr>
          <w:rFonts w:ascii="Times New Roman" w:hAnsi="Times New Roman" w:eastAsia="仿宋" w:cs="Times New Roman"/>
          <w:color w:val="auto"/>
          <w:kern w:val="2"/>
          <w:sz w:val="18"/>
          <w:szCs w:val="18"/>
          <w:lang w:val="zh-CN" w:eastAsia="zh-CN" w:bidi="ar-SA"/>
        </w:rPr>
      </w:pPr>
      <w:r>
        <w:rPr>
          <w:rFonts w:hint="default" w:ascii="Times New Roman" w:hAnsi="Times New Roman" w:eastAsia="仿宋" w:cs="Times New Roman"/>
          <w:color w:val="auto"/>
          <w:kern w:val="2"/>
          <w:sz w:val="18"/>
          <w:szCs w:val="18"/>
          <w:lang w:val="zh-CN" w:eastAsia="zh-CN" w:bidi="ar-SA"/>
        </w:rPr>
        <w:t>在评标结束后发现投标人串通投标或弄虚作假或有其他违法行为，查证属实的，取消其中标资格。</w:t>
      </w:r>
    </w:p>
    <w:p w14:paraId="0DCF55ED">
      <w:pPr>
        <w:widowControl w:val="0"/>
        <w:jc w:val="left"/>
        <w:rPr>
          <w:rFonts w:ascii="Times New Roman" w:hAnsi="Times New Roman" w:eastAsia="仿宋" w:cs="Times New Roman"/>
          <w:color w:val="auto"/>
          <w:kern w:val="2"/>
          <w:sz w:val="18"/>
          <w:szCs w:val="24"/>
          <w:lang w:val="zh-CN" w:eastAsia="zh-CN" w:bidi="ar-SA"/>
        </w:rPr>
      </w:pPr>
      <w:r>
        <w:rPr>
          <w:rFonts w:hint="default" w:ascii="Times New Roman" w:hAnsi="Times New Roman" w:eastAsia="仿宋" w:cs="Times New Roman"/>
          <w:color w:val="auto"/>
          <w:kern w:val="2"/>
          <w:sz w:val="18"/>
          <w:szCs w:val="18"/>
          <w:lang w:val="zh-CN" w:eastAsia="zh-CN" w:bidi="ar-SA"/>
        </w:rPr>
        <w:t>2.本线索表为评标报告组成部分，评标时评标委员会应根据附表一串通投标行为线索表中的情形，如实对投标文件进行评审，填写“无”或“有”，并</w:t>
      </w:r>
      <w:r>
        <w:rPr>
          <w:rFonts w:hint="eastAsia" w:ascii="Times New Roman" w:hAnsi="Times New Roman" w:eastAsia="仿宋" w:cs="Times New Roman"/>
          <w:color w:val="auto"/>
          <w:kern w:val="2"/>
          <w:sz w:val="18"/>
          <w:szCs w:val="18"/>
          <w:lang w:val="zh-CN" w:eastAsia="zh-CN" w:bidi="ar-SA"/>
        </w:rPr>
        <w:t>签字或签章</w:t>
      </w:r>
      <w:r>
        <w:rPr>
          <w:rFonts w:hint="default" w:ascii="Times New Roman" w:hAnsi="Times New Roman" w:eastAsia="仿宋" w:cs="Times New Roman"/>
          <w:color w:val="auto"/>
          <w:kern w:val="2"/>
          <w:sz w:val="18"/>
          <w:szCs w:val="18"/>
          <w:lang w:val="zh-CN" w:eastAsia="zh-CN" w:bidi="ar-SA"/>
        </w:rPr>
        <w:t>确认，作为评标报告的一部分。如存在串通投标行为线索表中的情形，招标人应据此以书面形式向行政监管部门报告。</w:t>
      </w:r>
    </w:p>
    <w:p w14:paraId="0CF30E41">
      <w:pPr>
        <w:spacing w:line="240" w:lineRule="auto"/>
        <w:jc w:val="left"/>
        <w:rPr>
          <w:rFonts w:ascii="Times New Roman" w:hAnsi="Times New Roman" w:cs="Times New Roman"/>
          <w:color w:val="000000"/>
          <w:sz w:val="21"/>
          <w:szCs w:val="21"/>
        </w:rPr>
      </w:pPr>
      <w:r>
        <w:rPr>
          <w:rFonts w:ascii="Times New Roman" w:hAnsi="Times New Roman" w:cs="Times New Roman"/>
          <w:color w:val="000000"/>
          <w:sz w:val="21"/>
          <w:szCs w:val="21"/>
        </w:rPr>
        <w:br w:type="page"/>
      </w:r>
    </w:p>
    <w:p w14:paraId="09369643">
      <w:pPr>
        <w:keepNext/>
        <w:keepLines/>
        <w:widowControl w:val="0"/>
        <w:spacing w:before="0" w:after="0" w:line="400" w:lineRule="exact"/>
        <w:jc w:val="both"/>
        <w:outlineLvl w:val="2"/>
        <w:rPr>
          <w:rFonts w:hint="eastAsia" w:ascii="宋体" w:hAnsi="宋体" w:eastAsia="宋体" w:cs="宋体"/>
          <w:b/>
          <w:bCs w:val="0"/>
          <w:kern w:val="0"/>
          <w:sz w:val="21"/>
          <w:szCs w:val="21"/>
          <w:lang w:val="zh-CN" w:eastAsia="zh-CN" w:bidi="ar-SA"/>
        </w:rPr>
      </w:pPr>
      <w:r>
        <w:rPr>
          <w:rFonts w:hint="eastAsia" w:ascii="黑体" w:hAnsi="黑体" w:eastAsia="黑体" w:cs="黑体"/>
          <w:b/>
          <w:bCs w:val="0"/>
          <w:kern w:val="0"/>
          <w:sz w:val="22"/>
          <w:szCs w:val="22"/>
          <w:lang w:val="zh-CN" w:eastAsia="zh-CN" w:bidi="ar-SA"/>
        </w:rPr>
        <w:t>附表</w:t>
      </w:r>
      <w:r>
        <w:rPr>
          <w:rFonts w:hint="eastAsia" w:ascii="黑体" w:hAnsi="黑体" w:eastAsia="黑体" w:cs="黑体"/>
          <w:b/>
          <w:bCs w:val="0"/>
          <w:kern w:val="0"/>
          <w:sz w:val="22"/>
          <w:szCs w:val="22"/>
          <w:lang w:val="en-US" w:eastAsia="zh-CN" w:bidi="ar-SA"/>
        </w:rPr>
        <w:t>二</w:t>
      </w:r>
      <w:r>
        <w:rPr>
          <w:rFonts w:hint="eastAsia" w:ascii="黑体" w:hAnsi="黑体" w:eastAsia="黑体" w:cs="黑体"/>
          <w:b/>
          <w:bCs w:val="0"/>
          <w:kern w:val="0"/>
          <w:sz w:val="22"/>
          <w:szCs w:val="22"/>
          <w:lang w:val="zh-CN" w:eastAsia="zh-CN" w:bidi="ar-SA"/>
        </w:rPr>
        <w:t>：继续评审认定表</w:t>
      </w:r>
    </w:p>
    <w:p w14:paraId="31D48AFB">
      <w:pPr>
        <w:spacing w:line="400" w:lineRule="exact"/>
        <w:jc w:val="center"/>
        <w:rPr>
          <w:rFonts w:hint="eastAsia" w:ascii="宋体" w:hAnsi="宋体" w:eastAsia="宋体" w:cs="Times New Roman"/>
          <w:color w:val="000000"/>
          <w:kern w:val="0"/>
          <w:sz w:val="28"/>
          <w:szCs w:val="28"/>
        </w:rPr>
      </w:pPr>
      <w:r>
        <w:rPr>
          <w:rFonts w:hint="eastAsia" w:ascii="宋体" w:hAnsi="宋体" w:eastAsia="宋体" w:cs="Times New Roman"/>
          <w:color w:val="000000"/>
          <w:kern w:val="0"/>
          <w:sz w:val="28"/>
          <w:szCs w:val="28"/>
        </w:rPr>
        <w:t>继续评审认定表</w:t>
      </w:r>
    </w:p>
    <w:p w14:paraId="119F4353">
      <w:pPr>
        <w:spacing w:line="240" w:lineRule="auto"/>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工程名称：</w:t>
      </w:r>
    </w:p>
    <w:tbl>
      <w:tblPr>
        <w:tblStyle w:val="19"/>
        <w:tblW w:w="9839" w:type="dxa"/>
        <w:jc w:val="center"/>
        <w:tblLayout w:type="fixed"/>
        <w:tblCellMar>
          <w:top w:w="0" w:type="dxa"/>
          <w:left w:w="108" w:type="dxa"/>
          <w:bottom w:w="0" w:type="dxa"/>
          <w:right w:w="108" w:type="dxa"/>
        </w:tblCellMar>
      </w:tblPr>
      <w:tblGrid>
        <w:gridCol w:w="1759"/>
        <w:gridCol w:w="8080"/>
      </w:tblGrid>
      <w:tr w14:paraId="23447CB0">
        <w:trPr>
          <w:trHeight w:val="529" w:hRule="atLeast"/>
          <w:jc w:val="center"/>
        </w:trPr>
        <w:tc>
          <w:tcPr>
            <w:tcW w:w="9839"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E5511F0">
            <w:pPr>
              <w:widowControl/>
              <w:spacing w:line="400" w:lineRule="exact"/>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投标人：</w:t>
            </w:r>
          </w:p>
        </w:tc>
      </w:tr>
      <w:tr w14:paraId="45BFF0CD">
        <w:tblPrEx>
          <w:tblCellMar>
            <w:top w:w="0" w:type="dxa"/>
            <w:left w:w="108" w:type="dxa"/>
            <w:bottom w:w="0" w:type="dxa"/>
            <w:right w:w="108" w:type="dxa"/>
          </w:tblCellMar>
        </w:tblPrEx>
        <w:trPr>
          <w:trHeight w:val="4212" w:hRule="atLeast"/>
          <w:jc w:val="center"/>
        </w:trPr>
        <w:tc>
          <w:tcPr>
            <w:tcW w:w="1759" w:type="dxa"/>
            <w:tcBorders>
              <w:top w:val="single" w:color="auto" w:sz="4" w:space="0"/>
              <w:left w:val="single" w:color="auto" w:sz="4" w:space="0"/>
              <w:bottom w:val="single" w:color="000000" w:sz="4" w:space="0"/>
              <w:right w:val="single" w:color="auto" w:sz="4" w:space="0"/>
            </w:tcBorders>
            <w:shd w:val="clear" w:color="auto" w:fill="auto"/>
            <w:noWrap/>
            <w:textDirection w:val="tbRlV"/>
            <w:vAlign w:val="center"/>
          </w:tcPr>
          <w:p w14:paraId="0FDE58A5">
            <w:pPr>
              <w:widowControl/>
              <w:spacing w:line="400" w:lineRule="exact"/>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继续评审说明</w:t>
            </w:r>
          </w:p>
        </w:tc>
        <w:tc>
          <w:tcPr>
            <w:tcW w:w="8080" w:type="dxa"/>
            <w:tcBorders>
              <w:top w:val="single" w:color="auto" w:sz="4" w:space="0"/>
              <w:left w:val="nil"/>
              <w:right w:val="single" w:color="auto" w:sz="4" w:space="0"/>
            </w:tcBorders>
            <w:shd w:val="clear" w:color="auto" w:fill="auto"/>
            <w:noWrap/>
            <w:vAlign w:val="bottom"/>
          </w:tcPr>
          <w:p w14:paraId="01901F2A">
            <w:pPr>
              <w:spacing w:line="400" w:lineRule="exact"/>
              <w:jc w:val="left"/>
              <w:rPr>
                <w:rFonts w:hint="eastAsia" w:ascii="宋体" w:hAnsi="宋体" w:eastAsia="宋体" w:cs="宋体"/>
                <w:color w:val="000000"/>
                <w:kern w:val="0"/>
                <w:sz w:val="22"/>
                <w:szCs w:val="22"/>
              </w:rPr>
            </w:pPr>
          </w:p>
        </w:tc>
      </w:tr>
      <w:tr w14:paraId="54BA5BAC">
        <w:tblPrEx>
          <w:tblCellMar>
            <w:top w:w="0" w:type="dxa"/>
            <w:left w:w="108" w:type="dxa"/>
            <w:bottom w:w="0" w:type="dxa"/>
            <w:right w:w="108" w:type="dxa"/>
          </w:tblCellMar>
        </w:tblPrEx>
        <w:trPr>
          <w:trHeight w:val="1123" w:hRule="atLeast"/>
          <w:jc w:val="center"/>
        </w:trPr>
        <w:tc>
          <w:tcPr>
            <w:tcW w:w="17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5B38C">
            <w:pPr>
              <w:widowControl/>
              <w:spacing w:line="400" w:lineRule="exact"/>
              <w:jc w:val="center"/>
              <w:rPr>
                <w:rFonts w:hint="eastAsia" w:ascii="宋体" w:hAnsi="宋体" w:eastAsia="宋体" w:cs="宋体"/>
                <w:color w:val="000000"/>
                <w:kern w:val="0"/>
                <w:sz w:val="22"/>
                <w:szCs w:val="22"/>
              </w:rPr>
            </w:pPr>
            <w:r>
              <w:rPr>
                <w:rFonts w:hint="eastAsia" w:ascii="宋体" w:hAnsi="宋体" w:eastAsia="宋体" w:cs="Times New Roman"/>
                <w:kern w:val="0"/>
                <w:sz w:val="22"/>
                <w:szCs w:val="22"/>
              </w:rPr>
              <w:t>评标委员会签字或签章：</w:t>
            </w:r>
          </w:p>
        </w:tc>
        <w:tc>
          <w:tcPr>
            <w:tcW w:w="8080" w:type="dxa"/>
            <w:tcBorders>
              <w:top w:val="single" w:color="auto" w:sz="4" w:space="0"/>
              <w:left w:val="single" w:color="auto" w:sz="4" w:space="0"/>
              <w:bottom w:val="single" w:color="auto" w:sz="4" w:space="0"/>
              <w:right w:val="single" w:color="auto" w:sz="4" w:space="0"/>
            </w:tcBorders>
            <w:shd w:val="clear" w:color="auto" w:fill="auto"/>
            <w:vAlign w:val="center"/>
          </w:tcPr>
          <w:p w14:paraId="301D6C17">
            <w:pPr>
              <w:widowControl/>
              <w:spacing w:line="400" w:lineRule="exact"/>
              <w:jc w:val="both"/>
              <w:rPr>
                <w:rFonts w:hint="eastAsia" w:ascii="宋体" w:hAnsi="宋体" w:eastAsia="宋体" w:cs="宋体"/>
                <w:color w:val="000000"/>
                <w:kern w:val="0"/>
                <w:sz w:val="22"/>
                <w:szCs w:val="22"/>
              </w:rPr>
            </w:pPr>
          </w:p>
        </w:tc>
      </w:tr>
    </w:tbl>
    <w:p w14:paraId="35FB646A">
      <w:pPr>
        <w:widowControl w:val="0"/>
        <w:jc w:val="left"/>
        <w:rPr>
          <w:rFonts w:ascii="Times New Roman" w:hAnsi="Times New Roman" w:eastAsia="仿宋" w:cs="Times New Roman"/>
          <w:color w:val="auto"/>
          <w:kern w:val="2"/>
          <w:sz w:val="18"/>
          <w:szCs w:val="18"/>
          <w:lang w:val="zh-CN" w:eastAsia="zh-CN" w:bidi="ar-SA"/>
        </w:rPr>
      </w:pPr>
      <w:r>
        <w:rPr>
          <w:rFonts w:hint="eastAsia" w:ascii="Times New Roman" w:hAnsi="Times New Roman" w:eastAsia="仿宋" w:cs="Times New Roman"/>
          <w:color w:val="auto"/>
          <w:kern w:val="2"/>
          <w:sz w:val="18"/>
          <w:szCs w:val="18"/>
          <w:lang w:val="zh-CN" w:eastAsia="zh-CN" w:bidi="ar-SA"/>
        </w:rPr>
        <w:t>注：1、评标委员会经评审否决不合格投标后，有效投标（指经过全部评审而未被否决的投标，下同）不足三个，评标委员会认定可以继续评审的，填写此表。</w:t>
      </w:r>
    </w:p>
    <w:p w14:paraId="25AA52CB">
      <w:pPr>
        <w:widowControl/>
        <w:spacing w:line="240" w:lineRule="auto"/>
        <w:jc w:val="left"/>
        <w:rPr>
          <w:rFonts w:ascii="Calibri" w:hAnsi="Calibri" w:eastAsia="宋体" w:cs="Times New Roman"/>
          <w:color w:val="000000"/>
          <w:kern w:val="0"/>
          <w:sz w:val="21"/>
          <w:szCs w:val="22"/>
        </w:rPr>
      </w:pPr>
      <w:r>
        <w:rPr>
          <w:rFonts w:hint="eastAsia" w:ascii="Times New Roman" w:hAnsi="Times New Roman" w:eastAsia="仿宋" w:cs="Times New Roman"/>
          <w:color w:val="auto"/>
          <w:kern w:val="2"/>
          <w:sz w:val="18"/>
          <w:szCs w:val="18"/>
          <w:lang w:val="zh-CN" w:eastAsia="zh-CN" w:bidi="ar-SA"/>
        </w:rPr>
        <w:t>2、对满足启动低于成本评审条件的投标报价，经评审认为其不低于成本的，填写此表。</w:t>
      </w:r>
      <w:r>
        <w:rPr>
          <w:rFonts w:ascii="Calibri" w:hAnsi="Calibri" w:eastAsia="宋体" w:cs="Times New Roman"/>
          <w:color w:val="000000"/>
          <w:kern w:val="0"/>
          <w:sz w:val="21"/>
          <w:szCs w:val="22"/>
        </w:rPr>
        <w:br w:type="page"/>
      </w:r>
    </w:p>
    <w:p w14:paraId="3298F0A4">
      <w:pPr>
        <w:keepNext/>
        <w:keepLines/>
        <w:widowControl w:val="0"/>
        <w:spacing w:line="400" w:lineRule="exact"/>
        <w:jc w:val="both"/>
        <w:outlineLvl w:val="2"/>
        <w:rPr>
          <w:rFonts w:ascii="Calibri" w:hAnsi="Calibri" w:eastAsia="黑体" w:cs="宋体"/>
          <w:b w:val="0"/>
          <w:bCs w:val="0"/>
          <w:sz w:val="22"/>
          <w:szCs w:val="22"/>
        </w:rPr>
      </w:pPr>
      <w:r>
        <w:rPr>
          <w:rFonts w:hint="eastAsia" w:ascii="Calibri" w:hAnsi="Calibri" w:eastAsia="黑体" w:cs="宋体"/>
          <w:b w:val="0"/>
          <w:bCs w:val="0"/>
          <w:sz w:val="22"/>
          <w:szCs w:val="22"/>
        </w:rPr>
        <w:t>附表</w:t>
      </w:r>
      <w:r>
        <w:rPr>
          <w:rFonts w:hint="eastAsia" w:ascii="Calibri" w:hAnsi="Calibri" w:eastAsia="黑体" w:cs="宋体"/>
          <w:b w:val="0"/>
          <w:bCs w:val="0"/>
          <w:sz w:val="22"/>
          <w:szCs w:val="22"/>
          <w:lang w:val="en-US" w:eastAsia="zh-CN"/>
        </w:rPr>
        <w:t>三</w:t>
      </w:r>
      <w:r>
        <w:rPr>
          <w:rFonts w:hint="eastAsia" w:ascii="Calibri" w:hAnsi="Calibri" w:eastAsia="黑体" w:cs="宋体"/>
          <w:b w:val="0"/>
          <w:bCs w:val="0"/>
          <w:sz w:val="22"/>
          <w:szCs w:val="22"/>
        </w:rPr>
        <w:t>：中标通知书</w:t>
      </w:r>
    </w:p>
    <w:p w14:paraId="7E926C8E">
      <w:pPr>
        <w:spacing w:line="400" w:lineRule="exact"/>
        <w:jc w:val="both"/>
        <w:rPr>
          <w:rFonts w:ascii="Calibri" w:hAnsi="Calibri" w:eastAsia="宋体" w:cs="Times New Roman"/>
          <w:color w:val="000000"/>
          <w:kern w:val="0"/>
          <w:sz w:val="21"/>
          <w:szCs w:val="22"/>
        </w:rPr>
      </w:pPr>
    </w:p>
    <w:p w14:paraId="79CE2A3F">
      <w:pPr>
        <w:spacing w:line="400" w:lineRule="exact"/>
        <w:jc w:val="center"/>
        <w:rPr>
          <w:rFonts w:hint="eastAsia" w:ascii="宋体" w:hAnsi="宋体" w:eastAsia="宋体" w:cs="Times New Roman"/>
          <w:color w:val="000000"/>
          <w:kern w:val="0"/>
          <w:sz w:val="28"/>
          <w:szCs w:val="28"/>
        </w:rPr>
      </w:pPr>
      <w:r>
        <w:rPr>
          <w:rFonts w:hint="eastAsia" w:ascii="宋体" w:hAnsi="宋体" w:eastAsia="宋体" w:cs="Times New Roman"/>
          <w:color w:val="000000"/>
          <w:kern w:val="0"/>
          <w:sz w:val="28"/>
          <w:szCs w:val="28"/>
        </w:rPr>
        <w:t>中标通知书</w:t>
      </w:r>
    </w:p>
    <w:p w14:paraId="11A59101">
      <w:pPr>
        <w:spacing w:line="400" w:lineRule="exact"/>
        <w:jc w:val="both"/>
        <w:rPr>
          <w:rFonts w:ascii="Calibri" w:hAnsi="Calibri" w:eastAsia="宋体" w:cs="Times New Roman"/>
          <w:color w:val="000000"/>
          <w:kern w:val="0"/>
          <w:sz w:val="21"/>
          <w:szCs w:val="22"/>
        </w:rPr>
      </w:pPr>
      <w:r>
        <w:rPr>
          <w:rFonts w:ascii="Calibri" w:hAnsi="Calibri" w:eastAsia="宋体" w:cs="Times New Roman"/>
          <w:color w:val="000000"/>
          <w:kern w:val="0"/>
          <w:sz w:val="21"/>
          <w:szCs w:val="22"/>
        </w:rPr>
        <w:t xml:space="preserve">                              </w:t>
      </w:r>
    </w:p>
    <w:p w14:paraId="0DD45CBB">
      <w:pPr>
        <w:spacing w:line="440" w:lineRule="exact"/>
        <w:jc w:val="both"/>
        <w:rPr>
          <w:rFonts w:ascii="Calibri" w:hAnsi="Calibri" w:eastAsia="宋体" w:cs="Times New Roman"/>
          <w:color w:val="000000"/>
          <w:kern w:val="0"/>
          <w:sz w:val="21"/>
          <w:szCs w:val="21"/>
        </w:rPr>
      </w:pPr>
      <w:r>
        <w:rPr>
          <w:rFonts w:ascii="Calibri" w:hAnsi="Calibri" w:eastAsia="宋体" w:cs="Times New Roman"/>
          <w:color w:val="000000"/>
          <w:kern w:val="0"/>
          <w:sz w:val="21"/>
          <w:szCs w:val="21"/>
          <w:u w:val="single"/>
        </w:rPr>
        <w:t xml:space="preserve">                   </w:t>
      </w:r>
      <w:r>
        <w:rPr>
          <w:rFonts w:hint="eastAsia" w:ascii="宋体" w:hAnsi="宋体" w:eastAsia="宋体" w:cs="Times New Roman"/>
          <w:color w:val="000000"/>
          <w:kern w:val="0"/>
          <w:sz w:val="21"/>
          <w:szCs w:val="21"/>
        </w:rPr>
        <w:t>（中标人名称）</w:t>
      </w:r>
      <w:r>
        <w:rPr>
          <w:rFonts w:ascii="Calibri" w:hAnsi="Calibri" w:eastAsia="宋体" w:cs="Times New Roman"/>
          <w:color w:val="000000"/>
          <w:kern w:val="0"/>
          <w:sz w:val="21"/>
          <w:szCs w:val="21"/>
        </w:rPr>
        <w:t>：</w:t>
      </w:r>
    </w:p>
    <w:p w14:paraId="6826797B">
      <w:pPr>
        <w:spacing w:line="440" w:lineRule="exact"/>
        <w:jc w:val="both"/>
        <w:rPr>
          <w:rFonts w:ascii="Calibri" w:hAnsi="Calibri" w:eastAsia="宋体" w:cs="Times New Roman"/>
          <w:color w:val="000000"/>
          <w:kern w:val="0"/>
          <w:sz w:val="21"/>
          <w:szCs w:val="21"/>
        </w:rPr>
      </w:pPr>
    </w:p>
    <w:p w14:paraId="40E5A782">
      <w:pPr>
        <w:spacing w:line="440" w:lineRule="exact"/>
        <w:ind w:firstLine="420"/>
        <w:jc w:val="both"/>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你方于</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（投标日期）所递交的</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（项目名称）</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标段施工投标文件已被我方接受，被确定为中标人。</w:t>
      </w:r>
    </w:p>
    <w:p w14:paraId="0D9DDFE9">
      <w:pPr>
        <w:spacing w:line="440" w:lineRule="exact"/>
        <w:ind w:firstLine="420"/>
        <w:jc w:val="both"/>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中标价：</w:t>
      </w:r>
      <w:r>
        <w:rPr>
          <w:rFonts w:hint="eastAsia" w:ascii="宋体" w:hAnsi="宋体" w:eastAsia="宋体" w:cs="Times New Roman"/>
          <w:color w:val="000000"/>
          <w:kern w:val="0"/>
          <w:sz w:val="21"/>
          <w:szCs w:val="21"/>
        </w:rPr>
        <w:t>人民币（大写）</w:t>
      </w:r>
      <w:r>
        <w:rPr>
          <w:rFonts w:hint="eastAsia" w:ascii="宋体" w:hAnsi="宋体" w:eastAsia="宋体" w:cs="Times New Roman"/>
          <w:color w:val="000000"/>
          <w:kern w:val="0"/>
          <w:sz w:val="21"/>
          <w:szCs w:val="21"/>
          <w:u w:val="single"/>
        </w:rPr>
        <w:t xml:space="preserve">           </w:t>
      </w:r>
      <w:r>
        <w:rPr>
          <w:rFonts w:hint="eastAsia" w:ascii="宋体" w:hAnsi="宋体" w:eastAsia="宋体" w:cs="Times New Roman"/>
          <w:color w:val="000000"/>
          <w:kern w:val="0"/>
          <w:sz w:val="21"/>
          <w:szCs w:val="21"/>
        </w:rPr>
        <w:t>（￥</w:t>
      </w:r>
      <w:r>
        <w:rPr>
          <w:rFonts w:hint="eastAsia" w:ascii="宋体" w:hAnsi="宋体" w:eastAsia="宋体" w:cs="Times New Roman"/>
          <w:color w:val="000000"/>
          <w:kern w:val="0"/>
          <w:sz w:val="21"/>
          <w:szCs w:val="21"/>
          <w:u w:val="single"/>
        </w:rPr>
        <w:t xml:space="preserve">       </w:t>
      </w:r>
      <w:r>
        <w:rPr>
          <w:rFonts w:hint="eastAsia" w:ascii="宋体" w:hAnsi="宋体" w:eastAsia="宋体" w:cs="Times New Roman"/>
          <w:color w:val="000000"/>
          <w:kern w:val="0"/>
          <w:sz w:val="21"/>
          <w:szCs w:val="21"/>
        </w:rPr>
        <w:t>）</w:t>
      </w:r>
    </w:p>
    <w:p w14:paraId="2FD72BB6">
      <w:pPr>
        <w:spacing w:line="440" w:lineRule="exact"/>
        <w:ind w:firstLine="405"/>
        <w:jc w:val="both"/>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工期：</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日历天。</w:t>
      </w:r>
    </w:p>
    <w:p w14:paraId="76052E57">
      <w:pPr>
        <w:spacing w:line="440" w:lineRule="exact"/>
        <w:jc w:val="both"/>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　  工程质量：</w:t>
      </w:r>
      <w:r>
        <w:rPr>
          <w:rFonts w:hint="eastAsia" w:ascii="Calibri" w:hAnsi="Calibri" w:eastAsia="宋体" w:cs="Times New Roman"/>
          <w:color w:val="000000"/>
          <w:kern w:val="0"/>
          <w:sz w:val="21"/>
          <w:szCs w:val="21"/>
          <w:u w:val="single"/>
        </w:rPr>
        <w:t xml:space="preserve">                                             </w:t>
      </w:r>
    </w:p>
    <w:p w14:paraId="67BBD6D9">
      <w:pPr>
        <w:spacing w:line="440" w:lineRule="exact"/>
        <w:ind w:firstLine="405"/>
        <w:jc w:val="both"/>
        <w:rPr>
          <w:rFonts w:ascii="Calibri" w:hAnsi="Calibri" w:eastAsia="宋体" w:cs="Times New Roman"/>
          <w:color w:val="000000"/>
          <w:kern w:val="0"/>
          <w:sz w:val="21"/>
          <w:szCs w:val="21"/>
          <w:u w:val="single"/>
        </w:rPr>
      </w:pPr>
      <w:r>
        <w:rPr>
          <w:rFonts w:ascii="Calibri" w:hAnsi="Calibri" w:eastAsia="宋体" w:cs="Times New Roman"/>
          <w:color w:val="000000"/>
          <w:kern w:val="0"/>
          <w:sz w:val="21"/>
          <w:szCs w:val="21"/>
        </w:rPr>
        <w:t>项目经理：</w:t>
      </w:r>
      <w:r>
        <w:rPr>
          <w:rFonts w:ascii="Calibri" w:hAnsi="Calibri" w:eastAsia="宋体" w:cs="Times New Roman"/>
          <w:color w:val="000000"/>
          <w:kern w:val="0"/>
          <w:sz w:val="21"/>
          <w:szCs w:val="21"/>
          <w:u w:val="single"/>
        </w:rPr>
        <w:t xml:space="preserve">              </w:t>
      </w:r>
      <w:r>
        <w:rPr>
          <w:rFonts w:hint="eastAsia" w:ascii="Calibri" w:hAnsi="Calibri" w:eastAsia="宋体" w:cs="Times New Roman"/>
          <w:color w:val="000000"/>
          <w:kern w:val="0"/>
          <w:sz w:val="21"/>
          <w:szCs w:val="21"/>
        </w:rPr>
        <w:t xml:space="preserve">    建造师证号：</w:t>
      </w:r>
      <w:r>
        <w:rPr>
          <w:rFonts w:ascii="Calibri" w:hAnsi="Calibri" w:eastAsia="宋体" w:cs="Times New Roman"/>
          <w:color w:val="000000"/>
          <w:kern w:val="0"/>
          <w:sz w:val="21"/>
          <w:szCs w:val="21"/>
          <w:u w:val="single"/>
        </w:rPr>
        <w:t xml:space="preserve">        </w:t>
      </w:r>
      <w:r>
        <w:rPr>
          <w:rFonts w:hint="eastAsia"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u w:val="single"/>
        </w:rPr>
        <w:t xml:space="preserve">     </w:t>
      </w:r>
      <w:r>
        <w:rPr>
          <w:rFonts w:hint="eastAsia" w:ascii="Calibri" w:hAnsi="Calibri" w:eastAsia="宋体" w:cs="Times New Roman"/>
          <w:color w:val="000000"/>
          <w:kern w:val="0"/>
          <w:sz w:val="21"/>
          <w:szCs w:val="21"/>
          <w:u w:val="single"/>
        </w:rPr>
        <w:t xml:space="preserve"> </w:t>
      </w:r>
    </w:p>
    <w:p w14:paraId="714AA3C7">
      <w:pPr>
        <w:spacing w:line="440" w:lineRule="exact"/>
        <w:ind w:firstLine="405"/>
        <w:jc w:val="both"/>
        <w:rPr>
          <w:rFonts w:ascii="Calibri" w:hAnsi="Calibri" w:eastAsia="宋体" w:cs="Times New Roman"/>
          <w:color w:val="000000"/>
          <w:kern w:val="0"/>
          <w:sz w:val="21"/>
          <w:szCs w:val="21"/>
        </w:rPr>
      </w:pPr>
      <w:r>
        <w:rPr>
          <w:rFonts w:hint="eastAsia" w:ascii="Calibri" w:hAnsi="Calibri" w:eastAsia="宋体" w:cs="Times New Roman"/>
          <w:color w:val="000000"/>
          <w:kern w:val="0"/>
          <w:sz w:val="21"/>
          <w:szCs w:val="21"/>
        </w:rPr>
        <w:t>履行地点：</w:t>
      </w:r>
      <w:r>
        <w:rPr>
          <w:rFonts w:hint="eastAsia" w:ascii="Calibri" w:hAnsi="Calibri" w:eastAsia="宋体" w:cs="Times New Roman"/>
          <w:color w:val="000000"/>
          <w:kern w:val="0"/>
          <w:sz w:val="21"/>
          <w:szCs w:val="21"/>
          <w:u w:val="single"/>
        </w:rPr>
        <w:t xml:space="preserve">                                             </w:t>
      </w:r>
      <w:r>
        <w:rPr>
          <w:rFonts w:hint="eastAsia" w:ascii="Calibri" w:hAnsi="Calibri" w:eastAsia="宋体" w:cs="Times New Roman"/>
          <w:color w:val="000000"/>
          <w:kern w:val="0"/>
          <w:sz w:val="21"/>
          <w:szCs w:val="21"/>
        </w:rPr>
        <w:t xml:space="preserve">  </w:t>
      </w:r>
    </w:p>
    <w:p w14:paraId="27E4B355">
      <w:pPr>
        <w:spacing w:line="440" w:lineRule="exact"/>
        <w:jc w:val="both"/>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　　请你方在本通知书后的</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日内</w:t>
      </w:r>
      <w:r>
        <w:rPr>
          <w:rFonts w:hint="eastAsia" w:ascii="Calibri" w:hAnsi="Calibri" w:eastAsia="宋体" w:cs="Times New Roman"/>
          <w:color w:val="000000"/>
          <w:kern w:val="0"/>
          <w:sz w:val="21"/>
          <w:szCs w:val="21"/>
        </w:rPr>
        <w:t>，根据招标文件要求与我方</w:t>
      </w:r>
      <w:r>
        <w:rPr>
          <w:rFonts w:ascii="Calibri" w:hAnsi="Calibri" w:eastAsia="宋体" w:cs="Times New Roman"/>
          <w:color w:val="000000"/>
          <w:kern w:val="0"/>
          <w:sz w:val="21"/>
          <w:szCs w:val="21"/>
        </w:rPr>
        <w:t>签订施工承包合同，在此之前按招标文件规定向我方提交履约担保。</w:t>
      </w:r>
    </w:p>
    <w:p w14:paraId="04AD9C19">
      <w:pPr>
        <w:spacing w:line="440" w:lineRule="exact"/>
        <w:jc w:val="both"/>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　　特此通知。</w:t>
      </w:r>
    </w:p>
    <w:p w14:paraId="767E822E">
      <w:pPr>
        <w:spacing w:line="440" w:lineRule="exact"/>
        <w:jc w:val="both"/>
        <w:rPr>
          <w:rFonts w:ascii="Calibri" w:hAnsi="Calibri" w:eastAsia="宋体" w:cs="Times New Roman"/>
          <w:color w:val="000000"/>
          <w:kern w:val="0"/>
          <w:sz w:val="21"/>
          <w:szCs w:val="21"/>
        </w:rPr>
      </w:pPr>
    </w:p>
    <w:p w14:paraId="2B04CD5D">
      <w:pPr>
        <w:spacing w:line="440" w:lineRule="exact"/>
        <w:jc w:val="both"/>
        <w:rPr>
          <w:rFonts w:ascii="Calibri" w:hAnsi="Calibri" w:eastAsia="宋体" w:cs="Times New Roman"/>
          <w:color w:val="000000"/>
          <w:kern w:val="0"/>
          <w:sz w:val="21"/>
          <w:szCs w:val="21"/>
        </w:rPr>
      </w:pPr>
    </w:p>
    <w:p w14:paraId="37665B34">
      <w:pPr>
        <w:spacing w:line="440" w:lineRule="exact"/>
        <w:jc w:val="right"/>
        <w:rPr>
          <w:rFonts w:ascii="Calibri" w:hAnsi="Calibri" w:eastAsia="宋体" w:cs="Times New Roman"/>
          <w:color w:val="000000"/>
          <w:kern w:val="0"/>
          <w:sz w:val="21"/>
          <w:szCs w:val="21"/>
        </w:rPr>
      </w:pPr>
    </w:p>
    <w:p w14:paraId="518C686B">
      <w:pPr>
        <w:spacing w:line="540" w:lineRule="exact"/>
        <w:ind w:firstLine="3238" w:firstLineChars="1542"/>
        <w:jc w:val="right"/>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招标人：</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（盖单位章）</w:t>
      </w:r>
    </w:p>
    <w:p w14:paraId="72A7FEB6">
      <w:pPr>
        <w:spacing w:line="540" w:lineRule="exact"/>
        <w:ind w:firstLine="3238" w:firstLineChars="1542"/>
        <w:jc w:val="right"/>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t>法定代表人：</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（签字</w:t>
      </w:r>
      <w:r>
        <w:rPr>
          <w:rFonts w:hint="eastAsia" w:ascii="Calibri" w:hAnsi="Calibri" w:eastAsia="宋体" w:cs="Times New Roman"/>
          <w:color w:val="000000"/>
          <w:kern w:val="0"/>
          <w:sz w:val="21"/>
          <w:szCs w:val="21"/>
        </w:rPr>
        <w:t>或盖章</w:t>
      </w:r>
      <w:r>
        <w:rPr>
          <w:rFonts w:ascii="Calibri" w:hAnsi="Calibri" w:eastAsia="宋体" w:cs="Times New Roman"/>
          <w:color w:val="000000"/>
          <w:kern w:val="0"/>
          <w:sz w:val="21"/>
          <w:szCs w:val="21"/>
        </w:rPr>
        <w:t>）</w:t>
      </w:r>
    </w:p>
    <w:p w14:paraId="02A8C533">
      <w:pPr>
        <w:spacing w:line="540" w:lineRule="exact"/>
        <w:ind w:firstLine="3238" w:firstLineChars="1542"/>
        <w:jc w:val="right"/>
        <w:rPr>
          <w:rFonts w:ascii="Calibri" w:hAnsi="Calibri" w:eastAsia="宋体" w:cs="Times New Roman"/>
          <w:color w:val="000000"/>
          <w:kern w:val="0"/>
          <w:sz w:val="21"/>
          <w:szCs w:val="21"/>
        </w:rPr>
      </w:pP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年</w:t>
      </w:r>
      <w:r>
        <w:rPr>
          <w:rFonts w:ascii="Calibri" w:hAnsi="Calibri" w:eastAsia="宋体" w:cs="Times New Roman"/>
          <w:color w:val="000000"/>
          <w:kern w:val="0"/>
          <w:sz w:val="21"/>
          <w:szCs w:val="21"/>
          <w:u w:val="single"/>
        </w:rPr>
        <w:t xml:space="preserve">   </w:t>
      </w:r>
      <w:r>
        <w:rPr>
          <w:rFonts w:ascii="Calibri" w:hAnsi="Calibri" w:eastAsia="宋体" w:cs="Times New Roman"/>
          <w:color w:val="000000"/>
          <w:kern w:val="0"/>
          <w:sz w:val="21"/>
          <w:szCs w:val="21"/>
        </w:rPr>
        <w:t>月</w:t>
      </w:r>
      <w:r>
        <w:rPr>
          <w:rFonts w:ascii="Calibri" w:hAnsi="Calibri" w:eastAsia="宋体" w:cs="Times New Roman"/>
          <w:color w:val="000000"/>
          <w:kern w:val="0"/>
          <w:sz w:val="21"/>
          <w:szCs w:val="21"/>
          <w:u w:val="single"/>
        </w:rPr>
        <w:t xml:space="preserve">  </w:t>
      </w:r>
      <w:r>
        <w:rPr>
          <w:rFonts w:hint="eastAsia" w:ascii="Calibri" w:hAnsi="Calibri" w:cs="Times New Roman"/>
          <w:color w:val="000000"/>
          <w:kern w:val="0"/>
          <w:sz w:val="21"/>
          <w:szCs w:val="21"/>
          <w:u w:val="single"/>
          <w:lang w:val="en-US" w:eastAsia="zh-CN"/>
        </w:rPr>
        <w:t xml:space="preserve"> </w:t>
      </w:r>
      <w:r>
        <w:rPr>
          <w:rFonts w:ascii="Calibri" w:hAnsi="Calibri" w:eastAsia="宋体" w:cs="Times New Roman"/>
          <w:color w:val="000000"/>
          <w:kern w:val="0"/>
          <w:sz w:val="21"/>
          <w:szCs w:val="21"/>
        </w:rPr>
        <w:t>日</w:t>
      </w:r>
    </w:p>
    <w:p w14:paraId="275B1BB2">
      <w:pPr>
        <w:jc w:val="center"/>
        <w:rPr>
          <w:rFonts w:ascii="Calibri" w:hAnsi="Calibri" w:eastAsia="宋体" w:cs="Times New Roman"/>
          <w:color w:val="000000"/>
          <w:kern w:val="0"/>
          <w:sz w:val="21"/>
          <w:szCs w:val="21"/>
        </w:rPr>
      </w:pPr>
      <w:r>
        <w:rPr>
          <w:rFonts w:ascii="Calibri" w:hAnsi="Calibri" w:eastAsia="宋体" w:cs="Times New Roman"/>
          <w:color w:val="000000"/>
          <w:kern w:val="0"/>
          <w:sz w:val="21"/>
          <w:szCs w:val="21"/>
        </w:rPr>
        <w:br w:type="page"/>
      </w:r>
    </w:p>
    <w:p w14:paraId="540B224C">
      <w:pPr>
        <w:pStyle w:val="36"/>
        <w:rPr>
          <w:rFonts w:ascii="Calibri" w:hAnsi="Calibri" w:eastAsia="宋体" w:cs="Times New Roman"/>
          <w:color w:val="000000"/>
          <w:kern w:val="0"/>
          <w:sz w:val="21"/>
          <w:szCs w:val="21"/>
        </w:rPr>
      </w:pPr>
    </w:p>
    <w:p w14:paraId="47DF9175">
      <w:pPr>
        <w:pStyle w:val="3"/>
        <w:spacing w:after="0"/>
      </w:pPr>
      <w:bookmarkStart w:id="131" w:name="_Toc28297"/>
      <w:bookmarkStart w:id="132" w:name="_Toc28097"/>
      <w:bookmarkStart w:id="133" w:name="_Toc24198"/>
      <w:bookmarkStart w:id="134" w:name="_Toc6316"/>
      <w:bookmarkStart w:id="135" w:name="_Toc25986"/>
      <w:bookmarkStart w:id="136" w:name="_Toc24573"/>
      <w:r>
        <w:rPr>
          <w:rFonts w:hint="eastAsia" w:ascii="Times New Roman" w:hAnsi="Times New Roman" w:eastAsia="宋体" w:cs="Times New Roman"/>
          <w:bCs/>
          <w:szCs w:val="44"/>
          <w:highlight w:val="none"/>
          <w:lang w:val="en-US" w:eastAsia="zh-CN"/>
        </w:rPr>
        <w:t>○</w:t>
      </w:r>
      <w:r>
        <w:rPr>
          <w:rFonts w:hint="eastAsia"/>
        </w:rPr>
        <w:t>第三章 评标办法</w:t>
      </w:r>
      <w:r>
        <w:rPr>
          <w:rFonts w:hint="eastAsia"/>
          <w:color w:val="FF0000"/>
        </w:rPr>
        <w:t>（经评审的最低投标价法）</w:t>
      </w:r>
      <w:bookmarkEnd w:id="131"/>
      <w:bookmarkEnd w:id="132"/>
      <w:bookmarkEnd w:id="133"/>
      <w:bookmarkEnd w:id="134"/>
      <w:bookmarkEnd w:id="135"/>
      <w:bookmarkEnd w:id="136"/>
    </w:p>
    <w:p w14:paraId="3A5DAE89">
      <w:pPr>
        <w:pStyle w:val="10"/>
        <w:ind w:left="0"/>
        <w:jc w:val="center"/>
      </w:pPr>
      <w:bookmarkStart w:id="137" w:name="_Toc179632606"/>
      <w:bookmarkStart w:id="138" w:name="_Toc246996231"/>
      <w:bookmarkStart w:id="139" w:name="_Toc247085746"/>
      <w:bookmarkStart w:id="140" w:name="_Toc296602476"/>
      <w:bookmarkStart w:id="141" w:name="_Toc144974555"/>
      <w:bookmarkStart w:id="142" w:name="_Toc152042365"/>
      <w:bookmarkStart w:id="143" w:name="_Toc68889661"/>
      <w:bookmarkStart w:id="144" w:name="_Toc246996974"/>
      <w:bookmarkStart w:id="145" w:name="_Toc68800113"/>
      <w:bookmarkStart w:id="146" w:name="_Toc152045588"/>
      <w:r>
        <w:rPr>
          <w:rFonts w:hint="eastAsia"/>
          <w:b/>
          <w:bCs/>
          <w:sz w:val="28"/>
          <w:szCs w:val="30"/>
        </w:rPr>
        <w:t>评标办法前附表</w:t>
      </w:r>
      <w:bookmarkEnd w:id="137"/>
      <w:bookmarkEnd w:id="138"/>
      <w:bookmarkEnd w:id="139"/>
      <w:bookmarkEnd w:id="140"/>
      <w:bookmarkEnd w:id="141"/>
      <w:bookmarkEnd w:id="142"/>
      <w:bookmarkEnd w:id="143"/>
      <w:bookmarkEnd w:id="144"/>
      <w:bookmarkEnd w:id="145"/>
      <w:bookmarkEnd w:id="146"/>
    </w:p>
    <w:tbl>
      <w:tblPr>
        <w:tblStyle w:val="1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953"/>
        <w:gridCol w:w="486"/>
        <w:gridCol w:w="774"/>
        <w:gridCol w:w="1260"/>
        <w:gridCol w:w="9"/>
        <w:gridCol w:w="5670"/>
      </w:tblGrid>
      <w:tr w14:paraId="6019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gridSpan w:val="2"/>
            <w:vAlign w:val="center"/>
          </w:tcPr>
          <w:p w14:paraId="59EB31C3">
            <w:pPr>
              <w:spacing w:line="440" w:lineRule="exact"/>
              <w:jc w:val="center"/>
              <w:rPr>
                <w:rFonts w:ascii="宋体" w:hAnsi="宋体"/>
                <w:b/>
                <w:sz w:val="22"/>
                <w:szCs w:val="22"/>
              </w:rPr>
            </w:pPr>
            <w:r>
              <w:rPr>
                <w:rFonts w:ascii="宋体" w:hAnsi="宋体"/>
                <w:b/>
                <w:sz w:val="22"/>
                <w:szCs w:val="22"/>
              </w:rPr>
              <w:t>条款号</w:t>
            </w:r>
          </w:p>
        </w:tc>
        <w:tc>
          <w:tcPr>
            <w:tcW w:w="2529" w:type="dxa"/>
            <w:gridSpan w:val="4"/>
            <w:vAlign w:val="center"/>
          </w:tcPr>
          <w:p w14:paraId="6FDB25C0">
            <w:pPr>
              <w:spacing w:line="440" w:lineRule="exact"/>
              <w:jc w:val="center"/>
              <w:rPr>
                <w:rFonts w:ascii="宋体" w:hAnsi="宋体"/>
                <w:b/>
                <w:sz w:val="22"/>
                <w:szCs w:val="22"/>
              </w:rPr>
            </w:pPr>
            <w:r>
              <w:rPr>
                <w:rFonts w:ascii="宋体" w:hAnsi="宋体"/>
                <w:b/>
                <w:sz w:val="22"/>
                <w:szCs w:val="22"/>
              </w:rPr>
              <w:t>评审因素</w:t>
            </w:r>
          </w:p>
        </w:tc>
        <w:tc>
          <w:tcPr>
            <w:tcW w:w="5670" w:type="dxa"/>
            <w:vAlign w:val="center"/>
          </w:tcPr>
          <w:p w14:paraId="4CF31B2C">
            <w:pPr>
              <w:spacing w:line="440" w:lineRule="exact"/>
              <w:jc w:val="center"/>
              <w:rPr>
                <w:rFonts w:ascii="宋体" w:hAnsi="宋体"/>
                <w:b/>
                <w:sz w:val="22"/>
                <w:szCs w:val="22"/>
              </w:rPr>
            </w:pPr>
            <w:r>
              <w:rPr>
                <w:rFonts w:ascii="宋体" w:hAnsi="宋体"/>
                <w:b/>
                <w:sz w:val="22"/>
                <w:szCs w:val="22"/>
              </w:rPr>
              <w:t>评审标准</w:t>
            </w:r>
          </w:p>
        </w:tc>
      </w:tr>
      <w:tr w14:paraId="29AE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restart"/>
            <w:vAlign w:val="center"/>
          </w:tcPr>
          <w:p w14:paraId="1AD5AA4C">
            <w:pPr>
              <w:spacing w:line="440" w:lineRule="exact"/>
              <w:jc w:val="center"/>
              <w:rPr>
                <w:rFonts w:ascii="宋体" w:hAnsi="宋体"/>
                <w:sz w:val="22"/>
                <w:szCs w:val="22"/>
              </w:rPr>
            </w:pPr>
            <w:r>
              <w:rPr>
                <w:rFonts w:ascii="宋体" w:hAnsi="宋体"/>
                <w:sz w:val="22"/>
                <w:szCs w:val="22"/>
              </w:rPr>
              <w:t>2.1.1</w:t>
            </w:r>
          </w:p>
        </w:tc>
        <w:tc>
          <w:tcPr>
            <w:tcW w:w="953" w:type="dxa"/>
            <w:vMerge w:val="restart"/>
            <w:vAlign w:val="center"/>
          </w:tcPr>
          <w:p w14:paraId="7E9FD032">
            <w:pPr>
              <w:spacing w:line="440" w:lineRule="exact"/>
              <w:jc w:val="center"/>
              <w:rPr>
                <w:rFonts w:ascii="宋体" w:hAnsi="宋体"/>
                <w:sz w:val="22"/>
                <w:szCs w:val="22"/>
              </w:rPr>
            </w:pPr>
            <w:r>
              <w:rPr>
                <w:rFonts w:ascii="宋体" w:hAnsi="宋体"/>
                <w:sz w:val="22"/>
                <w:szCs w:val="22"/>
              </w:rPr>
              <w:t>形式评审标准</w:t>
            </w:r>
          </w:p>
        </w:tc>
        <w:tc>
          <w:tcPr>
            <w:tcW w:w="2529" w:type="dxa"/>
            <w:gridSpan w:val="4"/>
            <w:vAlign w:val="center"/>
          </w:tcPr>
          <w:p w14:paraId="78A9D0A8">
            <w:pPr>
              <w:pStyle w:val="10"/>
              <w:ind w:left="0" w:leftChars="0"/>
              <w:jc w:val="center"/>
              <w:rPr>
                <w:rFonts w:ascii="宋体" w:hAnsi="宋体"/>
                <w:sz w:val="22"/>
                <w:szCs w:val="22"/>
              </w:rPr>
            </w:pPr>
            <w:r>
              <w:rPr>
                <w:sz w:val="22"/>
                <w:szCs w:val="22"/>
              </w:rPr>
              <w:t>投标人名称</w:t>
            </w:r>
          </w:p>
        </w:tc>
        <w:tc>
          <w:tcPr>
            <w:tcW w:w="5670" w:type="dxa"/>
            <w:vAlign w:val="center"/>
          </w:tcPr>
          <w:p w14:paraId="5247DB08">
            <w:pPr>
              <w:pStyle w:val="10"/>
              <w:ind w:left="0" w:leftChars="0"/>
              <w:rPr>
                <w:rFonts w:hint="eastAsia" w:ascii="宋体" w:hAnsi="宋体" w:eastAsia="宋体"/>
                <w:sz w:val="22"/>
                <w:szCs w:val="22"/>
                <w:lang w:eastAsia="zh-CN"/>
              </w:rPr>
            </w:pPr>
            <w:r>
              <w:rPr>
                <w:rFonts w:hint="eastAsia" w:ascii="宋体" w:hAnsi="宋体"/>
                <w:sz w:val="22"/>
                <w:szCs w:val="22"/>
              </w:rPr>
              <w:t>与营业执照、资质证书、安全生产许可证（</w:t>
            </w:r>
            <w:r>
              <w:rPr>
                <w:rFonts w:hint="eastAsia" w:ascii="宋体" w:hAnsi="宋体" w:cs="Arial"/>
                <w:sz w:val="22"/>
                <w:szCs w:val="22"/>
              </w:rPr>
              <w:t>依法不需要提供的除外</w:t>
            </w:r>
            <w:r>
              <w:rPr>
                <w:rFonts w:hint="eastAsia" w:ascii="宋体" w:hAnsi="宋体"/>
                <w:sz w:val="22"/>
                <w:szCs w:val="22"/>
              </w:rPr>
              <w:t>）一致</w:t>
            </w:r>
            <w:r>
              <w:rPr>
                <w:rFonts w:hint="eastAsia" w:ascii="宋体" w:hAnsi="宋体"/>
                <w:kern w:val="0"/>
                <w:sz w:val="22"/>
                <w:szCs w:val="22"/>
              </w:rPr>
              <w:t>，如为联合体，则联合体各方均需满足。</w:t>
            </w:r>
          </w:p>
        </w:tc>
      </w:tr>
      <w:tr w14:paraId="4B5B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24680E1">
            <w:pPr>
              <w:spacing w:line="440" w:lineRule="exact"/>
              <w:jc w:val="center"/>
              <w:rPr>
                <w:rFonts w:ascii="宋体" w:hAnsi="宋体"/>
                <w:sz w:val="22"/>
                <w:szCs w:val="22"/>
              </w:rPr>
            </w:pPr>
          </w:p>
        </w:tc>
        <w:tc>
          <w:tcPr>
            <w:tcW w:w="953" w:type="dxa"/>
            <w:vMerge w:val="continue"/>
            <w:vAlign w:val="center"/>
          </w:tcPr>
          <w:p w14:paraId="5242E96C">
            <w:pPr>
              <w:spacing w:line="440" w:lineRule="exact"/>
              <w:jc w:val="center"/>
              <w:rPr>
                <w:rFonts w:ascii="宋体" w:hAnsi="宋体"/>
                <w:sz w:val="22"/>
                <w:szCs w:val="22"/>
              </w:rPr>
            </w:pPr>
          </w:p>
        </w:tc>
        <w:tc>
          <w:tcPr>
            <w:tcW w:w="2529" w:type="dxa"/>
            <w:gridSpan w:val="4"/>
            <w:vAlign w:val="center"/>
          </w:tcPr>
          <w:p w14:paraId="77AFD4AA">
            <w:pPr>
              <w:pStyle w:val="10"/>
              <w:ind w:left="0" w:leftChars="0"/>
              <w:jc w:val="center"/>
              <w:rPr>
                <w:rFonts w:ascii="宋体" w:hAnsi="宋体"/>
                <w:sz w:val="22"/>
                <w:szCs w:val="22"/>
              </w:rPr>
            </w:pPr>
            <w:r>
              <w:rPr>
                <w:rFonts w:hint="eastAsia"/>
                <w:sz w:val="22"/>
                <w:szCs w:val="22"/>
                <w:lang w:eastAsia="zh-CN"/>
              </w:rPr>
              <w:t>签章</w:t>
            </w:r>
            <w:r>
              <w:rPr>
                <w:rFonts w:hint="eastAsia"/>
                <w:sz w:val="22"/>
                <w:szCs w:val="22"/>
              </w:rPr>
              <w:t>、盖章要求</w:t>
            </w:r>
          </w:p>
        </w:tc>
        <w:tc>
          <w:tcPr>
            <w:tcW w:w="5670" w:type="dxa"/>
            <w:vAlign w:val="center"/>
          </w:tcPr>
          <w:p w14:paraId="71B43FCC">
            <w:pPr>
              <w:pStyle w:val="10"/>
              <w:ind w:left="0" w:leftChars="0"/>
              <w:rPr>
                <w:rFonts w:ascii="宋体" w:hAnsi="宋体"/>
                <w:sz w:val="22"/>
                <w:szCs w:val="22"/>
              </w:rPr>
            </w:pPr>
            <w:r>
              <w:rPr>
                <w:rFonts w:hint="eastAsia"/>
                <w:sz w:val="22"/>
                <w:szCs w:val="22"/>
              </w:rPr>
              <w:t>符合第二章“投标人须知前附表”第</w:t>
            </w:r>
            <w:r>
              <w:rPr>
                <w:sz w:val="22"/>
                <w:szCs w:val="22"/>
              </w:rPr>
              <w:t>3.7.3</w:t>
            </w:r>
            <w:r>
              <w:rPr>
                <w:rFonts w:hint="eastAsia"/>
                <w:sz w:val="22"/>
                <w:szCs w:val="22"/>
              </w:rPr>
              <w:t>项规定</w:t>
            </w:r>
          </w:p>
        </w:tc>
      </w:tr>
      <w:tr w14:paraId="57DA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4216ABD7">
            <w:pPr>
              <w:spacing w:line="440" w:lineRule="exact"/>
              <w:jc w:val="center"/>
              <w:rPr>
                <w:rFonts w:ascii="宋体" w:hAnsi="宋体"/>
                <w:sz w:val="22"/>
                <w:szCs w:val="22"/>
              </w:rPr>
            </w:pPr>
          </w:p>
        </w:tc>
        <w:tc>
          <w:tcPr>
            <w:tcW w:w="953" w:type="dxa"/>
            <w:vMerge w:val="continue"/>
            <w:vAlign w:val="center"/>
          </w:tcPr>
          <w:p w14:paraId="0C452B21">
            <w:pPr>
              <w:spacing w:line="440" w:lineRule="exact"/>
              <w:jc w:val="center"/>
              <w:rPr>
                <w:rFonts w:ascii="宋体" w:hAnsi="宋体"/>
                <w:sz w:val="22"/>
                <w:szCs w:val="22"/>
              </w:rPr>
            </w:pPr>
          </w:p>
        </w:tc>
        <w:tc>
          <w:tcPr>
            <w:tcW w:w="2529" w:type="dxa"/>
            <w:gridSpan w:val="4"/>
            <w:vAlign w:val="center"/>
          </w:tcPr>
          <w:p w14:paraId="017C33A2">
            <w:pPr>
              <w:pStyle w:val="10"/>
              <w:ind w:left="0" w:leftChars="0"/>
              <w:jc w:val="center"/>
              <w:rPr>
                <w:rFonts w:ascii="宋体" w:hAnsi="宋体"/>
                <w:sz w:val="22"/>
                <w:szCs w:val="22"/>
              </w:rPr>
            </w:pPr>
            <w:r>
              <w:rPr>
                <w:sz w:val="22"/>
                <w:szCs w:val="22"/>
              </w:rPr>
              <w:t>投标文件格式</w:t>
            </w:r>
          </w:p>
        </w:tc>
        <w:tc>
          <w:tcPr>
            <w:tcW w:w="5670" w:type="dxa"/>
            <w:vAlign w:val="center"/>
          </w:tcPr>
          <w:p w14:paraId="1623F627">
            <w:pPr>
              <w:pStyle w:val="10"/>
              <w:ind w:left="0" w:leftChars="0"/>
              <w:rPr>
                <w:rFonts w:ascii="宋体" w:hAnsi="宋体"/>
                <w:sz w:val="22"/>
                <w:szCs w:val="22"/>
              </w:rPr>
            </w:pPr>
            <w:r>
              <w:rPr>
                <w:sz w:val="22"/>
                <w:szCs w:val="22"/>
              </w:rPr>
              <w:t>符合第八章“投标文件格式”的要求</w:t>
            </w:r>
            <w:r>
              <w:rPr>
                <w:rFonts w:hint="eastAsia"/>
                <w:sz w:val="22"/>
                <w:szCs w:val="22"/>
              </w:rPr>
              <w:t>和第二章“投标人须知前附表”第</w:t>
            </w:r>
            <w:r>
              <w:rPr>
                <w:sz w:val="22"/>
                <w:szCs w:val="22"/>
              </w:rPr>
              <w:t>3.7.1</w:t>
            </w:r>
            <w:r>
              <w:rPr>
                <w:rFonts w:hint="eastAsia"/>
                <w:sz w:val="22"/>
                <w:szCs w:val="22"/>
              </w:rPr>
              <w:t>项规定</w:t>
            </w:r>
          </w:p>
        </w:tc>
      </w:tr>
      <w:tr w14:paraId="0B00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17B9A241">
            <w:pPr>
              <w:spacing w:line="440" w:lineRule="exact"/>
              <w:jc w:val="center"/>
              <w:rPr>
                <w:rFonts w:ascii="宋体" w:hAnsi="宋体"/>
                <w:sz w:val="22"/>
                <w:szCs w:val="22"/>
              </w:rPr>
            </w:pPr>
          </w:p>
        </w:tc>
        <w:tc>
          <w:tcPr>
            <w:tcW w:w="953" w:type="dxa"/>
            <w:vMerge w:val="continue"/>
            <w:vAlign w:val="center"/>
          </w:tcPr>
          <w:p w14:paraId="610CB95C">
            <w:pPr>
              <w:spacing w:line="440" w:lineRule="exact"/>
              <w:jc w:val="center"/>
              <w:rPr>
                <w:rFonts w:ascii="宋体" w:hAnsi="宋体"/>
                <w:sz w:val="22"/>
                <w:szCs w:val="22"/>
              </w:rPr>
            </w:pPr>
          </w:p>
        </w:tc>
        <w:tc>
          <w:tcPr>
            <w:tcW w:w="2529" w:type="dxa"/>
            <w:gridSpan w:val="4"/>
            <w:vAlign w:val="center"/>
          </w:tcPr>
          <w:p w14:paraId="4ED08F9B">
            <w:pPr>
              <w:pStyle w:val="10"/>
              <w:ind w:left="0" w:leftChars="0"/>
              <w:jc w:val="center"/>
              <w:rPr>
                <w:rFonts w:ascii="宋体" w:hAnsi="宋体"/>
                <w:sz w:val="22"/>
                <w:szCs w:val="22"/>
              </w:rPr>
            </w:pPr>
            <w:r>
              <w:rPr>
                <w:sz w:val="22"/>
                <w:szCs w:val="22"/>
              </w:rPr>
              <w:t>联合体投标人</w:t>
            </w:r>
          </w:p>
        </w:tc>
        <w:tc>
          <w:tcPr>
            <w:tcW w:w="5670" w:type="dxa"/>
            <w:vAlign w:val="top"/>
          </w:tcPr>
          <w:p w14:paraId="69F3B57C">
            <w:pPr>
              <w:pStyle w:val="10"/>
              <w:ind w:left="0" w:leftChars="0"/>
              <w:rPr>
                <w:rFonts w:ascii="宋体" w:hAnsi="宋体"/>
                <w:sz w:val="22"/>
                <w:szCs w:val="22"/>
              </w:rPr>
            </w:pPr>
            <w:r>
              <w:rPr>
                <w:sz w:val="22"/>
                <w:szCs w:val="22"/>
              </w:rPr>
              <w:t>提交符合招标文件要求的联合体协议书，明确各方承担连带责任，并明确联合体牵头人</w:t>
            </w:r>
          </w:p>
        </w:tc>
      </w:tr>
      <w:tr w14:paraId="65F7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19EDD0EF">
            <w:pPr>
              <w:spacing w:line="440" w:lineRule="exact"/>
              <w:jc w:val="center"/>
              <w:rPr>
                <w:rFonts w:ascii="宋体" w:hAnsi="宋体"/>
                <w:sz w:val="22"/>
                <w:szCs w:val="22"/>
              </w:rPr>
            </w:pPr>
          </w:p>
        </w:tc>
        <w:tc>
          <w:tcPr>
            <w:tcW w:w="953" w:type="dxa"/>
            <w:vMerge w:val="continue"/>
            <w:vAlign w:val="center"/>
          </w:tcPr>
          <w:p w14:paraId="4B38FDBE">
            <w:pPr>
              <w:spacing w:line="440" w:lineRule="exact"/>
              <w:jc w:val="center"/>
              <w:rPr>
                <w:rFonts w:ascii="宋体" w:hAnsi="宋体"/>
                <w:sz w:val="22"/>
                <w:szCs w:val="22"/>
              </w:rPr>
            </w:pPr>
          </w:p>
        </w:tc>
        <w:tc>
          <w:tcPr>
            <w:tcW w:w="2529" w:type="dxa"/>
            <w:gridSpan w:val="4"/>
            <w:shd w:val="clear" w:color="auto" w:fill="auto"/>
            <w:vAlign w:val="center"/>
          </w:tcPr>
          <w:p w14:paraId="5649DD7D">
            <w:pPr>
              <w:pStyle w:val="30"/>
              <w:spacing w:before="15"/>
              <w:jc w:val="center"/>
              <w:rPr>
                <w:rFonts w:hint="eastAsia" w:ascii="宋体" w:hAnsi="宋体" w:eastAsia="宋体" w:cs="Microsoft JhengHei"/>
                <w:bCs/>
                <w:kern w:val="0"/>
                <w:sz w:val="22"/>
                <w:szCs w:val="22"/>
                <w:lang w:val="en-US" w:eastAsia="zh-CN" w:bidi="ar-SA"/>
              </w:rPr>
            </w:pPr>
            <w:r>
              <w:rPr>
                <w:rFonts w:hint="eastAsia" w:ascii="宋体" w:hAnsi="宋体" w:cs="Microsoft JhengHei"/>
                <w:bCs/>
                <w:sz w:val="22"/>
                <w:szCs w:val="22"/>
                <w:lang w:eastAsia="zh-CN"/>
              </w:rPr>
              <w:t>报价唯一</w:t>
            </w:r>
          </w:p>
        </w:tc>
        <w:tc>
          <w:tcPr>
            <w:tcW w:w="5670" w:type="dxa"/>
            <w:shd w:val="clear" w:color="auto" w:fill="auto"/>
            <w:vAlign w:val="top"/>
          </w:tcPr>
          <w:p w14:paraId="731D8E2F">
            <w:pPr>
              <w:pStyle w:val="30"/>
              <w:spacing w:before="107"/>
              <w:rPr>
                <w:rFonts w:hint="eastAsia" w:ascii="宋体" w:hAnsi="宋体" w:eastAsia="宋体" w:cs="宋体"/>
                <w:kern w:val="0"/>
                <w:sz w:val="22"/>
                <w:szCs w:val="22"/>
                <w:lang w:val="en-US" w:eastAsia="zh-CN" w:bidi="ar-SA"/>
              </w:rPr>
            </w:pPr>
            <w:r>
              <w:rPr>
                <w:rFonts w:hint="eastAsia" w:ascii="宋体" w:hAnsi="宋体"/>
                <w:sz w:val="22"/>
                <w:szCs w:val="22"/>
                <w:lang w:eastAsia="zh-CN"/>
              </w:rPr>
              <w:t>只能有一个有效报价，即符合第二章“投标人须知前附表”第10.</w:t>
            </w:r>
            <w:r>
              <w:rPr>
                <w:rFonts w:hint="eastAsia" w:ascii="宋体" w:hAnsi="宋体"/>
                <w:sz w:val="22"/>
                <w:szCs w:val="22"/>
                <w:lang w:val="en-US" w:eastAsia="zh-CN"/>
              </w:rPr>
              <w:t>4</w:t>
            </w:r>
            <w:r>
              <w:rPr>
                <w:rFonts w:hint="eastAsia" w:ascii="宋体" w:hAnsi="宋体"/>
                <w:sz w:val="22"/>
                <w:szCs w:val="22"/>
                <w:lang w:eastAsia="zh-CN"/>
              </w:rPr>
              <w:t>款要求</w:t>
            </w:r>
          </w:p>
        </w:tc>
      </w:tr>
      <w:tr w14:paraId="348F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30DE8683">
            <w:pPr>
              <w:spacing w:line="440" w:lineRule="exact"/>
              <w:jc w:val="center"/>
              <w:rPr>
                <w:rFonts w:ascii="宋体" w:hAnsi="宋体"/>
                <w:sz w:val="22"/>
                <w:szCs w:val="22"/>
              </w:rPr>
            </w:pPr>
          </w:p>
        </w:tc>
        <w:tc>
          <w:tcPr>
            <w:tcW w:w="953" w:type="dxa"/>
            <w:vMerge w:val="continue"/>
            <w:vAlign w:val="center"/>
          </w:tcPr>
          <w:p w14:paraId="2F56E2BA">
            <w:pPr>
              <w:spacing w:line="440" w:lineRule="exact"/>
              <w:jc w:val="center"/>
              <w:rPr>
                <w:rFonts w:ascii="宋体" w:hAnsi="宋体"/>
                <w:sz w:val="22"/>
                <w:szCs w:val="22"/>
              </w:rPr>
            </w:pPr>
          </w:p>
        </w:tc>
        <w:tc>
          <w:tcPr>
            <w:tcW w:w="2529" w:type="dxa"/>
            <w:gridSpan w:val="4"/>
            <w:shd w:val="clear" w:color="auto" w:fill="auto"/>
            <w:vAlign w:val="center"/>
          </w:tcPr>
          <w:p w14:paraId="1F0C298B">
            <w:pPr>
              <w:pStyle w:val="10"/>
              <w:ind w:left="0" w:leftChars="0"/>
              <w:jc w:val="center"/>
              <w:rPr>
                <w:rFonts w:ascii="宋体" w:hAnsi="宋体" w:eastAsia="宋体" w:cstheme="minorBidi"/>
                <w:kern w:val="2"/>
                <w:sz w:val="22"/>
                <w:szCs w:val="22"/>
                <w:lang w:val="en-US" w:eastAsia="en-US" w:bidi="ar-SA"/>
              </w:rPr>
            </w:pPr>
            <w:r>
              <w:rPr>
                <w:rFonts w:hint="eastAsia"/>
                <w:sz w:val="22"/>
                <w:szCs w:val="22"/>
              </w:rPr>
              <w:t>□</w:t>
            </w:r>
            <w:r>
              <w:rPr>
                <w:rFonts w:ascii="宋体" w:hAnsi="宋体" w:cstheme="minorBidi"/>
                <w:sz w:val="22"/>
                <w:szCs w:val="22"/>
              </w:rPr>
              <w:t>备选投标方案</w:t>
            </w:r>
          </w:p>
        </w:tc>
        <w:tc>
          <w:tcPr>
            <w:tcW w:w="5670" w:type="dxa"/>
            <w:shd w:val="clear" w:color="auto" w:fill="auto"/>
            <w:vAlign w:val="top"/>
          </w:tcPr>
          <w:p w14:paraId="377F4E36">
            <w:pPr>
              <w:pStyle w:val="10"/>
              <w:spacing w:before="107"/>
              <w:ind w:left="0" w:leftChars="0"/>
              <w:jc w:val="both"/>
              <w:rPr>
                <w:rFonts w:ascii="宋体" w:hAnsi="宋体" w:eastAsia="宋体" w:cstheme="minorBidi"/>
                <w:kern w:val="2"/>
                <w:sz w:val="22"/>
                <w:szCs w:val="22"/>
                <w:lang w:val="en-US" w:eastAsia="zh-CN" w:bidi="ar-SA"/>
              </w:rPr>
            </w:pPr>
            <w:r>
              <w:rPr>
                <w:rFonts w:ascii="宋体" w:hAnsi="宋体" w:cstheme="minorBidi"/>
                <w:sz w:val="22"/>
                <w:szCs w:val="22"/>
                <w:lang w:eastAsia="zh-CN"/>
              </w:rPr>
              <w:t>除招标文件明确允许提交备选投标方案外，投标人不得提交备选投标方案</w:t>
            </w:r>
          </w:p>
        </w:tc>
      </w:tr>
      <w:tr w14:paraId="2370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34BD02BE">
            <w:pPr>
              <w:spacing w:line="440" w:lineRule="exact"/>
              <w:jc w:val="center"/>
              <w:rPr>
                <w:rFonts w:ascii="宋体" w:hAnsi="宋体"/>
                <w:sz w:val="22"/>
                <w:szCs w:val="22"/>
              </w:rPr>
            </w:pPr>
          </w:p>
        </w:tc>
        <w:tc>
          <w:tcPr>
            <w:tcW w:w="953" w:type="dxa"/>
            <w:vMerge w:val="continue"/>
            <w:vAlign w:val="center"/>
          </w:tcPr>
          <w:p w14:paraId="4B17C75F">
            <w:pPr>
              <w:spacing w:line="440" w:lineRule="exact"/>
              <w:jc w:val="center"/>
              <w:rPr>
                <w:rFonts w:ascii="宋体" w:hAnsi="宋体"/>
                <w:sz w:val="22"/>
                <w:szCs w:val="22"/>
              </w:rPr>
            </w:pPr>
          </w:p>
        </w:tc>
        <w:tc>
          <w:tcPr>
            <w:tcW w:w="2529" w:type="dxa"/>
            <w:gridSpan w:val="4"/>
            <w:vAlign w:val="center"/>
          </w:tcPr>
          <w:p w14:paraId="747562F5">
            <w:pPr>
              <w:spacing w:line="440" w:lineRule="exact"/>
              <w:jc w:val="center"/>
              <w:rPr>
                <w:rFonts w:ascii="宋体" w:hAnsi="宋体"/>
                <w:sz w:val="22"/>
                <w:szCs w:val="22"/>
              </w:rPr>
            </w:pPr>
            <w:r>
              <w:rPr>
                <w:rFonts w:ascii="宋体" w:hAnsi="宋体"/>
                <w:sz w:val="22"/>
                <w:szCs w:val="22"/>
              </w:rPr>
              <w:t>……</w:t>
            </w:r>
          </w:p>
        </w:tc>
        <w:tc>
          <w:tcPr>
            <w:tcW w:w="5670" w:type="dxa"/>
            <w:vAlign w:val="center"/>
          </w:tcPr>
          <w:p w14:paraId="094F8DC7">
            <w:pPr>
              <w:spacing w:line="440" w:lineRule="exact"/>
              <w:jc w:val="center"/>
              <w:rPr>
                <w:rFonts w:ascii="宋体" w:hAnsi="宋体"/>
                <w:sz w:val="22"/>
                <w:szCs w:val="22"/>
              </w:rPr>
            </w:pPr>
            <w:r>
              <w:rPr>
                <w:rFonts w:ascii="宋体" w:hAnsi="宋体"/>
                <w:sz w:val="22"/>
                <w:szCs w:val="22"/>
              </w:rPr>
              <w:t>……</w:t>
            </w:r>
          </w:p>
        </w:tc>
      </w:tr>
      <w:tr w14:paraId="69F4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restart"/>
            <w:vAlign w:val="center"/>
          </w:tcPr>
          <w:p w14:paraId="48DA930F">
            <w:pPr>
              <w:spacing w:line="440" w:lineRule="exact"/>
              <w:jc w:val="center"/>
              <w:rPr>
                <w:rFonts w:ascii="宋体" w:hAnsi="宋体"/>
                <w:sz w:val="22"/>
                <w:szCs w:val="22"/>
              </w:rPr>
            </w:pPr>
            <w:r>
              <w:rPr>
                <w:rFonts w:ascii="宋体" w:hAnsi="宋体"/>
                <w:sz w:val="22"/>
                <w:szCs w:val="22"/>
              </w:rPr>
              <w:t>2.1.2</w:t>
            </w:r>
          </w:p>
        </w:tc>
        <w:tc>
          <w:tcPr>
            <w:tcW w:w="953" w:type="dxa"/>
            <w:vMerge w:val="restart"/>
            <w:vAlign w:val="center"/>
          </w:tcPr>
          <w:p w14:paraId="595BEE93">
            <w:pPr>
              <w:spacing w:line="440" w:lineRule="exact"/>
              <w:jc w:val="center"/>
              <w:rPr>
                <w:rFonts w:ascii="宋体" w:hAnsi="宋体"/>
                <w:sz w:val="22"/>
                <w:szCs w:val="22"/>
              </w:rPr>
            </w:pPr>
            <w:r>
              <w:rPr>
                <w:rFonts w:ascii="宋体" w:hAnsi="宋体"/>
                <w:sz w:val="22"/>
                <w:szCs w:val="22"/>
              </w:rPr>
              <w:t>资格评审标准</w:t>
            </w:r>
          </w:p>
        </w:tc>
        <w:tc>
          <w:tcPr>
            <w:tcW w:w="2529" w:type="dxa"/>
            <w:gridSpan w:val="4"/>
            <w:vAlign w:val="center"/>
          </w:tcPr>
          <w:p w14:paraId="4BF74820">
            <w:pPr>
              <w:pStyle w:val="10"/>
              <w:spacing w:line="23" w:lineRule="atLeast"/>
              <w:ind w:left="0" w:leftChars="0"/>
              <w:jc w:val="center"/>
              <w:rPr>
                <w:rFonts w:ascii="宋体" w:hAnsi="宋体"/>
                <w:sz w:val="22"/>
                <w:szCs w:val="22"/>
              </w:rPr>
            </w:pPr>
            <w:r>
              <w:rPr>
                <w:sz w:val="22"/>
                <w:szCs w:val="22"/>
              </w:rPr>
              <w:t>营业执照</w:t>
            </w:r>
          </w:p>
        </w:tc>
        <w:tc>
          <w:tcPr>
            <w:tcW w:w="5670" w:type="dxa"/>
            <w:vAlign w:val="center"/>
          </w:tcPr>
          <w:p w14:paraId="2779495B">
            <w:pPr>
              <w:pStyle w:val="10"/>
              <w:spacing w:line="23" w:lineRule="atLeast"/>
              <w:ind w:left="0" w:leftChars="0"/>
              <w:rPr>
                <w:rFonts w:ascii="宋体" w:hAnsi="宋体"/>
                <w:sz w:val="22"/>
                <w:szCs w:val="22"/>
              </w:rPr>
            </w:pPr>
            <w:r>
              <w:rPr>
                <w:rFonts w:hint="eastAsia"/>
                <w:sz w:val="22"/>
                <w:szCs w:val="22"/>
              </w:rPr>
              <w:t>具备有效的营业执照（联合体投标的联合体各方均须提供营业执照）</w:t>
            </w:r>
          </w:p>
        </w:tc>
      </w:tr>
      <w:tr w14:paraId="746F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5" w:type="dxa"/>
            <w:vMerge w:val="continue"/>
            <w:vAlign w:val="center"/>
          </w:tcPr>
          <w:p w14:paraId="4635CB36">
            <w:pPr>
              <w:spacing w:line="440" w:lineRule="exact"/>
              <w:jc w:val="center"/>
              <w:rPr>
                <w:rFonts w:ascii="宋体" w:hAnsi="宋体"/>
                <w:sz w:val="22"/>
                <w:szCs w:val="22"/>
              </w:rPr>
            </w:pPr>
          </w:p>
        </w:tc>
        <w:tc>
          <w:tcPr>
            <w:tcW w:w="953" w:type="dxa"/>
            <w:vMerge w:val="continue"/>
            <w:vAlign w:val="center"/>
          </w:tcPr>
          <w:p w14:paraId="37C8B194">
            <w:pPr>
              <w:spacing w:line="440" w:lineRule="exact"/>
              <w:jc w:val="center"/>
              <w:rPr>
                <w:rFonts w:ascii="宋体" w:hAnsi="宋体"/>
                <w:sz w:val="22"/>
                <w:szCs w:val="22"/>
              </w:rPr>
            </w:pPr>
          </w:p>
        </w:tc>
        <w:tc>
          <w:tcPr>
            <w:tcW w:w="2529" w:type="dxa"/>
            <w:gridSpan w:val="4"/>
            <w:vAlign w:val="center"/>
          </w:tcPr>
          <w:p w14:paraId="5B59A085">
            <w:pPr>
              <w:pStyle w:val="10"/>
              <w:spacing w:line="23" w:lineRule="atLeast"/>
              <w:ind w:left="0" w:leftChars="0"/>
              <w:jc w:val="center"/>
              <w:rPr>
                <w:rFonts w:ascii="宋体" w:hAnsi="宋体"/>
                <w:sz w:val="22"/>
                <w:szCs w:val="22"/>
              </w:rPr>
            </w:pPr>
            <w:r>
              <w:rPr>
                <w:sz w:val="22"/>
                <w:szCs w:val="22"/>
              </w:rPr>
              <w:t>资质等级</w:t>
            </w:r>
          </w:p>
        </w:tc>
        <w:tc>
          <w:tcPr>
            <w:tcW w:w="5670" w:type="dxa"/>
            <w:vAlign w:val="center"/>
          </w:tcPr>
          <w:p w14:paraId="2F6D400E">
            <w:pPr>
              <w:pStyle w:val="10"/>
              <w:spacing w:line="23" w:lineRule="atLeast"/>
              <w:ind w:left="0" w:leftChars="0"/>
              <w:rPr>
                <w:rFonts w:hint="eastAsia" w:ascii="宋体" w:hAnsi="宋体" w:eastAsia="宋体"/>
                <w:sz w:val="22"/>
                <w:szCs w:val="22"/>
                <w:lang w:eastAsia="zh-CN"/>
              </w:rPr>
            </w:pPr>
            <w:r>
              <w:rPr>
                <w:rFonts w:hint="eastAsia"/>
                <w:sz w:val="22"/>
                <w:szCs w:val="22"/>
                <w:lang w:eastAsia="zh-CN"/>
              </w:rPr>
              <w:t>符合第二章“投标人须知前附表”第1.4.1项规定</w:t>
            </w:r>
          </w:p>
        </w:tc>
      </w:tr>
      <w:tr w14:paraId="3FB4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37CCE017">
            <w:pPr>
              <w:spacing w:line="440" w:lineRule="exact"/>
              <w:jc w:val="center"/>
              <w:rPr>
                <w:rFonts w:ascii="宋体" w:hAnsi="宋体"/>
                <w:sz w:val="22"/>
                <w:szCs w:val="22"/>
              </w:rPr>
            </w:pPr>
          </w:p>
        </w:tc>
        <w:tc>
          <w:tcPr>
            <w:tcW w:w="953" w:type="dxa"/>
            <w:vMerge w:val="continue"/>
            <w:vAlign w:val="center"/>
          </w:tcPr>
          <w:p w14:paraId="1270EF11">
            <w:pPr>
              <w:spacing w:line="440" w:lineRule="exact"/>
              <w:jc w:val="center"/>
              <w:rPr>
                <w:rFonts w:ascii="宋体" w:hAnsi="宋体"/>
                <w:sz w:val="22"/>
                <w:szCs w:val="22"/>
              </w:rPr>
            </w:pPr>
          </w:p>
        </w:tc>
        <w:tc>
          <w:tcPr>
            <w:tcW w:w="2529" w:type="dxa"/>
            <w:gridSpan w:val="4"/>
            <w:vAlign w:val="center"/>
          </w:tcPr>
          <w:p w14:paraId="1E6BABE1">
            <w:pPr>
              <w:pStyle w:val="10"/>
              <w:spacing w:line="23" w:lineRule="atLeast"/>
              <w:ind w:left="0"/>
              <w:jc w:val="center"/>
              <w:rPr>
                <w:rFonts w:ascii="宋体" w:hAnsi="宋体" w:eastAsia="宋体" w:cs="宋体"/>
                <w:color w:val="000000"/>
                <w:sz w:val="22"/>
                <w:szCs w:val="22"/>
              </w:rPr>
            </w:pPr>
            <w:r>
              <w:rPr>
                <w:rFonts w:hint="eastAsia" w:hAnsi="宋体"/>
                <w:sz w:val="22"/>
                <w:szCs w:val="22"/>
              </w:rPr>
              <w:t>○</w:t>
            </w:r>
            <w:r>
              <w:rPr>
                <w:rFonts w:ascii="宋体" w:hAnsi="宋体" w:eastAsia="宋体" w:cs="宋体"/>
                <w:color w:val="000000"/>
                <w:sz w:val="22"/>
                <w:szCs w:val="22"/>
              </w:rPr>
              <w:t>类似工程业绩要求</w:t>
            </w:r>
          </w:p>
          <w:p w14:paraId="65F4A3F4">
            <w:pPr>
              <w:pStyle w:val="10"/>
              <w:spacing w:line="23" w:lineRule="atLeast"/>
              <w:ind w:left="0" w:leftChars="0"/>
              <w:jc w:val="center"/>
              <w:rPr>
                <w:rFonts w:ascii="宋体" w:hAnsi="宋体"/>
                <w:sz w:val="22"/>
                <w:szCs w:val="22"/>
              </w:rPr>
            </w:pPr>
            <w:r>
              <w:rPr>
                <w:rFonts w:hint="eastAsia" w:hAnsi="宋体"/>
                <w:sz w:val="22"/>
                <w:szCs w:val="22"/>
              </w:rPr>
              <w:t>○</w:t>
            </w:r>
            <w:r>
              <w:rPr>
                <w:rFonts w:hint="eastAsia" w:ascii="宋体" w:hAnsi="宋体" w:eastAsia="宋体" w:cs="宋体"/>
                <w:color w:val="000000"/>
                <w:sz w:val="22"/>
                <w:szCs w:val="22"/>
                <w:lang w:val="en-US" w:eastAsia="zh-CN"/>
              </w:rPr>
              <w:t>无</w:t>
            </w:r>
            <w:r>
              <w:rPr>
                <w:rFonts w:ascii="宋体" w:hAnsi="宋体" w:eastAsia="宋体" w:cs="宋体"/>
                <w:color w:val="000000"/>
                <w:sz w:val="22"/>
                <w:szCs w:val="22"/>
              </w:rPr>
              <w:t>类似工程业绩要求</w:t>
            </w:r>
          </w:p>
        </w:tc>
        <w:tc>
          <w:tcPr>
            <w:tcW w:w="5670" w:type="dxa"/>
            <w:vAlign w:val="center"/>
          </w:tcPr>
          <w:p w14:paraId="6D715E58">
            <w:pPr>
              <w:pStyle w:val="10"/>
              <w:spacing w:line="23" w:lineRule="atLeast"/>
              <w:ind w:left="0" w:leftChars="0"/>
              <w:rPr>
                <w:rFonts w:ascii="宋体" w:hAnsi="宋体"/>
                <w:sz w:val="22"/>
                <w:szCs w:val="22"/>
              </w:rPr>
            </w:pPr>
            <w:r>
              <w:rPr>
                <w:rFonts w:hint="eastAsia"/>
                <w:sz w:val="22"/>
                <w:szCs w:val="22"/>
              </w:rPr>
              <w:t>符合第二章“投标人须知前附表”第1.4.1 项规定</w:t>
            </w:r>
          </w:p>
        </w:tc>
      </w:tr>
      <w:tr w14:paraId="265D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23DC3679">
            <w:pPr>
              <w:spacing w:line="440" w:lineRule="exact"/>
              <w:jc w:val="center"/>
              <w:rPr>
                <w:rFonts w:ascii="宋体" w:hAnsi="宋体"/>
                <w:sz w:val="22"/>
                <w:szCs w:val="22"/>
              </w:rPr>
            </w:pPr>
          </w:p>
        </w:tc>
        <w:tc>
          <w:tcPr>
            <w:tcW w:w="953" w:type="dxa"/>
            <w:vMerge w:val="continue"/>
            <w:vAlign w:val="center"/>
          </w:tcPr>
          <w:p w14:paraId="2617A127">
            <w:pPr>
              <w:spacing w:line="440" w:lineRule="exact"/>
              <w:jc w:val="center"/>
              <w:rPr>
                <w:rFonts w:ascii="宋体" w:hAnsi="宋体"/>
                <w:sz w:val="22"/>
                <w:szCs w:val="22"/>
              </w:rPr>
            </w:pPr>
          </w:p>
        </w:tc>
        <w:tc>
          <w:tcPr>
            <w:tcW w:w="2529" w:type="dxa"/>
            <w:gridSpan w:val="4"/>
            <w:vAlign w:val="center"/>
          </w:tcPr>
          <w:p w14:paraId="5A6C4231">
            <w:pPr>
              <w:pStyle w:val="10"/>
              <w:spacing w:line="23" w:lineRule="atLeast"/>
              <w:ind w:left="0"/>
              <w:jc w:val="center"/>
              <w:rPr>
                <w:rFonts w:hint="eastAsia"/>
                <w:sz w:val="22"/>
                <w:szCs w:val="22"/>
              </w:rPr>
            </w:pPr>
            <w:r>
              <w:rPr>
                <w:rFonts w:hint="eastAsia" w:hAnsi="宋体"/>
                <w:sz w:val="22"/>
                <w:szCs w:val="22"/>
              </w:rPr>
              <w:t>○</w:t>
            </w:r>
            <w:r>
              <w:rPr>
                <w:rFonts w:hint="eastAsia"/>
                <w:sz w:val="22"/>
                <w:szCs w:val="22"/>
              </w:rPr>
              <w:t>财务要求</w:t>
            </w:r>
          </w:p>
          <w:p w14:paraId="40D42DD2">
            <w:pPr>
              <w:pStyle w:val="10"/>
              <w:spacing w:line="23" w:lineRule="atLeast"/>
              <w:ind w:left="0" w:leftChars="0"/>
              <w:jc w:val="center"/>
              <w:rPr>
                <w:rFonts w:ascii="宋体" w:hAnsi="宋体"/>
                <w:sz w:val="22"/>
                <w:szCs w:val="22"/>
              </w:rPr>
            </w:pPr>
            <w:r>
              <w:rPr>
                <w:rFonts w:hint="eastAsia" w:hAnsi="宋体"/>
                <w:sz w:val="22"/>
                <w:szCs w:val="22"/>
              </w:rPr>
              <w:t>○</w:t>
            </w:r>
            <w:r>
              <w:rPr>
                <w:rFonts w:hint="eastAsia"/>
                <w:sz w:val="22"/>
                <w:szCs w:val="22"/>
                <w:lang w:val="en-US" w:eastAsia="zh-CN"/>
              </w:rPr>
              <w:t>无财务要求</w:t>
            </w:r>
          </w:p>
        </w:tc>
        <w:tc>
          <w:tcPr>
            <w:tcW w:w="5670" w:type="dxa"/>
            <w:vAlign w:val="center"/>
          </w:tcPr>
          <w:p w14:paraId="13A96DC1">
            <w:pPr>
              <w:pStyle w:val="10"/>
              <w:spacing w:line="23" w:lineRule="atLeast"/>
              <w:ind w:left="0" w:leftChars="0"/>
              <w:rPr>
                <w:rFonts w:hint="eastAsia" w:ascii="宋体" w:hAnsi="宋体" w:eastAsia="宋体"/>
                <w:sz w:val="22"/>
                <w:szCs w:val="22"/>
                <w:lang w:eastAsia="zh-CN"/>
              </w:rPr>
            </w:pPr>
            <w:r>
              <w:rPr>
                <w:rFonts w:hint="eastAsia"/>
                <w:sz w:val="22"/>
                <w:szCs w:val="22"/>
                <w:lang w:eastAsia="zh-CN"/>
              </w:rPr>
              <w:t>符合第二章“投标人须知前附表”第1.4.1项规定</w:t>
            </w:r>
          </w:p>
        </w:tc>
      </w:tr>
      <w:tr w14:paraId="34D2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AABEFA1">
            <w:pPr>
              <w:spacing w:line="440" w:lineRule="exact"/>
              <w:jc w:val="center"/>
              <w:rPr>
                <w:rFonts w:ascii="宋体" w:hAnsi="宋体"/>
                <w:sz w:val="22"/>
                <w:szCs w:val="22"/>
              </w:rPr>
            </w:pPr>
          </w:p>
        </w:tc>
        <w:tc>
          <w:tcPr>
            <w:tcW w:w="953" w:type="dxa"/>
            <w:vMerge w:val="continue"/>
            <w:vAlign w:val="center"/>
          </w:tcPr>
          <w:p w14:paraId="1F6D787C">
            <w:pPr>
              <w:spacing w:line="440" w:lineRule="exact"/>
              <w:jc w:val="center"/>
              <w:rPr>
                <w:rFonts w:ascii="宋体" w:hAnsi="宋体"/>
                <w:sz w:val="22"/>
                <w:szCs w:val="22"/>
              </w:rPr>
            </w:pPr>
          </w:p>
        </w:tc>
        <w:tc>
          <w:tcPr>
            <w:tcW w:w="2529" w:type="dxa"/>
            <w:gridSpan w:val="4"/>
            <w:vAlign w:val="center"/>
          </w:tcPr>
          <w:p w14:paraId="7F414D4C">
            <w:pPr>
              <w:pStyle w:val="10"/>
              <w:spacing w:line="23" w:lineRule="atLeast"/>
              <w:ind w:left="0" w:leftChars="0"/>
              <w:jc w:val="center"/>
              <w:rPr>
                <w:rFonts w:ascii="宋体" w:hAnsi="宋体"/>
                <w:sz w:val="22"/>
                <w:szCs w:val="22"/>
              </w:rPr>
            </w:pPr>
            <w:r>
              <w:rPr>
                <w:rFonts w:hint="eastAsia"/>
                <w:sz w:val="22"/>
                <w:szCs w:val="22"/>
                <w:lang w:val="en-US" w:eastAsia="zh-CN"/>
              </w:rPr>
              <w:t>项目经理</w:t>
            </w:r>
          </w:p>
        </w:tc>
        <w:tc>
          <w:tcPr>
            <w:tcW w:w="5670" w:type="dxa"/>
            <w:vAlign w:val="center"/>
          </w:tcPr>
          <w:p w14:paraId="34DF805A">
            <w:pPr>
              <w:pStyle w:val="10"/>
              <w:spacing w:line="23" w:lineRule="atLeast"/>
              <w:ind w:left="0" w:leftChars="0"/>
              <w:rPr>
                <w:rFonts w:hint="eastAsia" w:ascii="宋体" w:hAnsi="宋体" w:eastAsia="宋体"/>
                <w:sz w:val="22"/>
                <w:szCs w:val="22"/>
                <w:lang w:eastAsia="zh-CN"/>
              </w:rPr>
            </w:pPr>
            <w:r>
              <w:rPr>
                <w:rFonts w:hint="eastAsia"/>
                <w:sz w:val="22"/>
                <w:szCs w:val="22"/>
                <w:lang w:eastAsia="zh-CN"/>
              </w:rPr>
              <w:t>符合第二章“投标人须知前附表”第1.4.1项规定</w:t>
            </w:r>
          </w:p>
        </w:tc>
      </w:tr>
      <w:tr w14:paraId="3AC3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5DB0F88D">
            <w:pPr>
              <w:spacing w:line="440" w:lineRule="exact"/>
              <w:jc w:val="center"/>
              <w:rPr>
                <w:rFonts w:ascii="宋体" w:hAnsi="宋体"/>
                <w:sz w:val="22"/>
                <w:szCs w:val="22"/>
              </w:rPr>
            </w:pPr>
          </w:p>
        </w:tc>
        <w:tc>
          <w:tcPr>
            <w:tcW w:w="953" w:type="dxa"/>
            <w:vMerge w:val="continue"/>
            <w:vAlign w:val="center"/>
          </w:tcPr>
          <w:p w14:paraId="4F095AB5">
            <w:pPr>
              <w:spacing w:line="440" w:lineRule="exact"/>
              <w:jc w:val="center"/>
              <w:rPr>
                <w:rFonts w:ascii="宋体" w:hAnsi="宋体"/>
                <w:sz w:val="22"/>
                <w:szCs w:val="22"/>
              </w:rPr>
            </w:pPr>
          </w:p>
        </w:tc>
        <w:tc>
          <w:tcPr>
            <w:tcW w:w="2529" w:type="dxa"/>
            <w:gridSpan w:val="4"/>
            <w:vAlign w:val="center"/>
          </w:tcPr>
          <w:p w14:paraId="18A624BB">
            <w:pPr>
              <w:pStyle w:val="10"/>
              <w:spacing w:line="23" w:lineRule="atLeast"/>
              <w:ind w:left="0" w:leftChars="0"/>
              <w:jc w:val="center"/>
              <w:rPr>
                <w:rFonts w:ascii="宋体" w:hAnsi="宋体"/>
                <w:sz w:val="22"/>
                <w:szCs w:val="22"/>
              </w:rPr>
            </w:pPr>
            <w:r>
              <w:rPr>
                <w:rFonts w:hint="eastAsia"/>
                <w:sz w:val="22"/>
                <w:szCs w:val="22"/>
              </w:rPr>
              <w:t>□</w:t>
            </w:r>
            <w:r>
              <w:rPr>
                <w:rFonts w:hint="eastAsia"/>
                <w:sz w:val="22"/>
                <w:szCs w:val="22"/>
                <w:lang w:val="en-US" w:eastAsia="zh-CN"/>
              </w:rPr>
              <w:t>技术负责人</w:t>
            </w:r>
          </w:p>
        </w:tc>
        <w:tc>
          <w:tcPr>
            <w:tcW w:w="5670" w:type="dxa"/>
            <w:vAlign w:val="center"/>
          </w:tcPr>
          <w:p w14:paraId="685E525A">
            <w:pPr>
              <w:pStyle w:val="10"/>
              <w:spacing w:line="23" w:lineRule="atLeast"/>
              <w:ind w:left="0" w:leftChars="0"/>
              <w:rPr>
                <w:rFonts w:hint="eastAsia" w:ascii="宋体" w:hAnsi="宋体" w:eastAsia="宋体"/>
                <w:sz w:val="22"/>
                <w:szCs w:val="22"/>
                <w:lang w:eastAsia="zh-CN"/>
              </w:rPr>
            </w:pPr>
            <w:r>
              <w:rPr>
                <w:rFonts w:hint="eastAsia"/>
                <w:sz w:val="22"/>
                <w:szCs w:val="22"/>
                <w:lang w:eastAsia="zh-CN"/>
              </w:rPr>
              <w:t>符合第二章“投标人须知前附表”第1.4.1项规定</w:t>
            </w:r>
          </w:p>
        </w:tc>
      </w:tr>
      <w:tr w14:paraId="7A5C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5715AEC4">
            <w:pPr>
              <w:spacing w:line="440" w:lineRule="exact"/>
              <w:jc w:val="center"/>
              <w:rPr>
                <w:rFonts w:ascii="宋体" w:hAnsi="宋体"/>
                <w:sz w:val="22"/>
                <w:szCs w:val="22"/>
              </w:rPr>
            </w:pPr>
          </w:p>
        </w:tc>
        <w:tc>
          <w:tcPr>
            <w:tcW w:w="953" w:type="dxa"/>
            <w:vMerge w:val="continue"/>
            <w:vAlign w:val="center"/>
          </w:tcPr>
          <w:p w14:paraId="32159C94">
            <w:pPr>
              <w:spacing w:line="440" w:lineRule="exact"/>
              <w:jc w:val="center"/>
              <w:rPr>
                <w:rFonts w:ascii="宋体" w:hAnsi="宋体"/>
                <w:sz w:val="22"/>
                <w:szCs w:val="22"/>
              </w:rPr>
            </w:pPr>
          </w:p>
        </w:tc>
        <w:tc>
          <w:tcPr>
            <w:tcW w:w="2529" w:type="dxa"/>
            <w:gridSpan w:val="4"/>
            <w:vAlign w:val="center"/>
          </w:tcPr>
          <w:p w14:paraId="69A6FC90">
            <w:pPr>
              <w:pStyle w:val="10"/>
              <w:spacing w:line="23" w:lineRule="atLeast"/>
              <w:ind w:left="0" w:leftChars="0"/>
              <w:jc w:val="center"/>
              <w:rPr>
                <w:rFonts w:hint="eastAsia" w:ascii="宋体" w:hAnsi="宋体"/>
                <w:sz w:val="22"/>
                <w:szCs w:val="22"/>
              </w:rPr>
            </w:pPr>
            <w:r>
              <w:rPr>
                <w:rFonts w:hint="eastAsia"/>
                <w:sz w:val="22"/>
                <w:szCs w:val="22"/>
              </w:rPr>
              <w:t>信誉要求</w:t>
            </w:r>
          </w:p>
        </w:tc>
        <w:tc>
          <w:tcPr>
            <w:tcW w:w="5670" w:type="dxa"/>
            <w:vAlign w:val="center"/>
          </w:tcPr>
          <w:p w14:paraId="6A13C085">
            <w:pPr>
              <w:pStyle w:val="10"/>
              <w:spacing w:line="23" w:lineRule="atLeast"/>
              <w:ind w:left="0" w:leftChars="0"/>
              <w:rPr>
                <w:rFonts w:hint="eastAsia" w:ascii="宋体" w:hAnsi="宋体" w:eastAsia="宋体"/>
                <w:sz w:val="22"/>
                <w:szCs w:val="22"/>
                <w:lang w:eastAsia="zh-CN"/>
              </w:rPr>
            </w:pPr>
            <w:r>
              <w:rPr>
                <w:rFonts w:hint="eastAsia"/>
                <w:sz w:val="22"/>
                <w:szCs w:val="22"/>
                <w:lang w:eastAsia="zh-CN"/>
              </w:rPr>
              <w:t>符合第二章“投标人须知前附表”第1.4.1项规定</w:t>
            </w:r>
          </w:p>
        </w:tc>
      </w:tr>
      <w:tr w14:paraId="070C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327DF30">
            <w:pPr>
              <w:spacing w:line="440" w:lineRule="exact"/>
              <w:jc w:val="center"/>
              <w:rPr>
                <w:rFonts w:ascii="宋体" w:hAnsi="宋体"/>
                <w:sz w:val="22"/>
                <w:szCs w:val="22"/>
              </w:rPr>
            </w:pPr>
          </w:p>
        </w:tc>
        <w:tc>
          <w:tcPr>
            <w:tcW w:w="953" w:type="dxa"/>
            <w:vMerge w:val="continue"/>
            <w:vAlign w:val="center"/>
          </w:tcPr>
          <w:p w14:paraId="24479DF4">
            <w:pPr>
              <w:spacing w:line="440" w:lineRule="exact"/>
              <w:jc w:val="center"/>
              <w:rPr>
                <w:rFonts w:ascii="宋体" w:hAnsi="宋体"/>
                <w:sz w:val="22"/>
                <w:szCs w:val="22"/>
              </w:rPr>
            </w:pPr>
          </w:p>
        </w:tc>
        <w:tc>
          <w:tcPr>
            <w:tcW w:w="2529" w:type="dxa"/>
            <w:gridSpan w:val="4"/>
            <w:vAlign w:val="center"/>
          </w:tcPr>
          <w:p w14:paraId="2A1F367E">
            <w:pPr>
              <w:pStyle w:val="10"/>
              <w:spacing w:line="23" w:lineRule="atLeast"/>
              <w:ind w:left="0" w:leftChars="0"/>
              <w:jc w:val="center"/>
              <w:rPr>
                <w:rFonts w:hint="eastAsia" w:ascii="宋体" w:hAnsi="宋体"/>
                <w:sz w:val="22"/>
                <w:szCs w:val="22"/>
              </w:rPr>
            </w:pPr>
            <w:r>
              <w:rPr>
                <w:rFonts w:hint="eastAsia"/>
                <w:sz w:val="22"/>
                <w:szCs w:val="22"/>
              </w:rPr>
              <w:t>其他要求</w:t>
            </w:r>
          </w:p>
        </w:tc>
        <w:tc>
          <w:tcPr>
            <w:tcW w:w="5670" w:type="dxa"/>
            <w:vAlign w:val="center"/>
          </w:tcPr>
          <w:p w14:paraId="184D386D">
            <w:pPr>
              <w:pStyle w:val="10"/>
              <w:spacing w:line="23" w:lineRule="atLeast"/>
              <w:ind w:left="0" w:leftChars="0"/>
              <w:rPr>
                <w:rFonts w:hint="eastAsia" w:ascii="宋体" w:hAnsi="宋体" w:eastAsia="宋体"/>
                <w:sz w:val="22"/>
                <w:szCs w:val="22"/>
                <w:lang w:eastAsia="zh-CN"/>
              </w:rPr>
            </w:pPr>
            <w:r>
              <w:rPr>
                <w:rFonts w:hint="eastAsia"/>
                <w:sz w:val="22"/>
                <w:szCs w:val="22"/>
                <w:lang w:eastAsia="zh-CN"/>
              </w:rPr>
              <w:t>符合第二章“投标人须知前附表”第1.4.1项规定</w:t>
            </w:r>
          </w:p>
        </w:tc>
      </w:tr>
      <w:tr w14:paraId="6FCE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473E6224">
            <w:pPr>
              <w:spacing w:line="440" w:lineRule="exact"/>
              <w:jc w:val="center"/>
              <w:rPr>
                <w:rFonts w:ascii="宋体" w:hAnsi="宋体"/>
                <w:sz w:val="22"/>
                <w:szCs w:val="22"/>
              </w:rPr>
            </w:pPr>
          </w:p>
        </w:tc>
        <w:tc>
          <w:tcPr>
            <w:tcW w:w="953" w:type="dxa"/>
            <w:vMerge w:val="continue"/>
            <w:vAlign w:val="center"/>
          </w:tcPr>
          <w:p w14:paraId="78C37180">
            <w:pPr>
              <w:spacing w:line="440" w:lineRule="exact"/>
              <w:jc w:val="center"/>
              <w:rPr>
                <w:rFonts w:ascii="宋体" w:hAnsi="宋体"/>
                <w:sz w:val="22"/>
                <w:szCs w:val="22"/>
              </w:rPr>
            </w:pPr>
          </w:p>
        </w:tc>
        <w:tc>
          <w:tcPr>
            <w:tcW w:w="2529" w:type="dxa"/>
            <w:gridSpan w:val="4"/>
            <w:shd w:val="clear" w:color="auto" w:fill="auto"/>
            <w:vAlign w:val="center"/>
          </w:tcPr>
          <w:p w14:paraId="4846BAB4">
            <w:pPr>
              <w:spacing w:line="360" w:lineRule="auto"/>
              <w:jc w:val="center"/>
              <w:rPr>
                <w:rFonts w:hint="eastAsia" w:ascii="宋体" w:hAnsi="宋体" w:eastAsia="宋体" w:cstheme="minorBidi"/>
                <w:kern w:val="2"/>
                <w:sz w:val="22"/>
                <w:szCs w:val="22"/>
                <w:lang w:val="en-US" w:eastAsia="zh-CN" w:bidi="ar-SA"/>
              </w:rPr>
            </w:pPr>
            <w:r>
              <w:rPr>
                <w:rFonts w:hint="eastAsia"/>
                <w:sz w:val="22"/>
                <w:szCs w:val="22"/>
              </w:rPr>
              <w:t>□</w:t>
            </w:r>
            <w:r>
              <w:rPr>
                <w:rFonts w:hint="eastAsia" w:ascii="宋体" w:hAnsi="宋体"/>
                <w:sz w:val="22"/>
                <w:szCs w:val="22"/>
              </w:rPr>
              <w:t>联合体投标人</w:t>
            </w:r>
          </w:p>
        </w:tc>
        <w:tc>
          <w:tcPr>
            <w:tcW w:w="5670" w:type="dxa"/>
            <w:shd w:val="clear" w:color="auto" w:fill="auto"/>
            <w:vAlign w:val="center"/>
          </w:tcPr>
          <w:p w14:paraId="5E5EEE38">
            <w:pPr>
              <w:spacing w:line="360" w:lineRule="auto"/>
              <w:rPr>
                <w:rFonts w:hint="eastAsia" w:ascii="宋体" w:hAnsi="宋体" w:eastAsia="宋体" w:cstheme="minorBidi"/>
                <w:kern w:val="2"/>
                <w:sz w:val="22"/>
                <w:szCs w:val="22"/>
                <w:lang w:val="en-US" w:eastAsia="zh-CN" w:bidi="ar-SA"/>
              </w:rPr>
            </w:pPr>
            <w:r>
              <w:rPr>
                <w:rFonts w:hint="eastAsia" w:ascii="宋体" w:hAnsi="宋体"/>
                <w:sz w:val="22"/>
                <w:szCs w:val="22"/>
              </w:rPr>
              <w:t xml:space="preserve">符合第二章“投标人须知前附表”第1.4.2项规定  </w:t>
            </w:r>
          </w:p>
        </w:tc>
      </w:tr>
      <w:tr w14:paraId="4EB0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12C87483">
            <w:pPr>
              <w:spacing w:line="440" w:lineRule="exact"/>
              <w:jc w:val="center"/>
              <w:rPr>
                <w:rFonts w:ascii="宋体" w:hAnsi="宋体"/>
                <w:sz w:val="22"/>
                <w:szCs w:val="22"/>
              </w:rPr>
            </w:pPr>
          </w:p>
        </w:tc>
        <w:tc>
          <w:tcPr>
            <w:tcW w:w="953" w:type="dxa"/>
            <w:vMerge w:val="continue"/>
            <w:vAlign w:val="center"/>
          </w:tcPr>
          <w:p w14:paraId="0AA17E61">
            <w:pPr>
              <w:spacing w:line="440" w:lineRule="exact"/>
              <w:jc w:val="center"/>
              <w:rPr>
                <w:rFonts w:ascii="宋体" w:hAnsi="宋体"/>
                <w:sz w:val="22"/>
                <w:szCs w:val="22"/>
              </w:rPr>
            </w:pPr>
          </w:p>
        </w:tc>
        <w:tc>
          <w:tcPr>
            <w:tcW w:w="2529" w:type="dxa"/>
            <w:gridSpan w:val="4"/>
            <w:vAlign w:val="center"/>
          </w:tcPr>
          <w:p w14:paraId="1C243D41">
            <w:pPr>
              <w:spacing w:line="440" w:lineRule="exact"/>
              <w:jc w:val="center"/>
              <w:rPr>
                <w:rFonts w:ascii="宋体" w:hAnsi="宋体"/>
                <w:sz w:val="22"/>
                <w:szCs w:val="22"/>
              </w:rPr>
            </w:pPr>
            <w:r>
              <w:rPr>
                <w:rFonts w:ascii="宋体" w:hAnsi="宋体"/>
                <w:sz w:val="22"/>
                <w:szCs w:val="22"/>
              </w:rPr>
              <w:t>……</w:t>
            </w:r>
          </w:p>
        </w:tc>
        <w:tc>
          <w:tcPr>
            <w:tcW w:w="5670" w:type="dxa"/>
            <w:vAlign w:val="center"/>
          </w:tcPr>
          <w:p w14:paraId="19E3DD64">
            <w:pPr>
              <w:spacing w:line="440" w:lineRule="exact"/>
              <w:jc w:val="center"/>
              <w:rPr>
                <w:rFonts w:ascii="宋体" w:hAnsi="宋体"/>
                <w:sz w:val="22"/>
                <w:szCs w:val="22"/>
              </w:rPr>
            </w:pPr>
            <w:r>
              <w:rPr>
                <w:rFonts w:ascii="宋体" w:hAnsi="宋体"/>
                <w:sz w:val="22"/>
                <w:szCs w:val="22"/>
              </w:rPr>
              <w:t>……</w:t>
            </w:r>
          </w:p>
        </w:tc>
      </w:tr>
      <w:tr w14:paraId="03B1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restart"/>
            <w:vAlign w:val="center"/>
          </w:tcPr>
          <w:p w14:paraId="1351D25D">
            <w:pPr>
              <w:spacing w:line="440" w:lineRule="exact"/>
              <w:jc w:val="center"/>
              <w:rPr>
                <w:rFonts w:ascii="宋体" w:hAnsi="宋体"/>
                <w:sz w:val="22"/>
                <w:szCs w:val="22"/>
              </w:rPr>
            </w:pPr>
            <w:r>
              <w:rPr>
                <w:rFonts w:ascii="宋体" w:hAnsi="宋体"/>
                <w:sz w:val="22"/>
                <w:szCs w:val="22"/>
              </w:rPr>
              <w:t>2.1.3</w:t>
            </w:r>
          </w:p>
        </w:tc>
        <w:tc>
          <w:tcPr>
            <w:tcW w:w="953" w:type="dxa"/>
            <w:vMerge w:val="restart"/>
            <w:vAlign w:val="center"/>
          </w:tcPr>
          <w:p w14:paraId="3DC561A3">
            <w:pPr>
              <w:spacing w:line="440" w:lineRule="exact"/>
              <w:jc w:val="center"/>
              <w:rPr>
                <w:rFonts w:ascii="宋体" w:hAnsi="宋体"/>
                <w:sz w:val="22"/>
                <w:szCs w:val="22"/>
              </w:rPr>
            </w:pPr>
            <w:r>
              <w:rPr>
                <w:rFonts w:ascii="宋体" w:hAnsi="宋体"/>
                <w:sz w:val="22"/>
                <w:szCs w:val="22"/>
              </w:rPr>
              <w:t>响应性评审</w:t>
            </w:r>
          </w:p>
          <w:p w14:paraId="2B3EAD14">
            <w:pPr>
              <w:spacing w:line="440" w:lineRule="exact"/>
              <w:jc w:val="center"/>
              <w:rPr>
                <w:rFonts w:ascii="宋体" w:hAnsi="宋体"/>
                <w:sz w:val="22"/>
                <w:szCs w:val="22"/>
              </w:rPr>
            </w:pPr>
            <w:r>
              <w:rPr>
                <w:rFonts w:ascii="宋体" w:hAnsi="宋体"/>
                <w:sz w:val="22"/>
                <w:szCs w:val="22"/>
              </w:rPr>
              <w:t>标准</w:t>
            </w:r>
          </w:p>
        </w:tc>
        <w:tc>
          <w:tcPr>
            <w:tcW w:w="2529" w:type="dxa"/>
            <w:gridSpan w:val="4"/>
            <w:vAlign w:val="center"/>
          </w:tcPr>
          <w:p w14:paraId="066C3C62">
            <w:pPr>
              <w:spacing w:line="360" w:lineRule="auto"/>
              <w:jc w:val="center"/>
              <w:rPr>
                <w:rFonts w:ascii="宋体" w:hAnsi="宋体"/>
                <w:sz w:val="22"/>
                <w:szCs w:val="22"/>
              </w:rPr>
            </w:pPr>
            <w:r>
              <w:rPr>
                <w:rFonts w:hint="eastAsia" w:ascii="宋体" w:hAnsi="宋体"/>
                <w:sz w:val="22"/>
                <w:szCs w:val="22"/>
              </w:rPr>
              <w:t>投标其他要求</w:t>
            </w:r>
          </w:p>
        </w:tc>
        <w:tc>
          <w:tcPr>
            <w:tcW w:w="5670" w:type="dxa"/>
            <w:vAlign w:val="center"/>
          </w:tcPr>
          <w:p w14:paraId="17EE82C7">
            <w:pPr>
              <w:pStyle w:val="34"/>
              <w:spacing w:line="360" w:lineRule="auto"/>
              <w:ind w:firstLine="0" w:firstLineChars="0"/>
              <w:rPr>
                <w:rFonts w:ascii="宋体" w:hAnsi="宋体"/>
                <w:sz w:val="22"/>
                <w:szCs w:val="22"/>
              </w:rPr>
            </w:pPr>
            <w:r>
              <w:rPr>
                <w:rFonts w:hint="eastAsia" w:ascii="宋体" w:hAnsi="宋体"/>
                <w:sz w:val="22"/>
                <w:szCs w:val="22"/>
              </w:rPr>
              <w:t>符合第二章“投标人须知前附表”第</w:t>
            </w:r>
            <w:r>
              <w:rPr>
                <w:rFonts w:ascii="宋体" w:hAnsi="宋体"/>
                <w:sz w:val="22"/>
                <w:szCs w:val="22"/>
              </w:rPr>
              <w:t>1.4.4</w:t>
            </w:r>
            <w:r>
              <w:rPr>
                <w:rFonts w:hint="eastAsia" w:ascii="宋体" w:hAnsi="宋体"/>
                <w:sz w:val="22"/>
                <w:szCs w:val="22"/>
              </w:rPr>
              <w:t>项规定</w:t>
            </w:r>
          </w:p>
        </w:tc>
      </w:tr>
      <w:tr w14:paraId="0B15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41D96065">
            <w:pPr>
              <w:spacing w:line="440" w:lineRule="exact"/>
              <w:jc w:val="center"/>
              <w:rPr>
                <w:rFonts w:ascii="宋体" w:hAnsi="宋体"/>
                <w:sz w:val="22"/>
                <w:szCs w:val="22"/>
              </w:rPr>
            </w:pPr>
          </w:p>
        </w:tc>
        <w:tc>
          <w:tcPr>
            <w:tcW w:w="953" w:type="dxa"/>
            <w:vMerge w:val="continue"/>
            <w:vAlign w:val="center"/>
          </w:tcPr>
          <w:p w14:paraId="3E795D1D">
            <w:pPr>
              <w:spacing w:line="440" w:lineRule="exact"/>
              <w:jc w:val="center"/>
              <w:rPr>
                <w:rFonts w:ascii="宋体" w:hAnsi="宋体"/>
                <w:sz w:val="22"/>
                <w:szCs w:val="22"/>
              </w:rPr>
            </w:pPr>
          </w:p>
        </w:tc>
        <w:tc>
          <w:tcPr>
            <w:tcW w:w="2529" w:type="dxa"/>
            <w:gridSpan w:val="4"/>
            <w:vAlign w:val="center"/>
          </w:tcPr>
          <w:p w14:paraId="48679DDF">
            <w:pPr>
              <w:spacing w:line="360" w:lineRule="auto"/>
              <w:jc w:val="center"/>
              <w:rPr>
                <w:rFonts w:ascii="宋体" w:hAnsi="宋体"/>
                <w:sz w:val="22"/>
                <w:szCs w:val="22"/>
              </w:rPr>
            </w:pPr>
            <w:r>
              <w:rPr>
                <w:rFonts w:hint="eastAsia" w:ascii="宋体" w:hAnsi="宋体"/>
                <w:sz w:val="22"/>
                <w:szCs w:val="22"/>
              </w:rPr>
              <w:t>招标范围</w:t>
            </w:r>
          </w:p>
        </w:tc>
        <w:tc>
          <w:tcPr>
            <w:tcW w:w="5670" w:type="dxa"/>
            <w:vAlign w:val="center"/>
          </w:tcPr>
          <w:p w14:paraId="6B3154A5">
            <w:pPr>
              <w:spacing w:line="360" w:lineRule="auto"/>
              <w:rPr>
                <w:rFonts w:ascii="宋体" w:hAnsi="宋体"/>
                <w:sz w:val="22"/>
                <w:szCs w:val="22"/>
              </w:rPr>
            </w:pPr>
            <w:r>
              <w:rPr>
                <w:rFonts w:hint="eastAsia" w:ascii="宋体" w:hAnsi="宋体"/>
                <w:sz w:val="22"/>
                <w:szCs w:val="22"/>
              </w:rPr>
              <w:t>符合第二章“投标人须知前附表”第1.3.1项规定</w:t>
            </w:r>
          </w:p>
        </w:tc>
      </w:tr>
      <w:tr w14:paraId="6BC0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4A0E3EBE">
            <w:pPr>
              <w:spacing w:line="440" w:lineRule="exact"/>
              <w:jc w:val="center"/>
              <w:rPr>
                <w:rFonts w:ascii="宋体" w:hAnsi="宋体"/>
                <w:sz w:val="22"/>
                <w:szCs w:val="22"/>
              </w:rPr>
            </w:pPr>
          </w:p>
        </w:tc>
        <w:tc>
          <w:tcPr>
            <w:tcW w:w="953" w:type="dxa"/>
            <w:vMerge w:val="continue"/>
            <w:vAlign w:val="center"/>
          </w:tcPr>
          <w:p w14:paraId="24F192A9">
            <w:pPr>
              <w:spacing w:line="440" w:lineRule="exact"/>
              <w:jc w:val="center"/>
              <w:rPr>
                <w:rFonts w:ascii="宋体" w:hAnsi="宋体"/>
                <w:sz w:val="22"/>
                <w:szCs w:val="22"/>
              </w:rPr>
            </w:pPr>
          </w:p>
        </w:tc>
        <w:tc>
          <w:tcPr>
            <w:tcW w:w="2529" w:type="dxa"/>
            <w:gridSpan w:val="4"/>
            <w:vAlign w:val="center"/>
          </w:tcPr>
          <w:p w14:paraId="0AE27C89">
            <w:pPr>
              <w:spacing w:line="360" w:lineRule="auto"/>
              <w:jc w:val="center"/>
              <w:rPr>
                <w:rFonts w:ascii="宋体" w:hAnsi="宋体"/>
                <w:sz w:val="22"/>
                <w:szCs w:val="22"/>
              </w:rPr>
            </w:pPr>
            <w:r>
              <w:rPr>
                <w:rFonts w:hint="eastAsia" w:ascii="宋体" w:hAnsi="宋体"/>
                <w:sz w:val="22"/>
                <w:szCs w:val="22"/>
              </w:rPr>
              <w:t>计划工期</w:t>
            </w:r>
          </w:p>
        </w:tc>
        <w:tc>
          <w:tcPr>
            <w:tcW w:w="5670" w:type="dxa"/>
            <w:vAlign w:val="center"/>
          </w:tcPr>
          <w:p w14:paraId="63F9EA7A">
            <w:pPr>
              <w:spacing w:line="360" w:lineRule="auto"/>
              <w:rPr>
                <w:rFonts w:ascii="宋体" w:hAnsi="宋体"/>
                <w:sz w:val="22"/>
                <w:szCs w:val="22"/>
              </w:rPr>
            </w:pPr>
            <w:r>
              <w:rPr>
                <w:rFonts w:hint="eastAsia" w:ascii="宋体" w:hAnsi="宋体"/>
                <w:sz w:val="22"/>
                <w:szCs w:val="22"/>
              </w:rPr>
              <w:t>符合第二章“投标人须知前附表”第1.3.2项规定</w:t>
            </w:r>
          </w:p>
        </w:tc>
      </w:tr>
      <w:tr w14:paraId="4FA4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2165DCF4">
            <w:pPr>
              <w:spacing w:line="440" w:lineRule="exact"/>
              <w:jc w:val="center"/>
              <w:rPr>
                <w:rFonts w:ascii="宋体" w:hAnsi="宋体"/>
                <w:sz w:val="22"/>
                <w:szCs w:val="22"/>
              </w:rPr>
            </w:pPr>
          </w:p>
        </w:tc>
        <w:tc>
          <w:tcPr>
            <w:tcW w:w="953" w:type="dxa"/>
            <w:vMerge w:val="continue"/>
            <w:vAlign w:val="center"/>
          </w:tcPr>
          <w:p w14:paraId="0FFF2A3E">
            <w:pPr>
              <w:spacing w:line="440" w:lineRule="exact"/>
              <w:jc w:val="center"/>
              <w:rPr>
                <w:rFonts w:ascii="宋体" w:hAnsi="宋体"/>
                <w:sz w:val="22"/>
                <w:szCs w:val="22"/>
              </w:rPr>
            </w:pPr>
          </w:p>
        </w:tc>
        <w:tc>
          <w:tcPr>
            <w:tcW w:w="2529" w:type="dxa"/>
            <w:gridSpan w:val="4"/>
            <w:vAlign w:val="center"/>
          </w:tcPr>
          <w:p w14:paraId="00AE92EF">
            <w:pPr>
              <w:spacing w:line="360" w:lineRule="auto"/>
              <w:jc w:val="center"/>
              <w:rPr>
                <w:rFonts w:ascii="宋体" w:hAnsi="宋体"/>
                <w:sz w:val="22"/>
                <w:szCs w:val="22"/>
              </w:rPr>
            </w:pPr>
            <w:r>
              <w:rPr>
                <w:rFonts w:hint="eastAsia" w:ascii="宋体" w:hAnsi="宋体"/>
                <w:sz w:val="22"/>
                <w:szCs w:val="22"/>
              </w:rPr>
              <w:t>质量要求</w:t>
            </w:r>
          </w:p>
        </w:tc>
        <w:tc>
          <w:tcPr>
            <w:tcW w:w="5670" w:type="dxa"/>
            <w:vAlign w:val="center"/>
          </w:tcPr>
          <w:p w14:paraId="0BCE0A60">
            <w:pPr>
              <w:pStyle w:val="34"/>
              <w:spacing w:line="360" w:lineRule="auto"/>
              <w:ind w:firstLine="0" w:firstLineChars="0"/>
              <w:rPr>
                <w:rFonts w:ascii="宋体" w:hAnsi="宋体"/>
                <w:sz w:val="22"/>
                <w:szCs w:val="22"/>
              </w:rPr>
            </w:pPr>
            <w:r>
              <w:rPr>
                <w:rFonts w:hint="eastAsia" w:ascii="宋体" w:hAnsi="宋体"/>
                <w:sz w:val="22"/>
                <w:szCs w:val="22"/>
              </w:rPr>
              <w:t>符合第二章“投标人须知前附表”第1.3.3项规定</w:t>
            </w:r>
          </w:p>
        </w:tc>
      </w:tr>
      <w:tr w14:paraId="2BE5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1DD93DA0">
            <w:pPr>
              <w:spacing w:line="440" w:lineRule="exact"/>
              <w:jc w:val="center"/>
              <w:rPr>
                <w:rFonts w:ascii="宋体" w:hAnsi="宋体"/>
                <w:sz w:val="22"/>
                <w:szCs w:val="22"/>
              </w:rPr>
            </w:pPr>
          </w:p>
        </w:tc>
        <w:tc>
          <w:tcPr>
            <w:tcW w:w="953" w:type="dxa"/>
            <w:vMerge w:val="continue"/>
            <w:vAlign w:val="center"/>
          </w:tcPr>
          <w:p w14:paraId="525B2DED">
            <w:pPr>
              <w:spacing w:line="440" w:lineRule="exact"/>
              <w:jc w:val="center"/>
              <w:rPr>
                <w:rFonts w:ascii="宋体" w:hAnsi="宋体"/>
                <w:sz w:val="22"/>
                <w:szCs w:val="22"/>
              </w:rPr>
            </w:pPr>
          </w:p>
        </w:tc>
        <w:tc>
          <w:tcPr>
            <w:tcW w:w="2529" w:type="dxa"/>
            <w:gridSpan w:val="4"/>
            <w:vAlign w:val="center"/>
          </w:tcPr>
          <w:p w14:paraId="22196D13">
            <w:pPr>
              <w:spacing w:line="360" w:lineRule="auto"/>
              <w:jc w:val="center"/>
              <w:rPr>
                <w:rFonts w:ascii="宋体" w:hAnsi="宋体"/>
                <w:sz w:val="22"/>
                <w:szCs w:val="22"/>
              </w:rPr>
            </w:pPr>
            <w:r>
              <w:rPr>
                <w:rFonts w:hint="eastAsia" w:ascii="宋体" w:hAnsi="宋体"/>
                <w:sz w:val="22"/>
                <w:szCs w:val="22"/>
              </w:rPr>
              <w:t>投标有效期</w:t>
            </w:r>
          </w:p>
        </w:tc>
        <w:tc>
          <w:tcPr>
            <w:tcW w:w="5670" w:type="dxa"/>
            <w:vAlign w:val="center"/>
          </w:tcPr>
          <w:p w14:paraId="594E0834">
            <w:pPr>
              <w:pStyle w:val="34"/>
              <w:spacing w:line="360" w:lineRule="auto"/>
              <w:ind w:firstLine="0" w:firstLineChars="0"/>
              <w:rPr>
                <w:rFonts w:ascii="宋体" w:hAnsi="宋体"/>
                <w:sz w:val="22"/>
                <w:szCs w:val="22"/>
              </w:rPr>
            </w:pPr>
            <w:r>
              <w:rPr>
                <w:rFonts w:hint="eastAsia" w:ascii="宋体" w:hAnsi="宋体"/>
                <w:sz w:val="22"/>
                <w:szCs w:val="22"/>
              </w:rPr>
              <w:t>符合第二章“投标人须知前附表”第3.3.1项规定</w:t>
            </w:r>
          </w:p>
        </w:tc>
      </w:tr>
      <w:tr w14:paraId="1606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76A8AAF8">
            <w:pPr>
              <w:spacing w:line="440" w:lineRule="exact"/>
              <w:jc w:val="center"/>
              <w:rPr>
                <w:rFonts w:ascii="宋体" w:hAnsi="宋体"/>
                <w:sz w:val="22"/>
                <w:szCs w:val="22"/>
              </w:rPr>
            </w:pPr>
          </w:p>
        </w:tc>
        <w:tc>
          <w:tcPr>
            <w:tcW w:w="953" w:type="dxa"/>
            <w:vMerge w:val="continue"/>
            <w:vAlign w:val="center"/>
          </w:tcPr>
          <w:p w14:paraId="6B4382E0">
            <w:pPr>
              <w:spacing w:line="440" w:lineRule="exact"/>
              <w:jc w:val="center"/>
              <w:rPr>
                <w:rFonts w:ascii="宋体" w:hAnsi="宋体"/>
                <w:sz w:val="22"/>
                <w:szCs w:val="22"/>
              </w:rPr>
            </w:pPr>
          </w:p>
        </w:tc>
        <w:tc>
          <w:tcPr>
            <w:tcW w:w="2529" w:type="dxa"/>
            <w:gridSpan w:val="4"/>
            <w:vAlign w:val="center"/>
          </w:tcPr>
          <w:p w14:paraId="667974F0">
            <w:pPr>
              <w:spacing w:line="360" w:lineRule="auto"/>
              <w:jc w:val="center"/>
              <w:rPr>
                <w:rFonts w:ascii="宋体" w:hAnsi="宋体"/>
                <w:sz w:val="22"/>
                <w:szCs w:val="22"/>
              </w:rPr>
            </w:pPr>
            <w:r>
              <w:rPr>
                <w:rFonts w:hint="eastAsia" w:ascii="宋体" w:hAnsi="宋体"/>
                <w:sz w:val="22"/>
                <w:szCs w:val="22"/>
              </w:rPr>
              <w:t>投标保证金</w:t>
            </w:r>
          </w:p>
        </w:tc>
        <w:tc>
          <w:tcPr>
            <w:tcW w:w="5670" w:type="dxa"/>
            <w:vAlign w:val="center"/>
          </w:tcPr>
          <w:p w14:paraId="50A9E10B">
            <w:pPr>
              <w:pStyle w:val="16"/>
              <w:spacing w:line="360" w:lineRule="auto"/>
              <w:ind w:left="0" w:leftChars="0"/>
              <w:rPr>
                <w:rFonts w:ascii="宋体" w:hAnsi="宋体"/>
                <w:sz w:val="22"/>
                <w:szCs w:val="22"/>
              </w:rPr>
            </w:pPr>
            <w:r>
              <w:rPr>
                <w:rFonts w:hint="eastAsia" w:ascii="宋体" w:hAnsi="宋体"/>
                <w:sz w:val="22"/>
                <w:szCs w:val="22"/>
              </w:rPr>
              <w:t>符合第二章“投标人须知前附表”第3.4.1项规定</w:t>
            </w:r>
          </w:p>
        </w:tc>
      </w:tr>
      <w:tr w14:paraId="3200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5818B05">
            <w:pPr>
              <w:spacing w:line="440" w:lineRule="exact"/>
              <w:jc w:val="center"/>
              <w:rPr>
                <w:rFonts w:ascii="宋体" w:hAnsi="宋体"/>
                <w:sz w:val="22"/>
                <w:szCs w:val="22"/>
              </w:rPr>
            </w:pPr>
          </w:p>
        </w:tc>
        <w:tc>
          <w:tcPr>
            <w:tcW w:w="953" w:type="dxa"/>
            <w:vMerge w:val="continue"/>
            <w:vAlign w:val="center"/>
          </w:tcPr>
          <w:p w14:paraId="094E4E86">
            <w:pPr>
              <w:spacing w:line="440" w:lineRule="exact"/>
              <w:jc w:val="center"/>
              <w:rPr>
                <w:rFonts w:ascii="宋体" w:hAnsi="宋体"/>
                <w:sz w:val="22"/>
                <w:szCs w:val="22"/>
              </w:rPr>
            </w:pPr>
          </w:p>
        </w:tc>
        <w:tc>
          <w:tcPr>
            <w:tcW w:w="2529" w:type="dxa"/>
            <w:gridSpan w:val="4"/>
            <w:vAlign w:val="center"/>
          </w:tcPr>
          <w:p w14:paraId="5F7EAA07">
            <w:pPr>
              <w:spacing w:line="360" w:lineRule="auto"/>
              <w:jc w:val="center"/>
              <w:rPr>
                <w:rFonts w:hint="eastAsia" w:ascii="宋体" w:hAnsi="宋体" w:eastAsia="宋体"/>
                <w:sz w:val="22"/>
                <w:szCs w:val="22"/>
                <w:lang w:eastAsia="zh-CN"/>
              </w:rPr>
            </w:pPr>
            <w:r>
              <w:rPr>
                <w:rFonts w:hint="eastAsia" w:ascii="宋体" w:hAnsi="宋体"/>
                <w:sz w:val="22"/>
                <w:szCs w:val="22"/>
                <w:lang w:eastAsia="zh-CN"/>
              </w:rPr>
              <w:t>最高投标限价</w:t>
            </w:r>
          </w:p>
        </w:tc>
        <w:tc>
          <w:tcPr>
            <w:tcW w:w="5670" w:type="dxa"/>
            <w:vAlign w:val="center"/>
          </w:tcPr>
          <w:p w14:paraId="6D8FAE79">
            <w:pPr>
              <w:pStyle w:val="16"/>
              <w:spacing w:line="360" w:lineRule="auto"/>
              <w:ind w:left="0" w:leftChars="0"/>
              <w:rPr>
                <w:rFonts w:ascii="宋体" w:hAnsi="宋体"/>
                <w:sz w:val="22"/>
                <w:szCs w:val="22"/>
              </w:rPr>
            </w:pPr>
            <w:r>
              <w:rPr>
                <w:rFonts w:hint="eastAsia" w:ascii="宋体" w:hAnsi="宋体"/>
                <w:sz w:val="22"/>
                <w:szCs w:val="22"/>
              </w:rPr>
              <w:t>符合第二章“投标人须知前附表”第10.1项规定</w:t>
            </w:r>
          </w:p>
        </w:tc>
      </w:tr>
      <w:tr w14:paraId="7F8B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D995A78">
            <w:pPr>
              <w:spacing w:line="440" w:lineRule="exact"/>
              <w:jc w:val="center"/>
              <w:rPr>
                <w:rFonts w:ascii="宋体" w:hAnsi="宋体"/>
                <w:sz w:val="22"/>
                <w:szCs w:val="22"/>
              </w:rPr>
            </w:pPr>
          </w:p>
        </w:tc>
        <w:tc>
          <w:tcPr>
            <w:tcW w:w="953" w:type="dxa"/>
            <w:vMerge w:val="continue"/>
            <w:vAlign w:val="center"/>
          </w:tcPr>
          <w:p w14:paraId="194D1B11">
            <w:pPr>
              <w:spacing w:line="440" w:lineRule="exact"/>
              <w:jc w:val="center"/>
              <w:rPr>
                <w:rFonts w:ascii="宋体" w:hAnsi="宋体"/>
                <w:sz w:val="22"/>
                <w:szCs w:val="22"/>
              </w:rPr>
            </w:pPr>
          </w:p>
        </w:tc>
        <w:tc>
          <w:tcPr>
            <w:tcW w:w="2529" w:type="dxa"/>
            <w:gridSpan w:val="4"/>
            <w:vAlign w:val="center"/>
          </w:tcPr>
          <w:p w14:paraId="62A177EA">
            <w:pPr>
              <w:spacing w:line="360" w:lineRule="auto"/>
              <w:jc w:val="center"/>
              <w:rPr>
                <w:rFonts w:ascii="宋体" w:hAnsi="宋体"/>
                <w:sz w:val="22"/>
                <w:szCs w:val="22"/>
              </w:rPr>
            </w:pPr>
            <w:r>
              <w:rPr>
                <w:rFonts w:hint="eastAsia" w:ascii="宋体" w:hAnsi="宋体"/>
                <w:sz w:val="22"/>
                <w:szCs w:val="22"/>
              </w:rPr>
              <w:t>投标要求</w:t>
            </w:r>
          </w:p>
        </w:tc>
        <w:tc>
          <w:tcPr>
            <w:tcW w:w="5670" w:type="dxa"/>
            <w:vAlign w:val="center"/>
          </w:tcPr>
          <w:p w14:paraId="7EA38CA4">
            <w:pPr>
              <w:pStyle w:val="16"/>
              <w:spacing w:line="360" w:lineRule="auto"/>
              <w:ind w:left="0" w:leftChars="0"/>
              <w:rPr>
                <w:rFonts w:ascii="宋体" w:hAnsi="宋体"/>
                <w:sz w:val="22"/>
                <w:szCs w:val="22"/>
              </w:rPr>
            </w:pPr>
            <w:r>
              <w:rPr>
                <w:rFonts w:hint="eastAsia" w:ascii="宋体" w:hAnsi="宋体"/>
                <w:sz w:val="22"/>
                <w:szCs w:val="22"/>
              </w:rPr>
              <w:t>不存在本章第3.1.2项任何一种情形之一</w:t>
            </w:r>
          </w:p>
        </w:tc>
      </w:tr>
      <w:tr w14:paraId="69A9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5966ED73">
            <w:pPr>
              <w:spacing w:line="440" w:lineRule="exact"/>
              <w:jc w:val="center"/>
              <w:rPr>
                <w:rFonts w:ascii="宋体" w:hAnsi="宋体"/>
                <w:sz w:val="22"/>
                <w:szCs w:val="22"/>
              </w:rPr>
            </w:pPr>
          </w:p>
        </w:tc>
        <w:tc>
          <w:tcPr>
            <w:tcW w:w="953" w:type="dxa"/>
            <w:vMerge w:val="continue"/>
            <w:vAlign w:val="center"/>
          </w:tcPr>
          <w:p w14:paraId="5D49891B">
            <w:pPr>
              <w:spacing w:line="440" w:lineRule="exact"/>
              <w:jc w:val="center"/>
              <w:rPr>
                <w:rFonts w:ascii="宋体" w:hAnsi="宋体"/>
                <w:sz w:val="22"/>
                <w:szCs w:val="22"/>
              </w:rPr>
            </w:pPr>
          </w:p>
        </w:tc>
        <w:tc>
          <w:tcPr>
            <w:tcW w:w="2529" w:type="dxa"/>
            <w:gridSpan w:val="4"/>
            <w:vAlign w:val="center"/>
          </w:tcPr>
          <w:p w14:paraId="5C8FB53A">
            <w:pPr>
              <w:spacing w:line="360" w:lineRule="auto"/>
              <w:jc w:val="center"/>
              <w:rPr>
                <w:rFonts w:ascii="宋体" w:hAnsi="宋体"/>
                <w:sz w:val="22"/>
                <w:szCs w:val="22"/>
              </w:rPr>
            </w:pPr>
            <w:r>
              <w:rPr>
                <w:rFonts w:hint="eastAsia" w:ascii="宋体" w:hAnsi="宋体"/>
                <w:sz w:val="22"/>
                <w:szCs w:val="22"/>
              </w:rPr>
              <w:t>权利义务</w:t>
            </w:r>
          </w:p>
        </w:tc>
        <w:tc>
          <w:tcPr>
            <w:tcW w:w="5670" w:type="dxa"/>
            <w:vAlign w:val="center"/>
          </w:tcPr>
          <w:p w14:paraId="5EFCAB0F">
            <w:pPr>
              <w:spacing w:line="360" w:lineRule="auto"/>
              <w:rPr>
                <w:rFonts w:ascii="宋体" w:hAnsi="宋体"/>
                <w:sz w:val="22"/>
                <w:szCs w:val="22"/>
              </w:rPr>
            </w:pPr>
            <w:r>
              <w:rPr>
                <w:rFonts w:hint="eastAsia" w:ascii="宋体" w:hAnsi="宋体"/>
                <w:sz w:val="22"/>
                <w:szCs w:val="22"/>
              </w:rPr>
              <w:t>符合第四章“合同条款及格式”规定</w:t>
            </w:r>
          </w:p>
        </w:tc>
      </w:tr>
      <w:tr w14:paraId="05F9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2622E857">
            <w:pPr>
              <w:spacing w:line="440" w:lineRule="exact"/>
              <w:jc w:val="center"/>
              <w:rPr>
                <w:rFonts w:ascii="宋体" w:hAnsi="宋体"/>
                <w:sz w:val="22"/>
                <w:szCs w:val="22"/>
              </w:rPr>
            </w:pPr>
          </w:p>
        </w:tc>
        <w:tc>
          <w:tcPr>
            <w:tcW w:w="953" w:type="dxa"/>
            <w:vMerge w:val="continue"/>
            <w:vAlign w:val="center"/>
          </w:tcPr>
          <w:p w14:paraId="674C475D">
            <w:pPr>
              <w:spacing w:line="440" w:lineRule="exact"/>
              <w:jc w:val="center"/>
              <w:rPr>
                <w:rFonts w:ascii="宋体" w:hAnsi="宋体"/>
                <w:sz w:val="22"/>
                <w:szCs w:val="22"/>
              </w:rPr>
            </w:pPr>
          </w:p>
        </w:tc>
        <w:tc>
          <w:tcPr>
            <w:tcW w:w="2529" w:type="dxa"/>
            <w:gridSpan w:val="4"/>
            <w:vAlign w:val="center"/>
          </w:tcPr>
          <w:p w14:paraId="713ADA6C">
            <w:pPr>
              <w:spacing w:line="360" w:lineRule="auto"/>
              <w:jc w:val="center"/>
              <w:rPr>
                <w:rFonts w:ascii="宋体" w:hAnsi="宋体"/>
                <w:sz w:val="22"/>
                <w:szCs w:val="22"/>
              </w:rPr>
            </w:pPr>
            <w:r>
              <w:rPr>
                <w:rFonts w:hint="eastAsia" w:ascii="宋体" w:hAnsi="宋体"/>
                <w:sz w:val="22"/>
                <w:szCs w:val="22"/>
              </w:rPr>
              <w:t>己标价工程量清单</w:t>
            </w:r>
          </w:p>
        </w:tc>
        <w:tc>
          <w:tcPr>
            <w:tcW w:w="5670" w:type="dxa"/>
            <w:vAlign w:val="center"/>
          </w:tcPr>
          <w:p w14:paraId="7A3DAB53">
            <w:pPr>
              <w:spacing w:line="360" w:lineRule="auto"/>
              <w:rPr>
                <w:rFonts w:ascii="宋体" w:hAnsi="宋体"/>
                <w:sz w:val="22"/>
                <w:szCs w:val="22"/>
              </w:rPr>
            </w:pPr>
            <w:r>
              <w:rPr>
                <w:rFonts w:hint="eastAsia" w:ascii="宋体" w:hAnsi="宋体"/>
                <w:sz w:val="22"/>
                <w:szCs w:val="22"/>
              </w:rPr>
              <w:t>符合第五章工程量清单（另册）“投标报价说明”给出的范围及数量以及“投标报价表编制及报价总说明”中对投标人的要求</w:t>
            </w:r>
          </w:p>
        </w:tc>
      </w:tr>
      <w:tr w14:paraId="5D6E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76AA5974">
            <w:pPr>
              <w:spacing w:line="440" w:lineRule="exact"/>
              <w:jc w:val="center"/>
              <w:rPr>
                <w:rFonts w:ascii="宋体" w:hAnsi="宋体"/>
                <w:sz w:val="22"/>
                <w:szCs w:val="22"/>
              </w:rPr>
            </w:pPr>
          </w:p>
        </w:tc>
        <w:tc>
          <w:tcPr>
            <w:tcW w:w="953" w:type="dxa"/>
            <w:vMerge w:val="continue"/>
            <w:vAlign w:val="center"/>
          </w:tcPr>
          <w:p w14:paraId="5EB8E6B3">
            <w:pPr>
              <w:spacing w:line="440" w:lineRule="exact"/>
              <w:jc w:val="center"/>
              <w:rPr>
                <w:rFonts w:ascii="宋体" w:hAnsi="宋体"/>
                <w:sz w:val="22"/>
                <w:szCs w:val="22"/>
              </w:rPr>
            </w:pPr>
          </w:p>
        </w:tc>
        <w:tc>
          <w:tcPr>
            <w:tcW w:w="2529" w:type="dxa"/>
            <w:gridSpan w:val="4"/>
            <w:vAlign w:val="center"/>
          </w:tcPr>
          <w:p w14:paraId="774D502C">
            <w:pPr>
              <w:spacing w:line="360" w:lineRule="auto"/>
              <w:jc w:val="center"/>
              <w:rPr>
                <w:rFonts w:ascii="宋体" w:hAnsi="宋体"/>
                <w:sz w:val="22"/>
                <w:szCs w:val="22"/>
              </w:rPr>
            </w:pPr>
            <w:r>
              <w:rPr>
                <w:rFonts w:hint="eastAsia" w:ascii="宋体" w:hAnsi="宋体"/>
                <w:sz w:val="22"/>
                <w:szCs w:val="22"/>
              </w:rPr>
              <w:t>技术标准和要求</w:t>
            </w:r>
          </w:p>
        </w:tc>
        <w:tc>
          <w:tcPr>
            <w:tcW w:w="5670" w:type="dxa"/>
            <w:vAlign w:val="center"/>
          </w:tcPr>
          <w:p w14:paraId="676CE03E">
            <w:pPr>
              <w:spacing w:line="360" w:lineRule="auto"/>
              <w:rPr>
                <w:rFonts w:hint="eastAsia" w:ascii="宋体" w:hAnsi="宋体"/>
                <w:sz w:val="22"/>
                <w:szCs w:val="22"/>
              </w:rPr>
            </w:pPr>
            <w:r>
              <w:rPr>
                <w:rFonts w:hint="eastAsia" w:ascii="宋体" w:hAnsi="宋体"/>
                <w:sz w:val="22"/>
                <w:szCs w:val="22"/>
              </w:rPr>
              <w:t>符合第七章“技术标准和要求”规定</w:t>
            </w:r>
          </w:p>
        </w:tc>
      </w:tr>
      <w:tr w14:paraId="183F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47E3B6D2">
            <w:pPr>
              <w:spacing w:line="440" w:lineRule="exact"/>
              <w:jc w:val="center"/>
              <w:rPr>
                <w:rFonts w:ascii="宋体" w:hAnsi="宋体"/>
                <w:sz w:val="22"/>
                <w:szCs w:val="22"/>
              </w:rPr>
            </w:pPr>
          </w:p>
        </w:tc>
        <w:tc>
          <w:tcPr>
            <w:tcW w:w="953" w:type="dxa"/>
            <w:vMerge w:val="continue"/>
            <w:vAlign w:val="center"/>
          </w:tcPr>
          <w:p w14:paraId="3737C71D">
            <w:pPr>
              <w:spacing w:line="440" w:lineRule="exact"/>
              <w:jc w:val="center"/>
              <w:rPr>
                <w:rFonts w:ascii="宋体" w:hAnsi="宋体"/>
                <w:sz w:val="22"/>
                <w:szCs w:val="22"/>
              </w:rPr>
            </w:pPr>
          </w:p>
        </w:tc>
        <w:tc>
          <w:tcPr>
            <w:tcW w:w="2529" w:type="dxa"/>
            <w:gridSpan w:val="4"/>
            <w:vAlign w:val="center"/>
          </w:tcPr>
          <w:p w14:paraId="75CDD54D">
            <w:pPr>
              <w:spacing w:line="440" w:lineRule="exact"/>
              <w:jc w:val="center"/>
              <w:rPr>
                <w:rFonts w:ascii="宋体" w:hAnsi="宋体"/>
                <w:sz w:val="22"/>
                <w:szCs w:val="22"/>
              </w:rPr>
            </w:pPr>
            <w:r>
              <w:rPr>
                <w:rFonts w:ascii="宋体" w:hAnsi="宋体"/>
                <w:sz w:val="22"/>
                <w:szCs w:val="22"/>
              </w:rPr>
              <w:t>……</w:t>
            </w:r>
          </w:p>
        </w:tc>
        <w:tc>
          <w:tcPr>
            <w:tcW w:w="5670" w:type="dxa"/>
            <w:vAlign w:val="center"/>
          </w:tcPr>
          <w:p w14:paraId="5277E267">
            <w:pPr>
              <w:spacing w:line="440" w:lineRule="exact"/>
              <w:jc w:val="center"/>
              <w:rPr>
                <w:rFonts w:ascii="宋体" w:hAnsi="宋体"/>
                <w:sz w:val="22"/>
                <w:szCs w:val="22"/>
              </w:rPr>
            </w:pPr>
            <w:r>
              <w:rPr>
                <w:rFonts w:ascii="宋体" w:hAnsi="宋体"/>
                <w:sz w:val="22"/>
                <w:szCs w:val="22"/>
              </w:rPr>
              <w:t>……</w:t>
            </w:r>
          </w:p>
        </w:tc>
      </w:tr>
      <w:tr w14:paraId="5FA0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restart"/>
            <w:vAlign w:val="center"/>
          </w:tcPr>
          <w:p w14:paraId="49F82997">
            <w:pPr>
              <w:spacing w:line="440" w:lineRule="exact"/>
              <w:jc w:val="center"/>
              <w:rPr>
                <w:rFonts w:ascii="宋体" w:hAnsi="宋体"/>
                <w:sz w:val="22"/>
                <w:szCs w:val="22"/>
              </w:rPr>
            </w:pPr>
            <w:r>
              <w:rPr>
                <w:rFonts w:ascii="宋体" w:hAnsi="宋体"/>
                <w:sz w:val="22"/>
                <w:szCs w:val="22"/>
              </w:rPr>
              <w:t>2.1.4</w:t>
            </w:r>
          </w:p>
        </w:tc>
        <w:tc>
          <w:tcPr>
            <w:tcW w:w="953" w:type="dxa"/>
            <w:vMerge w:val="restart"/>
            <w:vAlign w:val="center"/>
          </w:tcPr>
          <w:p w14:paraId="2AEEA501">
            <w:pPr>
              <w:spacing w:line="440" w:lineRule="exact"/>
              <w:jc w:val="center"/>
              <w:rPr>
                <w:rFonts w:ascii="宋体" w:hAnsi="宋体"/>
                <w:sz w:val="22"/>
                <w:szCs w:val="22"/>
              </w:rPr>
            </w:pPr>
            <w:r>
              <w:rPr>
                <w:rFonts w:ascii="宋体" w:hAnsi="宋体"/>
                <w:sz w:val="22"/>
                <w:szCs w:val="22"/>
              </w:rPr>
              <w:t>施工组织设计评审标准</w:t>
            </w:r>
          </w:p>
        </w:tc>
        <w:tc>
          <w:tcPr>
            <w:tcW w:w="2529" w:type="dxa"/>
            <w:gridSpan w:val="4"/>
            <w:vAlign w:val="center"/>
          </w:tcPr>
          <w:p w14:paraId="7F02F2F2">
            <w:pPr>
              <w:spacing w:line="360" w:lineRule="auto"/>
              <w:jc w:val="center"/>
              <w:rPr>
                <w:rFonts w:ascii="宋体" w:hAnsi="宋体"/>
                <w:sz w:val="22"/>
                <w:szCs w:val="22"/>
              </w:rPr>
            </w:pPr>
            <w:r>
              <w:rPr>
                <w:rFonts w:hint="eastAsia" w:ascii="宋体" w:hAnsi="宋体"/>
                <w:sz w:val="22"/>
                <w:szCs w:val="22"/>
              </w:rPr>
              <w:t>□项目管理机构配备</w:t>
            </w:r>
          </w:p>
        </w:tc>
        <w:tc>
          <w:tcPr>
            <w:tcW w:w="5670" w:type="dxa"/>
            <w:vMerge w:val="restart"/>
            <w:vAlign w:val="center"/>
          </w:tcPr>
          <w:p w14:paraId="4C3A072C">
            <w:pPr>
              <w:spacing w:line="440" w:lineRule="exact"/>
              <w:jc w:val="left"/>
              <w:rPr>
                <w:rFonts w:ascii="宋体" w:hAnsi="宋体"/>
                <w:sz w:val="22"/>
                <w:szCs w:val="22"/>
              </w:rPr>
            </w:pPr>
            <w:r>
              <w:rPr>
                <w:rFonts w:hint="eastAsia" w:ascii="宋体" w:hAnsi="宋体"/>
                <w:sz w:val="22"/>
                <w:szCs w:val="22"/>
              </w:rPr>
              <w:t>评标委员会仅对通过形式、资格和响应性评审的投标人的施工组织设计和项目管理机构评出“可行”、“不可行”的结论。对 “可行”、“不可行”有分歧的，以评标委员会全体评标专家三分之二以上的意见作为结论意见。对同一施工组织设计和项目管理机构“可行”、“不可行”的意见均未达到三分之二时，应对该施工组织设计和项目管理机构进行复议，由评标委员会全体评标专家再次表决，其“可行”意见仍未达到三分之二以上时，按“不可行”作为结论。各项评审因素须同时满足招标文件要求，否则视为该施工组织设计和项目管理机构不可行，不进入下一步评审。</w:t>
            </w:r>
          </w:p>
        </w:tc>
      </w:tr>
      <w:tr w14:paraId="58F1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3C30F37B">
            <w:pPr>
              <w:spacing w:line="440" w:lineRule="exact"/>
              <w:jc w:val="center"/>
              <w:rPr>
                <w:rFonts w:ascii="宋体" w:hAnsi="宋体"/>
                <w:sz w:val="22"/>
                <w:szCs w:val="22"/>
              </w:rPr>
            </w:pPr>
          </w:p>
        </w:tc>
        <w:tc>
          <w:tcPr>
            <w:tcW w:w="953" w:type="dxa"/>
            <w:vMerge w:val="continue"/>
            <w:vAlign w:val="center"/>
          </w:tcPr>
          <w:p w14:paraId="3CC8F072">
            <w:pPr>
              <w:spacing w:line="440" w:lineRule="exact"/>
              <w:jc w:val="center"/>
              <w:rPr>
                <w:rFonts w:ascii="宋体" w:hAnsi="宋体"/>
                <w:sz w:val="22"/>
                <w:szCs w:val="22"/>
              </w:rPr>
            </w:pPr>
          </w:p>
        </w:tc>
        <w:tc>
          <w:tcPr>
            <w:tcW w:w="2529" w:type="dxa"/>
            <w:gridSpan w:val="4"/>
            <w:vAlign w:val="center"/>
          </w:tcPr>
          <w:p w14:paraId="1F9CD0B6">
            <w:pPr>
              <w:spacing w:line="360" w:lineRule="auto"/>
              <w:jc w:val="center"/>
              <w:rPr>
                <w:rFonts w:ascii="宋体" w:hAnsi="宋体"/>
                <w:sz w:val="22"/>
                <w:szCs w:val="22"/>
              </w:rPr>
            </w:pPr>
            <w:r>
              <w:rPr>
                <w:rFonts w:hint="eastAsia" w:ascii="宋体" w:hAnsi="宋体"/>
                <w:sz w:val="22"/>
                <w:szCs w:val="22"/>
              </w:rPr>
              <w:t>□主要施工方案</w:t>
            </w:r>
          </w:p>
        </w:tc>
        <w:tc>
          <w:tcPr>
            <w:tcW w:w="5670" w:type="dxa"/>
            <w:vMerge w:val="continue"/>
            <w:vAlign w:val="center"/>
          </w:tcPr>
          <w:p w14:paraId="092EA792">
            <w:pPr>
              <w:spacing w:line="440" w:lineRule="exact"/>
              <w:jc w:val="center"/>
              <w:rPr>
                <w:rFonts w:ascii="宋体" w:hAnsi="宋体"/>
                <w:sz w:val="22"/>
                <w:szCs w:val="22"/>
              </w:rPr>
            </w:pPr>
          </w:p>
        </w:tc>
      </w:tr>
      <w:tr w14:paraId="0EE2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7CDD6CB">
            <w:pPr>
              <w:spacing w:line="440" w:lineRule="exact"/>
              <w:jc w:val="center"/>
              <w:rPr>
                <w:rFonts w:ascii="宋体" w:hAnsi="宋体"/>
                <w:sz w:val="22"/>
                <w:szCs w:val="22"/>
              </w:rPr>
            </w:pPr>
          </w:p>
        </w:tc>
        <w:tc>
          <w:tcPr>
            <w:tcW w:w="953" w:type="dxa"/>
            <w:vMerge w:val="continue"/>
            <w:vAlign w:val="center"/>
          </w:tcPr>
          <w:p w14:paraId="69A59021">
            <w:pPr>
              <w:spacing w:line="440" w:lineRule="exact"/>
              <w:jc w:val="center"/>
              <w:rPr>
                <w:rFonts w:ascii="宋体" w:hAnsi="宋体"/>
                <w:sz w:val="22"/>
                <w:szCs w:val="22"/>
              </w:rPr>
            </w:pPr>
          </w:p>
        </w:tc>
        <w:tc>
          <w:tcPr>
            <w:tcW w:w="2529" w:type="dxa"/>
            <w:gridSpan w:val="4"/>
            <w:vAlign w:val="center"/>
          </w:tcPr>
          <w:p w14:paraId="4D6B99D3">
            <w:pPr>
              <w:spacing w:line="360" w:lineRule="auto"/>
              <w:jc w:val="center"/>
              <w:rPr>
                <w:rFonts w:ascii="宋体" w:hAnsi="宋体"/>
                <w:sz w:val="22"/>
                <w:szCs w:val="22"/>
              </w:rPr>
            </w:pPr>
            <w:r>
              <w:rPr>
                <w:rFonts w:hint="eastAsia" w:ascii="宋体" w:hAnsi="宋体"/>
                <w:sz w:val="22"/>
                <w:szCs w:val="22"/>
              </w:rPr>
              <w:t>□质量控制措施</w:t>
            </w:r>
          </w:p>
        </w:tc>
        <w:tc>
          <w:tcPr>
            <w:tcW w:w="5670" w:type="dxa"/>
            <w:vMerge w:val="continue"/>
            <w:vAlign w:val="center"/>
          </w:tcPr>
          <w:p w14:paraId="0452ACA8">
            <w:pPr>
              <w:spacing w:line="440" w:lineRule="exact"/>
              <w:jc w:val="center"/>
              <w:rPr>
                <w:rFonts w:ascii="宋体" w:hAnsi="宋体"/>
                <w:sz w:val="22"/>
                <w:szCs w:val="22"/>
              </w:rPr>
            </w:pPr>
          </w:p>
        </w:tc>
      </w:tr>
      <w:tr w14:paraId="1090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069BA9F">
            <w:pPr>
              <w:spacing w:line="440" w:lineRule="exact"/>
              <w:jc w:val="center"/>
              <w:rPr>
                <w:rFonts w:ascii="宋体" w:hAnsi="宋体"/>
                <w:sz w:val="22"/>
                <w:szCs w:val="22"/>
              </w:rPr>
            </w:pPr>
          </w:p>
        </w:tc>
        <w:tc>
          <w:tcPr>
            <w:tcW w:w="953" w:type="dxa"/>
            <w:vMerge w:val="continue"/>
            <w:vAlign w:val="center"/>
          </w:tcPr>
          <w:p w14:paraId="2E4C821C">
            <w:pPr>
              <w:spacing w:line="440" w:lineRule="exact"/>
              <w:jc w:val="center"/>
              <w:rPr>
                <w:rFonts w:ascii="宋体" w:hAnsi="宋体"/>
                <w:sz w:val="22"/>
                <w:szCs w:val="22"/>
              </w:rPr>
            </w:pPr>
          </w:p>
        </w:tc>
        <w:tc>
          <w:tcPr>
            <w:tcW w:w="2529" w:type="dxa"/>
            <w:gridSpan w:val="4"/>
            <w:tcMar>
              <w:left w:w="0" w:type="dxa"/>
              <w:right w:w="0" w:type="dxa"/>
            </w:tcMar>
            <w:vAlign w:val="center"/>
          </w:tcPr>
          <w:p w14:paraId="28D17162">
            <w:pPr>
              <w:spacing w:line="360" w:lineRule="auto"/>
              <w:jc w:val="center"/>
              <w:rPr>
                <w:rFonts w:ascii="宋体" w:hAnsi="宋体"/>
                <w:sz w:val="22"/>
                <w:szCs w:val="22"/>
              </w:rPr>
            </w:pPr>
            <w:r>
              <w:rPr>
                <w:rFonts w:hint="eastAsia" w:ascii="宋体" w:hAnsi="宋体"/>
                <w:sz w:val="22"/>
                <w:szCs w:val="22"/>
              </w:rPr>
              <w:t>□安全和文明施工措施</w:t>
            </w:r>
          </w:p>
        </w:tc>
        <w:tc>
          <w:tcPr>
            <w:tcW w:w="5670" w:type="dxa"/>
            <w:vMerge w:val="continue"/>
            <w:vAlign w:val="center"/>
          </w:tcPr>
          <w:p w14:paraId="6509896C">
            <w:pPr>
              <w:spacing w:line="440" w:lineRule="exact"/>
              <w:jc w:val="center"/>
              <w:rPr>
                <w:rFonts w:ascii="宋体" w:hAnsi="宋体"/>
                <w:sz w:val="22"/>
                <w:szCs w:val="22"/>
              </w:rPr>
            </w:pPr>
          </w:p>
        </w:tc>
      </w:tr>
      <w:tr w14:paraId="17F1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7E2D39CE">
            <w:pPr>
              <w:spacing w:line="440" w:lineRule="exact"/>
              <w:jc w:val="center"/>
              <w:rPr>
                <w:rFonts w:ascii="宋体" w:hAnsi="宋体"/>
                <w:sz w:val="22"/>
                <w:szCs w:val="22"/>
              </w:rPr>
            </w:pPr>
          </w:p>
        </w:tc>
        <w:tc>
          <w:tcPr>
            <w:tcW w:w="953" w:type="dxa"/>
            <w:vMerge w:val="continue"/>
            <w:vAlign w:val="center"/>
          </w:tcPr>
          <w:p w14:paraId="49083687">
            <w:pPr>
              <w:spacing w:line="440" w:lineRule="exact"/>
              <w:jc w:val="center"/>
              <w:rPr>
                <w:rFonts w:ascii="宋体" w:hAnsi="宋体"/>
                <w:sz w:val="22"/>
                <w:szCs w:val="22"/>
              </w:rPr>
            </w:pPr>
          </w:p>
        </w:tc>
        <w:tc>
          <w:tcPr>
            <w:tcW w:w="2529" w:type="dxa"/>
            <w:gridSpan w:val="4"/>
            <w:vAlign w:val="center"/>
          </w:tcPr>
          <w:p w14:paraId="262942CE">
            <w:pPr>
              <w:spacing w:line="360" w:lineRule="auto"/>
              <w:jc w:val="center"/>
              <w:rPr>
                <w:rFonts w:ascii="宋体" w:hAnsi="宋体"/>
                <w:sz w:val="22"/>
                <w:szCs w:val="22"/>
              </w:rPr>
            </w:pPr>
            <w:r>
              <w:rPr>
                <w:rFonts w:hint="eastAsia" w:ascii="宋体" w:hAnsi="宋体"/>
                <w:sz w:val="22"/>
                <w:szCs w:val="22"/>
              </w:rPr>
              <w:t>□工期及进度计划</w:t>
            </w:r>
          </w:p>
        </w:tc>
        <w:tc>
          <w:tcPr>
            <w:tcW w:w="5670" w:type="dxa"/>
            <w:vMerge w:val="continue"/>
            <w:vAlign w:val="center"/>
          </w:tcPr>
          <w:p w14:paraId="3DA003C3">
            <w:pPr>
              <w:spacing w:line="440" w:lineRule="exact"/>
              <w:jc w:val="center"/>
              <w:rPr>
                <w:rFonts w:ascii="宋体" w:hAnsi="宋体"/>
                <w:sz w:val="22"/>
                <w:szCs w:val="22"/>
              </w:rPr>
            </w:pPr>
          </w:p>
        </w:tc>
      </w:tr>
      <w:tr w14:paraId="18D2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5" w:type="dxa"/>
            <w:vMerge w:val="continue"/>
            <w:vAlign w:val="center"/>
          </w:tcPr>
          <w:p w14:paraId="65B746E4">
            <w:pPr>
              <w:spacing w:line="440" w:lineRule="exact"/>
              <w:jc w:val="center"/>
              <w:rPr>
                <w:rFonts w:ascii="宋体" w:hAnsi="宋体"/>
                <w:sz w:val="22"/>
                <w:szCs w:val="22"/>
              </w:rPr>
            </w:pPr>
          </w:p>
        </w:tc>
        <w:tc>
          <w:tcPr>
            <w:tcW w:w="953" w:type="dxa"/>
            <w:vMerge w:val="continue"/>
            <w:vAlign w:val="center"/>
          </w:tcPr>
          <w:p w14:paraId="68AC7E02">
            <w:pPr>
              <w:spacing w:line="440" w:lineRule="exact"/>
              <w:jc w:val="center"/>
              <w:rPr>
                <w:rFonts w:ascii="宋体" w:hAnsi="宋体"/>
                <w:sz w:val="22"/>
                <w:szCs w:val="22"/>
              </w:rPr>
            </w:pPr>
          </w:p>
        </w:tc>
        <w:tc>
          <w:tcPr>
            <w:tcW w:w="2529" w:type="dxa"/>
            <w:gridSpan w:val="4"/>
            <w:vAlign w:val="center"/>
          </w:tcPr>
          <w:p w14:paraId="200C3EA1">
            <w:pPr>
              <w:spacing w:line="360" w:lineRule="auto"/>
              <w:jc w:val="center"/>
              <w:rPr>
                <w:rFonts w:ascii="宋体" w:hAnsi="宋体"/>
                <w:sz w:val="22"/>
                <w:szCs w:val="22"/>
              </w:rPr>
            </w:pPr>
            <w:r>
              <w:rPr>
                <w:rFonts w:hint="eastAsia" w:ascii="宋体" w:hAnsi="宋体"/>
                <w:sz w:val="22"/>
                <w:szCs w:val="22"/>
              </w:rPr>
              <w:t>□劳动力安排计划</w:t>
            </w:r>
          </w:p>
        </w:tc>
        <w:tc>
          <w:tcPr>
            <w:tcW w:w="5670" w:type="dxa"/>
            <w:vMerge w:val="continue"/>
            <w:vAlign w:val="center"/>
          </w:tcPr>
          <w:p w14:paraId="083D45FD">
            <w:pPr>
              <w:spacing w:line="440" w:lineRule="exact"/>
              <w:jc w:val="center"/>
              <w:rPr>
                <w:rFonts w:ascii="宋体" w:hAnsi="宋体"/>
                <w:sz w:val="22"/>
                <w:szCs w:val="22"/>
              </w:rPr>
            </w:pPr>
          </w:p>
        </w:tc>
      </w:tr>
      <w:tr w14:paraId="78A5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5" w:type="dxa"/>
            <w:vMerge w:val="continue"/>
            <w:vAlign w:val="center"/>
          </w:tcPr>
          <w:p w14:paraId="2E7F2F93">
            <w:pPr>
              <w:spacing w:line="440" w:lineRule="exact"/>
              <w:jc w:val="center"/>
              <w:rPr>
                <w:sz w:val="22"/>
                <w:szCs w:val="22"/>
              </w:rPr>
            </w:pPr>
          </w:p>
        </w:tc>
        <w:tc>
          <w:tcPr>
            <w:tcW w:w="953" w:type="dxa"/>
            <w:vMerge w:val="continue"/>
            <w:vAlign w:val="center"/>
          </w:tcPr>
          <w:p w14:paraId="461EB5DE">
            <w:pPr>
              <w:spacing w:line="440" w:lineRule="exact"/>
              <w:jc w:val="center"/>
              <w:rPr>
                <w:sz w:val="22"/>
                <w:szCs w:val="22"/>
              </w:rPr>
            </w:pPr>
          </w:p>
        </w:tc>
        <w:tc>
          <w:tcPr>
            <w:tcW w:w="2529" w:type="dxa"/>
            <w:gridSpan w:val="4"/>
            <w:vAlign w:val="center"/>
          </w:tcPr>
          <w:p w14:paraId="48B02A11">
            <w:pPr>
              <w:spacing w:line="360" w:lineRule="auto"/>
              <w:jc w:val="center"/>
              <w:rPr>
                <w:rFonts w:ascii="宋体" w:hAnsi="宋体"/>
                <w:sz w:val="22"/>
                <w:szCs w:val="22"/>
              </w:rPr>
            </w:pPr>
            <w:r>
              <w:rPr>
                <w:rFonts w:hint="eastAsia" w:ascii="宋体" w:hAnsi="宋体"/>
                <w:sz w:val="22"/>
                <w:szCs w:val="22"/>
              </w:rPr>
              <w:t>□主要施工机械设备配备</w:t>
            </w:r>
          </w:p>
        </w:tc>
        <w:tc>
          <w:tcPr>
            <w:tcW w:w="5670" w:type="dxa"/>
            <w:vMerge w:val="continue"/>
            <w:vAlign w:val="center"/>
          </w:tcPr>
          <w:p w14:paraId="5CF7494B">
            <w:pPr>
              <w:spacing w:line="440" w:lineRule="exact"/>
              <w:jc w:val="center"/>
              <w:rPr>
                <w:rFonts w:ascii="宋体" w:hAnsi="宋体"/>
                <w:sz w:val="22"/>
                <w:szCs w:val="22"/>
              </w:rPr>
            </w:pPr>
          </w:p>
        </w:tc>
      </w:tr>
      <w:tr w14:paraId="24AB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5" w:type="dxa"/>
            <w:vMerge w:val="continue"/>
            <w:vAlign w:val="center"/>
          </w:tcPr>
          <w:p w14:paraId="486ECFD9">
            <w:pPr>
              <w:spacing w:line="440" w:lineRule="exact"/>
              <w:jc w:val="center"/>
              <w:rPr>
                <w:rFonts w:ascii="宋体" w:hAnsi="宋体"/>
                <w:sz w:val="22"/>
                <w:szCs w:val="22"/>
              </w:rPr>
            </w:pPr>
          </w:p>
        </w:tc>
        <w:tc>
          <w:tcPr>
            <w:tcW w:w="953" w:type="dxa"/>
            <w:vMerge w:val="continue"/>
            <w:vAlign w:val="center"/>
          </w:tcPr>
          <w:p w14:paraId="460C8CB9">
            <w:pPr>
              <w:spacing w:line="440" w:lineRule="exact"/>
              <w:jc w:val="center"/>
              <w:rPr>
                <w:rFonts w:ascii="宋体" w:hAnsi="宋体"/>
                <w:sz w:val="22"/>
                <w:szCs w:val="22"/>
              </w:rPr>
            </w:pPr>
          </w:p>
        </w:tc>
        <w:tc>
          <w:tcPr>
            <w:tcW w:w="2529" w:type="dxa"/>
            <w:gridSpan w:val="4"/>
            <w:vAlign w:val="center"/>
          </w:tcPr>
          <w:p w14:paraId="2895A6A8">
            <w:pPr>
              <w:spacing w:line="360" w:lineRule="auto"/>
              <w:jc w:val="center"/>
              <w:rPr>
                <w:rFonts w:ascii="宋体" w:hAnsi="宋体"/>
                <w:sz w:val="22"/>
                <w:szCs w:val="22"/>
              </w:rPr>
            </w:pPr>
            <w:r>
              <w:rPr>
                <w:rFonts w:hint="eastAsia" w:ascii="宋体" w:hAnsi="宋体"/>
                <w:sz w:val="22"/>
                <w:szCs w:val="22"/>
              </w:rPr>
              <w:t>□环境保护及控制措施</w:t>
            </w:r>
          </w:p>
        </w:tc>
        <w:tc>
          <w:tcPr>
            <w:tcW w:w="5670" w:type="dxa"/>
            <w:vMerge w:val="continue"/>
            <w:vAlign w:val="center"/>
          </w:tcPr>
          <w:p w14:paraId="2C939B7A">
            <w:pPr>
              <w:spacing w:line="440" w:lineRule="exact"/>
              <w:jc w:val="center"/>
              <w:rPr>
                <w:rFonts w:ascii="宋体" w:hAnsi="宋体"/>
                <w:sz w:val="22"/>
                <w:szCs w:val="22"/>
              </w:rPr>
            </w:pPr>
          </w:p>
        </w:tc>
      </w:tr>
      <w:tr w14:paraId="0F51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5" w:type="dxa"/>
            <w:vMerge w:val="continue"/>
            <w:vAlign w:val="center"/>
          </w:tcPr>
          <w:p w14:paraId="1C1857F7">
            <w:pPr>
              <w:spacing w:line="440" w:lineRule="exact"/>
              <w:jc w:val="center"/>
              <w:rPr>
                <w:rFonts w:ascii="宋体" w:hAnsi="宋体"/>
                <w:sz w:val="22"/>
                <w:szCs w:val="22"/>
              </w:rPr>
            </w:pPr>
          </w:p>
        </w:tc>
        <w:tc>
          <w:tcPr>
            <w:tcW w:w="953" w:type="dxa"/>
            <w:vMerge w:val="continue"/>
            <w:vAlign w:val="center"/>
          </w:tcPr>
          <w:p w14:paraId="6C32CD05">
            <w:pPr>
              <w:spacing w:line="440" w:lineRule="exact"/>
              <w:jc w:val="center"/>
              <w:rPr>
                <w:rFonts w:ascii="宋体" w:hAnsi="宋体"/>
                <w:sz w:val="22"/>
                <w:szCs w:val="22"/>
              </w:rPr>
            </w:pPr>
          </w:p>
        </w:tc>
        <w:tc>
          <w:tcPr>
            <w:tcW w:w="2529" w:type="dxa"/>
            <w:gridSpan w:val="4"/>
            <w:vAlign w:val="center"/>
          </w:tcPr>
          <w:p w14:paraId="675D59E6">
            <w:pPr>
              <w:spacing w:line="360" w:lineRule="auto"/>
              <w:jc w:val="center"/>
              <w:rPr>
                <w:rFonts w:ascii="宋体" w:hAnsi="宋体"/>
                <w:sz w:val="22"/>
                <w:szCs w:val="22"/>
              </w:rPr>
            </w:pPr>
            <w:r>
              <w:rPr>
                <w:rFonts w:hint="eastAsia" w:ascii="宋体" w:hAnsi="宋体"/>
                <w:sz w:val="22"/>
                <w:szCs w:val="22"/>
              </w:rPr>
              <w:t>□试验、检测仪器设备</w:t>
            </w:r>
          </w:p>
        </w:tc>
        <w:tc>
          <w:tcPr>
            <w:tcW w:w="5670" w:type="dxa"/>
            <w:vMerge w:val="continue"/>
            <w:vAlign w:val="center"/>
          </w:tcPr>
          <w:p w14:paraId="11115006">
            <w:pPr>
              <w:spacing w:line="440" w:lineRule="exact"/>
              <w:jc w:val="center"/>
              <w:rPr>
                <w:rFonts w:ascii="宋体" w:hAnsi="宋体"/>
                <w:sz w:val="22"/>
                <w:szCs w:val="22"/>
              </w:rPr>
            </w:pPr>
          </w:p>
        </w:tc>
      </w:tr>
      <w:tr w14:paraId="0714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5" w:type="dxa"/>
            <w:vMerge w:val="continue"/>
            <w:vAlign w:val="center"/>
          </w:tcPr>
          <w:p w14:paraId="4EB2E238">
            <w:pPr>
              <w:spacing w:line="440" w:lineRule="exact"/>
              <w:jc w:val="center"/>
              <w:rPr>
                <w:rFonts w:ascii="宋体" w:hAnsi="宋体"/>
                <w:sz w:val="22"/>
                <w:szCs w:val="22"/>
              </w:rPr>
            </w:pPr>
          </w:p>
        </w:tc>
        <w:tc>
          <w:tcPr>
            <w:tcW w:w="953" w:type="dxa"/>
            <w:vMerge w:val="continue"/>
            <w:vAlign w:val="center"/>
          </w:tcPr>
          <w:p w14:paraId="58E6E368">
            <w:pPr>
              <w:spacing w:line="440" w:lineRule="exact"/>
              <w:jc w:val="center"/>
              <w:rPr>
                <w:rFonts w:ascii="宋体" w:hAnsi="宋体"/>
                <w:sz w:val="22"/>
                <w:szCs w:val="22"/>
              </w:rPr>
            </w:pPr>
          </w:p>
        </w:tc>
        <w:tc>
          <w:tcPr>
            <w:tcW w:w="2529" w:type="dxa"/>
            <w:gridSpan w:val="4"/>
            <w:vAlign w:val="center"/>
          </w:tcPr>
          <w:p w14:paraId="19F17791">
            <w:pPr>
              <w:spacing w:line="360" w:lineRule="auto"/>
              <w:jc w:val="center"/>
              <w:rPr>
                <w:rFonts w:hint="eastAsia" w:ascii="宋体" w:hAnsi="宋体"/>
                <w:sz w:val="22"/>
                <w:szCs w:val="22"/>
              </w:rPr>
            </w:pPr>
            <w:r>
              <w:rPr>
                <w:rFonts w:hint="eastAsia" w:ascii="宋体" w:hAnsi="宋体"/>
                <w:sz w:val="22"/>
                <w:szCs w:val="22"/>
              </w:rPr>
              <w:t>□主要人员（包括</w:t>
            </w:r>
            <w:r>
              <w:rPr>
                <w:rFonts w:hint="eastAsia" w:ascii="宋体" w:hAnsi="宋体"/>
                <w:sz w:val="22"/>
                <w:szCs w:val="22"/>
                <w:u w:val="single"/>
                <w:lang w:val="en-US" w:eastAsia="zh-CN"/>
              </w:rPr>
              <w:t xml:space="preserve">     </w:t>
            </w:r>
            <w:r>
              <w:rPr>
                <w:rFonts w:hint="eastAsia" w:ascii="宋体" w:hAnsi="宋体"/>
                <w:sz w:val="22"/>
                <w:szCs w:val="22"/>
              </w:rPr>
              <w:t>）</w:t>
            </w:r>
          </w:p>
        </w:tc>
        <w:tc>
          <w:tcPr>
            <w:tcW w:w="5670" w:type="dxa"/>
            <w:vMerge w:val="continue"/>
            <w:vAlign w:val="center"/>
          </w:tcPr>
          <w:p w14:paraId="0D41A679">
            <w:pPr>
              <w:spacing w:line="440" w:lineRule="exact"/>
              <w:jc w:val="center"/>
              <w:rPr>
                <w:rFonts w:ascii="宋体" w:hAnsi="宋体"/>
                <w:sz w:val="22"/>
                <w:szCs w:val="22"/>
              </w:rPr>
            </w:pPr>
          </w:p>
        </w:tc>
      </w:tr>
      <w:tr w14:paraId="13C7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95" w:type="dxa"/>
            <w:vMerge w:val="continue"/>
            <w:vAlign w:val="center"/>
          </w:tcPr>
          <w:p w14:paraId="757AA7D7">
            <w:pPr>
              <w:spacing w:line="440" w:lineRule="exact"/>
              <w:jc w:val="center"/>
              <w:rPr>
                <w:rFonts w:ascii="宋体" w:hAnsi="宋体"/>
                <w:sz w:val="22"/>
                <w:szCs w:val="22"/>
              </w:rPr>
            </w:pPr>
          </w:p>
        </w:tc>
        <w:tc>
          <w:tcPr>
            <w:tcW w:w="953" w:type="dxa"/>
            <w:vMerge w:val="continue"/>
            <w:vAlign w:val="center"/>
          </w:tcPr>
          <w:p w14:paraId="30E54011">
            <w:pPr>
              <w:spacing w:line="440" w:lineRule="exact"/>
              <w:jc w:val="center"/>
              <w:rPr>
                <w:rFonts w:ascii="宋体" w:hAnsi="宋体"/>
                <w:sz w:val="22"/>
                <w:szCs w:val="22"/>
              </w:rPr>
            </w:pPr>
          </w:p>
        </w:tc>
        <w:tc>
          <w:tcPr>
            <w:tcW w:w="2529" w:type="dxa"/>
            <w:gridSpan w:val="4"/>
            <w:vAlign w:val="center"/>
          </w:tcPr>
          <w:p w14:paraId="054C232E">
            <w:pPr>
              <w:spacing w:line="360" w:lineRule="auto"/>
              <w:jc w:val="center"/>
              <w:rPr>
                <w:rFonts w:ascii="宋体" w:hAnsi="宋体"/>
                <w:sz w:val="22"/>
                <w:szCs w:val="22"/>
              </w:rPr>
            </w:pPr>
            <w:r>
              <w:rPr>
                <w:rFonts w:hint="eastAsia" w:ascii="宋体" w:hAnsi="宋体"/>
                <w:sz w:val="22"/>
                <w:szCs w:val="22"/>
              </w:rPr>
              <w:t>□</w:t>
            </w:r>
            <w:r>
              <w:rPr>
                <w:rFonts w:ascii="宋体" w:hAnsi="宋体"/>
                <w:sz w:val="22"/>
                <w:szCs w:val="22"/>
              </w:rPr>
              <w:t>绿色建材应用计划与措施</w:t>
            </w:r>
          </w:p>
        </w:tc>
        <w:tc>
          <w:tcPr>
            <w:tcW w:w="5670" w:type="dxa"/>
            <w:vMerge w:val="continue"/>
            <w:vAlign w:val="center"/>
          </w:tcPr>
          <w:p w14:paraId="6600CDEB">
            <w:pPr>
              <w:spacing w:line="440" w:lineRule="exact"/>
              <w:jc w:val="center"/>
              <w:rPr>
                <w:rFonts w:ascii="宋体" w:hAnsi="宋体"/>
                <w:sz w:val="22"/>
                <w:szCs w:val="22"/>
              </w:rPr>
            </w:pPr>
          </w:p>
        </w:tc>
      </w:tr>
      <w:tr w14:paraId="51B7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restart"/>
            <w:vAlign w:val="center"/>
          </w:tcPr>
          <w:p w14:paraId="390EAAB2">
            <w:pPr>
              <w:spacing w:line="440" w:lineRule="exact"/>
              <w:jc w:val="center"/>
              <w:rPr>
                <w:rFonts w:ascii="宋体" w:hAnsi="宋体"/>
                <w:sz w:val="22"/>
                <w:szCs w:val="22"/>
              </w:rPr>
            </w:pPr>
            <w:r>
              <w:rPr>
                <w:rFonts w:ascii="宋体" w:hAnsi="宋体"/>
                <w:sz w:val="22"/>
                <w:szCs w:val="22"/>
              </w:rPr>
              <w:t>2.2</w:t>
            </w:r>
          </w:p>
        </w:tc>
        <w:tc>
          <w:tcPr>
            <w:tcW w:w="953" w:type="dxa"/>
            <w:vMerge w:val="restart"/>
            <w:vAlign w:val="center"/>
          </w:tcPr>
          <w:p w14:paraId="6267CB50">
            <w:pPr>
              <w:spacing w:line="440" w:lineRule="exact"/>
              <w:jc w:val="center"/>
              <w:rPr>
                <w:rFonts w:ascii="宋体" w:hAnsi="宋体"/>
                <w:sz w:val="22"/>
                <w:szCs w:val="22"/>
              </w:rPr>
            </w:pPr>
            <w:r>
              <w:rPr>
                <w:rFonts w:ascii="宋体" w:hAnsi="宋体"/>
                <w:sz w:val="22"/>
                <w:szCs w:val="22"/>
              </w:rPr>
              <w:t>详细评审标准</w:t>
            </w:r>
          </w:p>
        </w:tc>
        <w:tc>
          <w:tcPr>
            <w:tcW w:w="1260" w:type="dxa"/>
            <w:gridSpan w:val="2"/>
            <w:shd w:val="clear" w:color="auto" w:fill="auto"/>
            <w:vAlign w:val="center"/>
          </w:tcPr>
          <w:p w14:paraId="71566446">
            <w:pPr>
              <w:spacing w:line="360" w:lineRule="auto"/>
              <w:jc w:val="center"/>
              <w:rPr>
                <w:rFonts w:hint="eastAsia" w:ascii="宋体" w:hAnsi="宋体" w:eastAsia="宋体" w:cstheme="minorBidi"/>
                <w:b/>
                <w:kern w:val="2"/>
                <w:sz w:val="22"/>
                <w:szCs w:val="22"/>
                <w:lang w:val="en-US" w:eastAsia="zh-CN" w:bidi="ar-SA"/>
              </w:rPr>
            </w:pPr>
            <w:r>
              <w:rPr>
                <w:rFonts w:hint="eastAsia" w:ascii="宋体" w:hAnsi="宋体"/>
                <w:b/>
                <w:sz w:val="22"/>
                <w:szCs w:val="22"/>
              </w:rPr>
              <w:t>2.</w:t>
            </w:r>
            <w:r>
              <w:rPr>
                <w:rFonts w:ascii="宋体" w:hAnsi="宋体"/>
                <w:b/>
                <w:sz w:val="22"/>
                <w:szCs w:val="22"/>
              </w:rPr>
              <w:t>2</w:t>
            </w:r>
            <w:r>
              <w:rPr>
                <w:rFonts w:hint="eastAsia" w:ascii="宋体" w:hAnsi="宋体"/>
                <w:b/>
                <w:sz w:val="22"/>
                <w:szCs w:val="22"/>
              </w:rPr>
              <w:t>.1</w:t>
            </w:r>
          </w:p>
        </w:tc>
        <w:tc>
          <w:tcPr>
            <w:tcW w:w="1260" w:type="dxa"/>
            <w:shd w:val="clear" w:color="auto" w:fill="auto"/>
            <w:vAlign w:val="center"/>
          </w:tcPr>
          <w:p w14:paraId="227914A2">
            <w:pPr>
              <w:spacing w:line="360" w:lineRule="auto"/>
              <w:jc w:val="center"/>
              <w:rPr>
                <w:rFonts w:hint="eastAsia" w:ascii="宋体" w:hAnsi="宋体" w:eastAsia="宋体" w:cstheme="minorBidi"/>
                <w:kern w:val="2"/>
                <w:sz w:val="22"/>
                <w:szCs w:val="22"/>
                <w:lang w:val="en-US" w:eastAsia="zh-CN" w:bidi="ar-SA"/>
              </w:rPr>
            </w:pPr>
            <w:r>
              <w:rPr>
                <w:rFonts w:hint="eastAsia" w:ascii="宋体" w:hAnsi="宋体"/>
                <w:b/>
                <w:spacing w:val="1"/>
                <w:kern w:val="0"/>
                <w:sz w:val="22"/>
                <w:szCs w:val="22"/>
              </w:rPr>
              <w:t>投标报价初步评审</w:t>
            </w:r>
          </w:p>
        </w:tc>
        <w:tc>
          <w:tcPr>
            <w:tcW w:w="5679" w:type="dxa"/>
            <w:gridSpan w:val="2"/>
            <w:shd w:val="clear" w:color="auto" w:fill="auto"/>
            <w:vAlign w:val="center"/>
          </w:tcPr>
          <w:p w14:paraId="7FB10008">
            <w:pPr>
              <w:spacing w:line="360" w:lineRule="auto"/>
              <w:jc w:val="both"/>
              <w:rPr>
                <w:rFonts w:hint="eastAsia" w:ascii="宋体" w:hAnsi="宋体" w:cs="Arial"/>
                <w:color w:val="000000"/>
                <w:kern w:val="18"/>
                <w:sz w:val="22"/>
                <w:szCs w:val="22"/>
              </w:rPr>
            </w:pPr>
            <w:r>
              <w:rPr>
                <w:rFonts w:hint="eastAsia" w:ascii="宋体" w:hAnsi="宋体"/>
                <w:color w:val="000000"/>
                <w:sz w:val="22"/>
                <w:szCs w:val="22"/>
              </w:rPr>
              <w:t>评标委员会</w:t>
            </w:r>
            <w:r>
              <w:rPr>
                <w:rFonts w:hint="eastAsia" w:ascii="宋体" w:hAnsi="宋体" w:cs="Arial"/>
                <w:color w:val="000000"/>
                <w:kern w:val="18"/>
                <w:sz w:val="22"/>
                <w:szCs w:val="22"/>
              </w:rPr>
              <w:t>仅</w:t>
            </w:r>
            <w:r>
              <w:rPr>
                <w:rFonts w:ascii="宋体" w:hAnsi="宋体" w:cs="Arial"/>
                <w:color w:val="000000"/>
                <w:kern w:val="18"/>
                <w:sz w:val="22"/>
                <w:szCs w:val="22"/>
              </w:rPr>
              <w:t>对</w:t>
            </w:r>
            <w:r>
              <w:rPr>
                <w:rFonts w:hint="eastAsia" w:ascii="宋体" w:hAnsi="宋体" w:cs="Arial"/>
                <w:color w:val="000000"/>
                <w:kern w:val="18"/>
                <w:sz w:val="22"/>
                <w:szCs w:val="22"/>
              </w:rPr>
              <w:t>通过</w:t>
            </w:r>
            <w:r>
              <w:rPr>
                <w:rFonts w:ascii="宋体" w:hAnsi="宋体" w:cs="Arial"/>
                <w:color w:val="000000"/>
                <w:kern w:val="18"/>
                <w:sz w:val="22"/>
                <w:szCs w:val="22"/>
              </w:rPr>
              <w:t>投标文件</w:t>
            </w:r>
            <w:r>
              <w:rPr>
                <w:rFonts w:hint="eastAsia" w:ascii="宋体" w:hAnsi="宋体" w:cs="Arial"/>
                <w:color w:val="000000"/>
                <w:kern w:val="18"/>
                <w:sz w:val="22"/>
                <w:szCs w:val="22"/>
              </w:rPr>
              <w:t>形式评审、资格评审、响应性评审</w:t>
            </w:r>
            <w:r>
              <w:rPr>
                <w:rFonts w:hint="eastAsia" w:ascii="宋体" w:hAnsi="宋体" w:cs="Arial"/>
                <w:color w:val="000000"/>
                <w:kern w:val="18"/>
                <w:sz w:val="22"/>
                <w:szCs w:val="22"/>
                <w:lang w:eastAsia="zh-CN"/>
              </w:rPr>
              <w:t>、</w:t>
            </w:r>
            <w:r>
              <w:rPr>
                <w:rFonts w:hint="eastAsia" w:ascii="宋体" w:hAnsi="宋体"/>
                <w:sz w:val="22"/>
                <w:szCs w:val="22"/>
              </w:rPr>
              <w:t>施工组织设计和项目管理机构评审标准</w:t>
            </w:r>
            <w:r>
              <w:rPr>
                <w:rFonts w:hint="eastAsia" w:ascii="宋体" w:hAnsi="宋体" w:cs="Arial"/>
                <w:color w:val="000000"/>
                <w:kern w:val="18"/>
                <w:sz w:val="22"/>
                <w:szCs w:val="22"/>
              </w:rPr>
              <w:t>的投标文件进行投标报价初步评审。</w:t>
            </w:r>
          </w:p>
          <w:p w14:paraId="3B77439F">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一、投标人的投标报价文件有下列情形之一的，评标委员会应当否决其投标：</w:t>
            </w:r>
          </w:p>
          <w:p w14:paraId="209322B0">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（一）投标人投标函中填报的金额、投标报价文件中投标总价扉页的金额（修正前）超过招标文件中公布的最高投标限价的；</w:t>
            </w:r>
          </w:p>
          <w:p w14:paraId="46424756">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（二）造价人员未在投标报价文件扉页签字或盖章的；</w:t>
            </w:r>
          </w:p>
          <w:p w14:paraId="1499C535">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（三）投标人委托造价咨询企业编制投标报价文件，但投标文件中未附工程造价咨询委托合同的；</w:t>
            </w:r>
          </w:p>
          <w:p w14:paraId="0CE49D79">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四）投标人编制投标报价文件，签字及盖章的注册造价工程师，其注册单位与投标单位不一致的；投标人委托造价咨询企业编制投标报价文件，签字及盖章的注册造价工程师，其注册单位与被委托工程造价咨询企业不一致的；</w:t>
            </w:r>
          </w:p>
          <w:p w14:paraId="3E130AB1">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（五）投标报价文件（包括投标函）中的任何单价、合价或总价，不论大写金额或小写金额不唯一；</w:t>
            </w:r>
          </w:p>
          <w:p w14:paraId="64FAD856">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六)投标人遗漏对投标报价有实质性影响的表格，或者因投标人原因导致评标专家使用电子辅助评标软件无法打开计价软件生成的投标报价“CJZ文件”的，经评标委员会复查确认的。对投标报价无实质性影响或对招投标双方权益无影响的表格遗漏情形除外；</w:t>
            </w:r>
          </w:p>
          <w:p w14:paraId="79B35BB2">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（七）投标报价中分部分项工程项目清单中的项目编码、项目名称、项目特征（与招标人提供的工程量清单中的项目特征的实质性内容一致的除外）、计量单位、工程量与招标人提供的工程量清单不一致的；</w:t>
            </w:r>
          </w:p>
          <w:p w14:paraId="32CA3BC4">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（八）招标文件已明确各单位工程安全生产措施费金额并要求按此金额填报而投标人填报错误或未填报的，或投标人未按相关计价规定正确计取安全生产措施费的；</w:t>
            </w:r>
          </w:p>
          <w:p w14:paraId="11DFC098">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（九）招标文件已明确创优质工程奖补偿奖励费金额并要求按此金额填报而投标人填报错误或未填报的；</w:t>
            </w:r>
          </w:p>
          <w:p w14:paraId="2D1F9647">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（十）投标报价中暂列金额未按招标工程量清单中列明的金额填写的；</w:t>
            </w:r>
          </w:p>
          <w:p w14:paraId="63F40CA4">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（十一）投标报价中材料（工程设备）暂估价未按招标工程量清单中列出的单价计入综合单价的；</w:t>
            </w:r>
          </w:p>
          <w:p w14:paraId="027FE315">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（十二）投标报价中专业工程暂估价未按招标工程量清单中列明的金额填写的；</w:t>
            </w:r>
          </w:p>
          <w:p w14:paraId="5CEFA265">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（十三）投标报价中计日工未按招标工程量清单中列明的数量进行报价的；</w:t>
            </w:r>
          </w:p>
          <w:p w14:paraId="62DB1D00">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四）当招标文件中要求投标人对招标人提供材料、和（或）专业分包工程（投标人实施的除外）、和（或）招标人直接发包的专业工程提供相关服务时，投标人未填报总承包服务费的；或当招标文件中明确要求投标人填报总承包服务费费率，投标人未填报总承包服务费费率的；</w:t>
            </w:r>
          </w:p>
          <w:p w14:paraId="661DCA4F">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（十五）投标报价中应填报而未填报工程垃圾外运及处置费的；</w:t>
            </w:r>
          </w:p>
          <w:p w14:paraId="4C6EA2B7">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（十六）未响应招标文件中对投标人投标报价其他实质性要求的。</w:t>
            </w:r>
          </w:p>
          <w:p w14:paraId="5E746AA2">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二、评标委员会对清标中发现投标报价存在算术性错误的，应按以下方式修正投标报价：</w:t>
            </w:r>
          </w:p>
          <w:p w14:paraId="37039CAC">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（一）当综合单价与工程量（或计算基础金额与费率）的乘积与合价不一致时，以综合单价（或费率）为准修正合价及总价；</w:t>
            </w:r>
          </w:p>
          <w:p w14:paraId="705D0254">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（二）当各单项金额相加与其合计金额不一致时，以各单项金额为准修正相应合计金额及总价。</w:t>
            </w:r>
          </w:p>
          <w:p w14:paraId="29D85840">
            <w:pPr>
              <w:spacing w:line="360" w:lineRule="auto"/>
              <w:ind w:firstLine="420" w:firstLineChars="0"/>
              <w:rPr>
                <w:rFonts w:hint="eastAsia" w:ascii="宋体" w:hAnsi="宋体" w:eastAsia="宋体" w:cstheme="minorBidi"/>
                <w:b/>
                <w:kern w:val="2"/>
                <w:sz w:val="22"/>
                <w:szCs w:val="22"/>
                <w:lang w:val="en-US" w:eastAsia="zh-CN" w:bidi="ar-SA"/>
              </w:rPr>
            </w:pPr>
            <w:r>
              <w:rPr>
                <w:rFonts w:hint="eastAsia" w:ascii="宋体" w:hAnsi="宋体" w:cs="Times New Roman"/>
                <w:b w:val="0"/>
                <w:bCs w:val="0"/>
                <w:i w:val="0"/>
                <w:color w:val="000000"/>
                <w:highlight w:val="none"/>
              </w:rPr>
              <w:t>评标委员会修正后的价格经投标人书面确认后具有约束力。投标人不接受修正价格或修正后价格高于最高投标限价的，评标委员会应当否决其投标。</w:t>
            </w:r>
          </w:p>
        </w:tc>
      </w:tr>
      <w:tr w14:paraId="3A1B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14074AFC">
            <w:pPr>
              <w:spacing w:line="440" w:lineRule="exact"/>
              <w:jc w:val="center"/>
              <w:rPr>
                <w:rFonts w:ascii="宋体" w:hAnsi="宋体"/>
                <w:sz w:val="22"/>
                <w:szCs w:val="22"/>
              </w:rPr>
            </w:pPr>
          </w:p>
        </w:tc>
        <w:tc>
          <w:tcPr>
            <w:tcW w:w="953" w:type="dxa"/>
            <w:vMerge w:val="continue"/>
            <w:vAlign w:val="center"/>
          </w:tcPr>
          <w:p w14:paraId="7FA4E667">
            <w:pPr>
              <w:spacing w:line="440" w:lineRule="exact"/>
              <w:jc w:val="center"/>
              <w:rPr>
                <w:rFonts w:ascii="宋体" w:hAnsi="宋体"/>
                <w:sz w:val="22"/>
                <w:szCs w:val="22"/>
              </w:rPr>
            </w:pPr>
          </w:p>
        </w:tc>
        <w:tc>
          <w:tcPr>
            <w:tcW w:w="1260" w:type="dxa"/>
            <w:gridSpan w:val="2"/>
            <w:shd w:val="clear" w:color="auto" w:fill="auto"/>
            <w:vAlign w:val="center"/>
          </w:tcPr>
          <w:p w14:paraId="640A063E">
            <w:pPr>
              <w:spacing w:line="360" w:lineRule="auto"/>
              <w:jc w:val="center"/>
              <w:rPr>
                <w:rFonts w:hint="eastAsia" w:ascii="宋体" w:hAnsi="宋体" w:eastAsia="宋体" w:cstheme="minorBidi"/>
                <w:b/>
                <w:spacing w:val="1"/>
                <w:kern w:val="0"/>
                <w:sz w:val="22"/>
                <w:szCs w:val="22"/>
                <w:lang w:val="en-US" w:eastAsia="zh-CN" w:bidi="ar-SA"/>
              </w:rPr>
            </w:pPr>
            <w:r>
              <w:rPr>
                <w:rStyle w:val="22"/>
                <w:rFonts w:hint="eastAsia" w:ascii="宋体" w:hAnsi="宋体"/>
                <w:sz w:val="22"/>
                <w:szCs w:val="22"/>
              </w:rPr>
              <w:t>2.2.2</w:t>
            </w:r>
          </w:p>
        </w:tc>
        <w:tc>
          <w:tcPr>
            <w:tcW w:w="1260" w:type="dxa"/>
            <w:shd w:val="clear" w:color="auto" w:fill="auto"/>
            <w:vAlign w:val="center"/>
          </w:tcPr>
          <w:p w14:paraId="50BA5513">
            <w:pPr>
              <w:spacing w:line="360" w:lineRule="auto"/>
              <w:ind w:left="7" w:leftChars="3"/>
              <w:jc w:val="center"/>
              <w:rPr>
                <w:rFonts w:hint="eastAsia" w:ascii="宋体" w:hAnsi="宋体" w:eastAsia="宋体" w:cstheme="minorBidi"/>
                <w:b/>
                <w:spacing w:val="1"/>
                <w:kern w:val="0"/>
                <w:sz w:val="22"/>
                <w:szCs w:val="22"/>
                <w:lang w:val="en-US" w:eastAsia="zh-CN" w:bidi="ar-SA"/>
              </w:rPr>
            </w:pPr>
            <w:r>
              <w:rPr>
                <w:rFonts w:hint="eastAsia" w:ascii="宋体" w:hAnsi="宋体"/>
                <w:b/>
                <w:color w:val="000000"/>
                <w:sz w:val="22"/>
                <w:szCs w:val="22"/>
              </w:rPr>
              <w:t>投标报价详细评审</w:t>
            </w:r>
          </w:p>
        </w:tc>
        <w:tc>
          <w:tcPr>
            <w:tcW w:w="5679" w:type="dxa"/>
            <w:gridSpan w:val="2"/>
            <w:shd w:val="clear" w:color="auto" w:fill="auto"/>
            <w:vAlign w:val="center"/>
          </w:tcPr>
          <w:p w14:paraId="597EFD32">
            <w:pPr>
              <w:spacing w:line="380" w:lineRule="exact"/>
              <w:ind w:firstLine="442" w:firstLineChars="200"/>
              <w:rPr>
                <w:rFonts w:hint="eastAsia" w:ascii="宋体" w:hAnsi="宋体" w:cs="MingLiU"/>
                <w:b/>
                <w:color w:val="000000"/>
                <w:sz w:val="22"/>
                <w:szCs w:val="22"/>
              </w:rPr>
            </w:pPr>
            <w:r>
              <w:rPr>
                <w:rFonts w:hint="eastAsia" w:ascii="宋体" w:hAnsi="宋体" w:cs="MingLiU"/>
                <w:b/>
                <w:color w:val="000000"/>
                <w:sz w:val="22"/>
                <w:szCs w:val="22"/>
              </w:rPr>
              <w:t>评标委员会</w:t>
            </w:r>
            <w:r>
              <w:rPr>
                <w:rFonts w:ascii="宋体" w:hAnsi="宋体" w:cs="MingLiU"/>
                <w:b/>
                <w:color w:val="000000"/>
                <w:sz w:val="22"/>
                <w:szCs w:val="22"/>
              </w:rPr>
              <w:t>只对</w:t>
            </w:r>
            <w:r>
              <w:rPr>
                <w:rFonts w:hint="eastAsia" w:ascii="宋体" w:hAnsi="宋体" w:cs="MingLiU"/>
                <w:b/>
                <w:color w:val="000000"/>
                <w:sz w:val="22"/>
                <w:szCs w:val="22"/>
              </w:rPr>
              <w:t>经过初步评审未被否决投标的投标报价</w:t>
            </w:r>
            <w:r>
              <w:rPr>
                <w:rFonts w:ascii="宋体" w:hAnsi="宋体" w:cs="MingLiU"/>
                <w:b/>
                <w:color w:val="000000"/>
                <w:sz w:val="22"/>
                <w:szCs w:val="22"/>
              </w:rPr>
              <w:t>进行</w:t>
            </w:r>
            <w:r>
              <w:rPr>
                <w:rFonts w:hint="eastAsia" w:ascii="宋体" w:hAnsi="宋体" w:cs="MingLiU"/>
                <w:b/>
                <w:color w:val="000000"/>
                <w:sz w:val="22"/>
                <w:szCs w:val="22"/>
              </w:rPr>
              <w:t>详细</w:t>
            </w:r>
            <w:r>
              <w:rPr>
                <w:rFonts w:ascii="宋体" w:hAnsi="宋体" w:cs="MingLiU"/>
                <w:b/>
                <w:color w:val="000000"/>
                <w:sz w:val="22"/>
                <w:szCs w:val="22"/>
              </w:rPr>
              <w:t>评审。</w:t>
            </w:r>
          </w:p>
          <w:p w14:paraId="7DA1B226">
            <w:pPr>
              <w:spacing w:line="380" w:lineRule="exact"/>
              <w:ind w:firstLine="440" w:firstLineChars="200"/>
              <w:rPr>
                <w:rFonts w:hint="eastAsia" w:ascii="宋体" w:hAnsi="宋体" w:cs="MingLiU"/>
                <w:color w:val="000000"/>
                <w:szCs w:val="22"/>
              </w:rPr>
            </w:pPr>
            <w:r>
              <w:rPr>
                <w:rFonts w:hint="eastAsia" w:ascii="宋体" w:hAnsi="宋体" w:cs="MingLiU"/>
                <w:color w:val="000000"/>
                <w:sz w:val="22"/>
                <w:szCs w:val="22"/>
              </w:rPr>
              <w:t>投标报价详细评审的数据为通过投标报价初步评审的全部投标人修正后的投标报价数据（以下投标报价均指修正后的投标报价）</w:t>
            </w:r>
          </w:p>
          <w:p w14:paraId="690594E1">
            <w:pPr>
              <w:spacing w:line="380" w:lineRule="exact"/>
              <w:ind w:firstLine="440" w:firstLineChars="200"/>
              <w:rPr>
                <w:rFonts w:hint="eastAsia" w:ascii="宋体" w:hAnsi="宋体" w:eastAsia="宋体"/>
                <w:b/>
                <w:color w:val="000000"/>
                <w:kern w:val="18"/>
                <w:szCs w:val="22"/>
                <w:lang w:eastAsia="zh-CN"/>
              </w:rPr>
            </w:pPr>
            <w:r>
              <w:rPr>
                <w:rFonts w:hint="eastAsia"/>
              </w:rPr>
              <w:t>○</w:t>
            </w:r>
            <w:r>
              <w:rPr>
                <w:rFonts w:hint="eastAsia" w:ascii="宋体" w:hAnsi="宋体"/>
                <w:b/>
                <w:color w:val="000000"/>
                <w:kern w:val="18"/>
                <w:szCs w:val="22"/>
                <w:lang w:val="en-US" w:eastAsia="zh-CN"/>
              </w:rPr>
              <w:t>一、</w:t>
            </w:r>
            <w:r>
              <w:rPr>
                <w:rFonts w:hint="eastAsia" w:ascii="宋体" w:hAnsi="宋体"/>
                <w:b/>
                <w:color w:val="000000"/>
                <w:kern w:val="18"/>
                <w:szCs w:val="22"/>
              </w:rPr>
              <w:t>单价遗漏的评审</w:t>
            </w:r>
            <w:r>
              <w:rPr>
                <w:rFonts w:hint="eastAsia" w:ascii="宋体" w:hAnsi="宋体"/>
                <w:b/>
                <w:color w:val="FF0000"/>
                <w:kern w:val="18"/>
                <w:szCs w:val="22"/>
                <w:lang w:eastAsia="zh-CN"/>
              </w:rPr>
              <w:t>（招标清单</w:t>
            </w:r>
            <w:r>
              <w:rPr>
                <w:rFonts w:hint="eastAsia" w:ascii="宋体" w:hAnsi="宋体"/>
                <w:b/>
                <w:color w:val="FF0000"/>
                <w:kern w:val="18"/>
                <w:szCs w:val="22"/>
                <w:lang w:val="en-US" w:eastAsia="zh-CN"/>
              </w:rPr>
              <w:t>以PDF格式上传的适用</w:t>
            </w:r>
            <w:r>
              <w:rPr>
                <w:rFonts w:hint="eastAsia" w:ascii="宋体" w:hAnsi="宋体"/>
                <w:b/>
                <w:color w:val="FF0000"/>
                <w:kern w:val="18"/>
                <w:szCs w:val="22"/>
                <w:lang w:eastAsia="zh-CN"/>
              </w:rPr>
              <w:t>）</w:t>
            </w:r>
          </w:p>
          <w:p w14:paraId="7B3006AC">
            <w:pPr>
              <w:spacing w:line="380" w:lineRule="exact"/>
              <w:ind w:firstLine="440" w:firstLineChars="200"/>
            </w:pPr>
            <w:r>
              <w:rPr>
                <w:rFonts w:hint="eastAsia"/>
              </w:rPr>
              <w:t>（1）单价遗漏项目的确定</w:t>
            </w:r>
          </w:p>
          <w:p w14:paraId="09119BE4">
            <w:pPr>
              <w:spacing w:line="380" w:lineRule="exact"/>
              <w:ind w:firstLine="440" w:firstLineChars="200"/>
              <w:rPr>
                <w:rFonts w:hint="eastAsia" w:ascii="宋体" w:hAnsi="宋体" w:cs="MingLiU"/>
                <w:color w:val="000000"/>
                <w:szCs w:val="22"/>
              </w:rPr>
            </w:pPr>
            <w:r>
              <w:rPr>
                <w:rFonts w:hint="eastAsia" w:ascii="宋体" w:hAnsi="宋体" w:cs="MingLiU"/>
                <w:color w:val="000000"/>
                <w:szCs w:val="22"/>
              </w:rPr>
              <w:t>单价遗漏指分部分项工程量清单项目的单价遗漏。</w:t>
            </w:r>
          </w:p>
          <w:p w14:paraId="099BD5B8">
            <w:pPr>
              <w:spacing w:line="380" w:lineRule="exact"/>
              <w:ind w:firstLine="440" w:firstLineChars="200"/>
              <w:rPr>
                <w:rFonts w:hint="eastAsia" w:ascii="宋体" w:hAnsi="宋体" w:cs="MingLiU"/>
                <w:color w:val="000000"/>
                <w:szCs w:val="22"/>
              </w:rPr>
            </w:pPr>
            <w:r>
              <w:rPr>
                <w:rFonts w:hint="eastAsia" w:ascii="宋体" w:hAnsi="宋体" w:cs="MingLiU"/>
                <w:color w:val="000000"/>
                <w:szCs w:val="22"/>
              </w:rPr>
              <w:t>投标人对招标工程量清单中的分部分项工程量清单项目的单价未填报或填报为零的，视为单价遗漏。</w:t>
            </w:r>
          </w:p>
          <w:p w14:paraId="3C00CA07">
            <w:pPr>
              <w:spacing w:line="380" w:lineRule="exact"/>
              <w:ind w:firstLine="440" w:firstLineChars="200"/>
              <w:rPr>
                <w:rFonts w:hint="eastAsia" w:ascii="宋体" w:hAnsi="宋体" w:cs="MingLiU"/>
                <w:color w:val="000000"/>
                <w:szCs w:val="22"/>
              </w:rPr>
            </w:pPr>
            <w:r>
              <w:rPr>
                <w:rFonts w:hint="eastAsia" w:ascii="宋体" w:hAnsi="宋体" w:cs="MingLiU"/>
                <w:color w:val="000000"/>
                <w:szCs w:val="22"/>
              </w:rPr>
              <w:t>（2）单价遗漏项目金额计算</w:t>
            </w:r>
          </w:p>
          <w:p w14:paraId="0FCC88D7">
            <w:pPr>
              <w:spacing w:line="380" w:lineRule="exact"/>
              <w:ind w:firstLine="440" w:firstLineChars="200"/>
              <w:rPr>
                <w:rFonts w:hint="eastAsia" w:ascii="宋体" w:hAnsi="宋体" w:cs="MingLiU"/>
                <w:color w:val="000000"/>
                <w:szCs w:val="22"/>
              </w:rPr>
            </w:pPr>
            <w:r>
              <w:rPr>
                <w:rFonts w:hint="eastAsia" w:ascii="宋体" w:hAnsi="宋体" w:cs="MingLiU"/>
                <w:color w:val="000000"/>
                <w:szCs w:val="22"/>
              </w:rPr>
              <w:t>投标人单价遗漏项目的金额按照</w:t>
            </w:r>
            <w:r>
              <w:rPr>
                <w:rFonts w:hint="eastAsia" w:ascii="宋体" w:hAnsi="宋体" w:cs="MingLiU"/>
                <w:color w:val="000000"/>
                <w:szCs w:val="22"/>
                <w:lang w:eastAsia="zh-CN"/>
              </w:rPr>
              <w:t>最高投标限价</w:t>
            </w:r>
            <w:r>
              <w:rPr>
                <w:rFonts w:hint="eastAsia" w:ascii="宋体" w:hAnsi="宋体" w:cs="MingLiU"/>
                <w:color w:val="000000"/>
                <w:szCs w:val="22"/>
              </w:rPr>
              <w:t>相应项目的价格计算，即：投标人单价遗漏项目的金额=∑（投标人单价遗漏项目的工程量×</w:t>
            </w:r>
            <w:r>
              <w:rPr>
                <w:rFonts w:hint="eastAsia" w:ascii="宋体" w:hAnsi="宋体" w:cs="MingLiU"/>
                <w:color w:val="000000"/>
                <w:szCs w:val="22"/>
                <w:lang w:eastAsia="zh-CN"/>
              </w:rPr>
              <w:t>最高投标限价</w:t>
            </w:r>
            <w:r>
              <w:rPr>
                <w:rFonts w:hint="eastAsia" w:ascii="宋体" w:hAnsi="宋体" w:cs="MingLiU"/>
                <w:color w:val="000000"/>
                <w:szCs w:val="22"/>
              </w:rPr>
              <w:t>相应项目的综合单价）</w:t>
            </w:r>
          </w:p>
          <w:p w14:paraId="79B98046">
            <w:pPr>
              <w:spacing w:line="380" w:lineRule="exact"/>
              <w:ind w:firstLine="440" w:firstLineChars="200"/>
              <w:rPr>
                <w:rFonts w:hint="eastAsia" w:ascii="宋体" w:hAnsi="宋体" w:eastAsia="宋体" w:cs="MingLiU"/>
                <w:color w:val="000000"/>
                <w:szCs w:val="22"/>
                <w:lang w:val="en-US" w:eastAsia="zh-CN"/>
              </w:rPr>
            </w:pPr>
            <w:r>
              <w:rPr>
                <w:rFonts w:hint="eastAsia" w:ascii="宋体" w:hAnsi="宋体" w:cs="MingLiU"/>
                <w:color w:val="000000"/>
                <w:szCs w:val="22"/>
              </w:rPr>
              <w:t>（3）单价遗漏的处理：</w:t>
            </w:r>
          </w:p>
          <w:p w14:paraId="2DA4CE96">
            <w:pPr>
              <w:spacing w:line="380" w:lineRule="exact"/>
              <w:ind w:firstLineChars="200"/>
            </w:pPr>
            <w:r>
              <w:rPr>
                <w:rFonts w:hint="eastAsia"/>
              </w:rPr>
              <w:t>○投标人单价遗漏项目的金额超过其投标总价（修正后）的</w:t>
            </w:r>
            <w:r>
              <w:rPr>
                <w:rFonts w:hint="eastAsia"/>
                <w:lang w:val="en-US" w:eastAsia="zh-CN"/>
              </w:rPr>
              <w:t xml:space="preserve"> </w:t>
            </w:r>
            <w:r>
              <w:rPr>
                <w:rFonts w:hint="eastAsia"/>
                <w:u w:val="single"/>
              </w:rPr>
              <w:t xml:space="preserve">   </w:t>
            </w:r>
            <w:r>
              <w:rPr>
                <w:rFonts w:hint="eastAsia"/>
              </w:rPr>
              <w:t>(1～3%)时（具体偏差由招标人在招标文件中明确），评标委员会应否决其投标。</w:t>
            </w:r>
          </w:p>
          <w:p w14:paraId="2EBE3268">
            <w:pPr>
              <w:numPr>
                <w:ilvl w:val="-1"/>
                <w:numId w:val="0"/>
              </w:numPr>
              <w:spacing w:line="380" w:lineRule="exact"/>
              <w:ind w:firstLine="440" w:firstLineChars="200"/>
              <w:rPr>
                <w:rFonts w:hint="default" w:ascii="宋体" w:hAnsi="宋体" w:eastAsia="宋体" w:cs="MingLiU"/>
                <w:color w:val="000000"/>
                <w:szCs w:val="22"/>
                <w:lang w:val="en-US" w:eastAsia="zh-CN"/>
              </w:rPr>
            </w:pPr>
            <w:r>
              <w:rPr>
                <w:rFonts w:hint="eastAsia"/>
              </w:rPr>
              <w:t>○投标人单价遗漏项目视为投标人向招标人承诺单价遗漏项目免费，或视为其费用已分摊在工程量清单其他相关子目的单价（价格）之中。如中标，中标人应完成该项目，但该项目不得另行计价。</w:t>
            </w:r>
          </w:p>
          <w:p w14:paraId="7D56FAC9">
            <w:pPr>
              <w:spacing w:line="380" w:lineRule="exact"/>
              <w:ind w:firstLine="440" w:firstLineChars="200"/>
              <w:rPr>
                <w:rFonts w:hint="eastAsia" w:ascii="宋体" w:hAnsi="宋体"/>
                <w:b/>
                <w:color w:val="000000"/>
                <w:kern w:val="18"/>
                <w:sz w:val="22"/>
                <w:szCs w:val="22"/>
              </w:rPr>
            </w:pPr>
            <w:r>
              <w:rPr>
                <w:rFonts w:hint="eastAsia"/>
              </w:rPr>
              <w:t>○</w:t>
            </w:r>
            <w:r>
              <w:rPr>
                <w:rFonts w:hint="eastAsia" w:ascii="宋体" w:hAnsi="宋体"/>
                <w:b/>
                <w:color w:val="000000"/>
                <w:kern w:val="18"/>
                <w:szCs w:val="22"/>
              </w:rPr>
              <w:t>一、单价遗漏的评审</w:t>
            </w:r>
            <w:r>
              <w:rPr>
                <w:rFonts w:hint="eastAsia" w:ascii="宋体" w:hAnsi="宋体"/>
                <w:b w:val="0"/>
                <w:color w:val="FF0000"/>
                <w:szCs w:val="21"/>
                <w:lang w:eastAsia="zh-CN"/>
              </w:rPr>
              <w:t>（</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r>
              <w:rPr>
                <w:rFonts w:hint="eastAsia" w:ascii="宋体" w:hAnsi="宋体"/>
                <w:b w:val="0"/>
                <w:color w:val="FF0000"/>
                <w:szCs w:val="21"/>
                <w:lang w:eastAsia="zh-CN"/>
              </w:rPr>
              <w:t>）</w:t>
            </w:r>
          </w:p>
          <w:p w14:paraId="75206637">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（1）单价遗漏项目的确定</w:t>
            </w:r>
          </w:p>
          <w:p w14:paraId="73474352">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单价遗漏指分部分项工程项目清单的单价遗漏。</w:t>
            </w:r>
          </w:p>
          <w:p w14:paraId="583B738D">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投标人对招标工程量清单中的分部分项工程项目清单的单价未填报或填报为零的，视为单价遗漏。</w:t>
            </w:r>
          </w:p>
          <w:p w14:paraId="1F4A6C1C">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（2）单价遗漏项目金额计算</w:t>
            </w:r>
          </w:p>
          <w:p w14:paraId="5B7E0A45">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投标人单价遗漏项目的金额按照最高投标限价相应项目的价格计算，即：</w:t>
            </w:r>
          </w:p>
          <w:p w14:paraId="460BB69F">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投标人单价遗漏项目的金额=∑（投标人单价遗漏项目的工程量×最高投标限价相应项目的综合单价）</w:t>
            </w:r>
          </w:p>
          <w:p w14:paraId="1DA1C9E5">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（3）单价遗漏的处理：</w:t>
            </w:r>
          </w:p>
          <w:p w14:paraId="4276319E">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当投标人单价遗漏项目的金额超过其投标总价（修正后）的</w:t>
            </w:r>
            <w:r>
              <w:rPr>
                <w:rFonts w:hint="eastAsia" w:ascii="宋体" w:hAnsi="宋体" w:cs="MingLiU"/>
                <w:b w:val="0"/>
                <w:color w:val="000000"/>
                <w:sz w:val="22"/>
                <w:szCs w:val="22"/>
                <w:u w:val="single"/>
              </w:rPr>
              <w:t xml:space="preserve">    </w:t>
            </w:r>
            <w:r>
              <w:rPr>
                <w:rFonts w:hint="eastAsia" w:ascii="宋体" w:hAnsi="宋体" w:cs="MingLiU"/>
                <w:b w:val="0"/>
                <w:color w:val="FF0000"/>
                <w:sz w:val="22"/>
                <w:szCs w:val="22"/>
              </w:rPr>
              <w:t>(1%～3%)</w:t>
            </w:r>
            <w:r>
              <w:rPr>
                <w:rFonts w:hint="eastAsia" w:ascii="宋体" w:hAnsi="宋体" w:cs="MingLiU"/>
                <w:b w:val="0"/>
                <w:color w:val="000000"/>
                <w:sz w:val="22"/>
                <w:szCs w:val="22"/>
              </w:rPr>
              <w:t>时（具体偏差由招标人在招标文件中明确），评标委员会应当否决其投标。</w:t>
            </w:r>
          </w:p>
          <w:p w14:paraId="687CAB30">
            <w:pPr>
              <w:spacing w:line="380" w:lineRule="exact"/>
              <w:ind w:firstLine="440" w:firstLineChars="200"/>
              <w:rPr>
                <w:rFonts w:hint="eastAsia" w:ascii="宋体" w:hAnsi="宋体" w:cs="MingLiU"/>
                <w:b w:val="0"/>
                <w:color w:val="000000"/>
                <w:sz w:val="22"/>
                <w:szCs w:val="22"/>
              </w:rPr>
            </w:pPr>
            <w:r>
              <w:rPr>
                <w:rFonts w:hint="eastAsia" w:ascii="宋体" w:hAnsi="宋体" w:cs="MingLiU"/>
                <w:b w:val="0"/>
                <w:color w:val="000000"/>
                <w:sz w:val="22"/>
                <w:szCs w:val="22"/>
              </w:rPr>
              <w:t>当投标人单价遗漏项目的金额未超过其投标总价（修正后）的</w:t>
            </w:r>
            <w:r>
              <w:rPr>
                <w:rFonts w:hint="eastAsia" w:ascii="宋体" w:hAnsi="宋体" w:cs="MingLiU"/>
                <w:b w:val="0"/>
                <w:color w:val="000000"/>
                <w:sz w:val="22"/>
                <w:szCs w:val="22"/>
                <w:u w:val="single"/>
              </w:rPr>
              <w:t xml:space="preserve">    </w:t>
            </w:r>
            <w:r>
              <w:rPr>
                <w:rFonts w:hint="eastAsia" w:ascii="宋体" w:hAnsi="宋体" w:cs="MingLiU"/>
                <w:b w:val="0"/>
                <w:color w:val="FF0000"/>
                <w:sz w:val="22"/>
                <w:szCs w:val="22"/>
              </w:rPr>
              <w:t>(1%～3%)</w:t>
            </w:r>
            <w:r>
              <w:rPr>
                <w:rFonts w:hint="eastAsia" w:ascii="宋体" w:hAnsi="宋体" w:cs="MingLiU"/>
                <w:b w:val="0"/>
                <w:color w:val="000000"/>
                <w:sz w:val="22"/>
                <w:szCs w:val="22"/>
              </w:rPr>
              <w:t>时（具体偏差由招标人在招标文件中明确），视为投标人向招标人承诺单价遗漏项目不计费，或视为其费用已分摊在工程量清单其他相关子目的单价（价格）之中。</w:t>
            </w:r>
          </w:p>
          <w:p w14:paraId="13C9A256">
            <w:pPr>
              <w:spacing w:line="380" w:lineRule="exact"/>
              <w:ind w:firstLine="442" w:firstLineChars="200"/>
              <w:rPr>
                <w:rFonts w:hint="eastAsia" w:ascii="宋体" w:hAnsi="宋体" w:cs="MingLiU"/>
                <w:b/>
                <w:color w:val="000000"/>
                <w:sz w:val="22"/>
                <w:szCs w:val="22"/>
              </w:rPr>
            </w:pPr>
            <w:r>
              <w:rPr>
                <w:rFonts w:hint="eastAsia" w:ascii="宋体" w:hAnsi="宋体" w:cs="MingLiU"/>
                <w:b/>
                <w:color w:val="000000"/>
                <w:sz w:val="22"/>
                <w:szCs w:val="22"/>
              </w:rPr>
              <w:t>二、综合单价评审</w:t>
            </w:r>
          </w:p>
          <w:p w14:paraId="56C15762">
            <w:pPr>
              <w:spacing w:line="38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招标人应在招标文件中附所需要评审的主要材料（工程设备）表，并明确品种、规格、质量档次等必需信息。</w:t>
            </w:r>
          </w:p>
          <w:p w14:paraId="0F5ADF63">
            <w:pPr>
              <w:spacing w:line="38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（1）综合单价中的主要材料（工程设备）消耗量明显不合理时，评标委员会应向投标人提出询问。</w:t>
            </w:r>
          </w:p>
          <w:p w14:paraId="0C3E6B03">
            <w:pPr>
              <w:spacing w:line="38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（2）综合单价中的主要材料（工程设备）单价明显不合理时，评标委员会应向投标人提出询问。</w:t>
            </w:r>
          </w:p>
          <w:p w14:paraId="5D29049F">
            <w:pPr>
              <w:spacing w:line="380" w:lineRule="exact"/>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投标人对评标委员会提出的询问不能说明理由或评标委员会经评审认为其理由不成立的，评标委员会应否决其投标。</w:t>
            </w:r>
          </w:p>
          <w:p w14:paraId="5003C907">
            <w:pPr>
              <w:spacing w:line="380" w:lineRule="exact"/>
              <w:ind w:firstLine="440" w:firstLineChars="200"/>
              <w:rPr>
                <w:rFonts w:hint="eastAsia" w:ascii="宋体" w:hAnsi="宋体" w:cs="MingLiU"/>
                <w:b/>
                <w:color w:val="000000"/>
                <w:sz w:val="22"/>
                <w:szCs w:val="22"/>
              </w:rPr>
            </w:pPr>
            <w:r>
              <w:rPr>
                <w:rFonts w:hint="eastAsia" w:ascii="宋体" w:hAnsi="宋体"/>
                <w:color w:val="auto"/>
                <w:sz w:val="22"/>
                <w:szCs w:val="22"/>
                <w:highlight w:val="none"/>
              </w:rPr>
              <w:t>□</w:t>
            </w:r>
            <w:r>
              <w:rPr>
                <w:rFonts w:hint="eastAsia" w:ascii="宋体" w:hAnsi="宋体" w:cs="MingLiU"/>
                <w:b/>
                <w:color w:val="000000"/>
                <w:sz w:val="22"/>
                <w:szCs w:val="22"/>
              </w:rPr>
              <w:t>三、不平衡报价评审</w:t>
            </w:r>
            <w:r>
              <w:rPr>
                <w:rFonts w:hint="eastAsia" w:ascii="宋体" w:hAnsi="宋体"/>
                <w:b w:val="0"/>
                <w:color w:val="FF0000"/>
                <w:szCs w:val="21"/>
                <w:lang w:eastAsia="zh-CN"/>
              </w:rPr>
              <w:t>（</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r>
              <w:rPr>
                <w:rFonts w:hint="eastAsia" w:ascii="宋体" w:hAnsi="宋体"/>
                <w:b w:val="0"/>
                <w:color w:val="FF0000"/>
                <w:szCs w:val="21"/>
                <w:lang w:eastAsia="zh-CN"/>
              </w:rPr>
              <w:t>）</w:t>
            </w:r>
          </w:p>
          <w:p w14:paraId="78B20BF7">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不平衡报价项目包含分部分项工程项目清单综合单价项目和措施项目。</w:t>
            </w:r>
          </w:p>
          <w:p w14:paraId="7425E1DE">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1. 分部分项工程项目清单综合单价项目不平衡报价的确定：</w:t>
            </w:r>
          </w:p>
          <w:p w14:paraId="39356F3C">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（1）当投标人的某分部分项工程项目清单综合单价低于或高于最高投标限价相应项目综合单价</w:t>
            </w:r>
            <w:r>
              <w:rPr>
                <w:rFonts w:hint="eastAsia" w:ascii="宋体" w:hAnsi="宋体" w:cs="MingLiU"/>
                <w:b w:val="0"/>
                <w:color w:val="000000"/>
                <w:sz w:val="22"/>
                <w:szCs w:val="22"/>
                <w:u w:val="single"/>
              </w:rPr>
              <w:t xml:space="preserve">    </w:t>
            </w:r>
            <w:r>
              <w:rPr>
                <w:rFonts w:hint="eastAsia" w:ascii="宋体" w:hAnsi="宋体" w:cs="MingLiU"/>
                <w:color w:val="FF0000"/>
                <w:sz w:val="22"/>
                <w:szCs w:val="22"/>
              </w:rPr>
              <w:t>(15%～25%)</w:t>
            </w:r>
            <w:r>
              <w:rPr>
                <w:rFonts w:hint="eastAsia" w:ascii="宋体" w:hAnsi="宋体" w:cs="MingLiU"/>
                <w:color w:val="000000"/>
                <w:sz w:val="22"/>
                <w:szCs w:val="22"/>
              </w:rPr>
              <w:t>时</w:t>
            </w:r>
            <w:r>
              <w:rPr>
                <w:rFonts w:hint="eastAsia" w:ascii="宋体" w:hAnsi="宋体" w:cs="MingLiU"/>
                <w:color w:val="FF0000"/>
                <w:sz w:val="22"/>
                <w:szCs w:val="22"/>
              </w:rPr>
              <w:t>（具体偏差幅度由招标人在招标文件中明确）</w:t>
            </w:r>
            <w:r>
              <w:rPr>
                <w:rFonts w:hint="eastAsia" w:ascii="宋体" w:hAnsi="宋体" w:cs="MingLiU"/>
                <w:color w:val="000000"/>
                <w:sz w:val="22"/>
                <w:szCs w:val="22"/>
              </w:rPr>
              <w:t>，该项目的报价视为不平衡报价。</w:t>
            </w:r>
          </w:p>
          <w:p w14:paraId="2EEC9567">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2）当综合单价项目的报价与投标人采取的施工方式、方法（如土石方的开挖方式、运输距离，回填土石方的取得方式及运距等类似项目）相关联时，若投标人该类项目的综合单价低于或高于最高投标限价相应项目综合单价</w:t>
            </w:r>
            <w:r>
              <w:rPr>
                <w:rFonts w:hint="eastAsia" w:ascii="宋体" w:hAnsi="宋体" w:cs="MingLiU"/>
                <w:b w:val="0"/>
                <w:color w:val="000000"/>
                <w:sz w:val="22"/>
                <w:szCs w:val="22"/>
                <w:u w:val="single"/>
              </w:rPr>
              <w:t xml:space="preserve">    </w:t>
            </w:r>
            <w:r>
              <w:rPr>
                <w:rFonts w:hint="eastAsia" w:ascii="宋体" w:hAnsi="宋体" w:cs="MingLiU"/>
                <w:color w:val="FF0000"/>
                <w:sz w:val="22"/>
                <w:szCs w:val="22"/>
              </w:rPr>
              <w:t>(20%～30%)</w:t>
            </w:r>
            <w:r>
              <w:rPr>
                <w:rFonts w:hint="eastAsia" w:ascii="宋体" w:hAnsi="宋体" w:cs="MingLiU"/>
                <w:color w:val="000000"/>
                <w:sz w:val="22"/>
                <w:szCs w:val="22"/>
              </w:rPr>
              <w:t>时</w:t>
            </w:r>
            <w:r>
              <w:rPr>
                <w:rFonts w:hint="eastAsia" w:ascii="宋体" w:hAnsi="宋体" w:cs="MingLiU"/>
                <w:color w:val="FF0000"/>
                <w:sz w:val="22"/>
                <w:szCs w:val="22"/>
              </w:rPr>
              <w:t>（具体偏差由招标人在招标文件中明确）</w:t>
            </w:r>
            <w:r>
              <w:rPr>
                <w:rFonts w:hint="eastAsia" w:ascii="宋体" w:hAnsi="宋体" w:cs="MingLiU"/>
                <w:color w:val="000000"/>
                <w:sz w:val="22"/>
                <w:szCs w:val="22"/>
              </w:rPr>
              <w:t>，投标人应在投标报价中对该类综合单价组成作出专门说明，并在施工组织设计中编制相应的施工方式、方法。该类项目的报价是否视为不平衡报价按下列方式确定。</w:t>
            </w:r>
          </w:p>
          <w:p w14:paraId="2F36004B">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①投标人在投标报价中未作出说明或其说明明显不合理的，视为不平衡报价；</w:t>
            </w:r>
          </w:p>
          <w:p w14:paraId="711D1B1C">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②投标人在其施工组织设计中未编制相应的施工方式、方法的，视为不平衡报价；</w:t>
            </w:r>
          </w:p>
          <w:p w14:paraId="6CCAC454">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③综合单价的组成与其施工组织设计内容不对应或评标委员会经评审认为其综合单价组成不合理的，视为不平衡报价。</w:t>
            </w:r>
          </w:p>
          <w:p w14:paraId="40E24DA8">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2.措施项目不平衡报价的确定</w:t>
            </w:r>
          </w:p>
          <w:p w14:paraId="54D95C5D">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当投标人措施项目（安全生产措施费除外）总价低于或高于最高投标限价相应价格</w:t>
            </w:r>
            <w:r>
              <w:rPr>
                <w:rFonts w:hint="eastAsia" w:ascii="宋体" w:hAnsi="宋体" w:cs="MingLiU"/>
                <w:b w:val="0"/>
                <w:color w:val="000000"/>
                <w:sz w:val="22"/>
                <w:szCs w:val="22"/>
                <w:u w:val="single"/>
              </w:rPr>
              <w:t xml:space="preserve">    </w:t>
            </w:r>
            <w:r>
              <w:rPr>
                <w:rFonts w:hint="eastAsia" w:ascii="宋体" w:hAnsi="宋体" w:cs="MingLiU"/>
                <w:color w:val="000000"/>
                <w:sz w:val="22"/>
                <w:szCs w:val="22"/>
              </w:rPr>
              <w:t>(25%～35%)时（对于措施项目费用占工程总造价比例较大的工程项目，上述偏差幅度可适当放宽，具体偏差由招标人在招标文件中明确），该措施项目报价视为不平衡报价。3、不平衡报价项目金额计算：</w:t>
            </w:r>
          </w:p>
          <w:p w14:paraId="7191D4B3">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投标人不平衡报价项目的金额=∑（确定为不平衡报价的分部分项工程项目清单的最高投标限价相应综合单价×相应工程量）+确定为不平衡报价的措施项目的最高投标限价相应总价（安全生产措施费除外）</w:t>
            </w:r>
          </w:p>
          <w:p w14:paraId="29327800">
            <w:pPr>
              <w:spacing w:line="380" w:lineRule="exact"/>
              <w:ind w:firstLine="440" w:firstLineChars="200"/>
              <w:jc w:val="left"/>
              <w:rPr>
                <w:rFonts w:hint="eastAsia" w:ascii="宋体" w:hAnsi="宋体" w:cs="MingLiU"/>
                <w:color w:val="000000"/>
                <w:sz w:val="22"/>
                <w:szCs w:val="22"/>
              </w:rPr>
            </w:pPr>
            <w:r>
              <w:rPr>
                <w:rFonts w:hint="eastAsia" w:ascii="宋体" w:hAnsi="宋体" w:cs="MingLiU"/>
                <w:color w:val="000000"/>
                <w:sz w:val="22"/>
                <w:szCs w:val="22"/>
              </w:rPr>
              <w:t xml:space="preserve">注：不平衡报价项目金额既有正值也有负值时，不平衡报价项目金额不品迭计算，均以绝对值相加计算。4、不平衡报价的处理：  </w:t>
            </w:r>
          </w:p>
          <w:p w14:paraId="008709D3">
            <w:pPr>
              <w:spacing w:line="380" w:lineRule="exact"/>
              <w:ind w:firstLine="440" w:firstLineChars="200"/>
              <w:jc w:val="left"/>
              <w:rPr>
                <w:rFonts w:hint="eastAsia" w:ascii="宋体" w:hAnsi="宋体" w:cs="MingLiU"/>
                <w:b w:val="0"/>
                <w:bCs w:val="0"/>
                <w:i w:val="0"/>
                <w:color w:val="000000"/>
                <w:kern w:val="0"/>
                <w:szCs w:val="21"/>
                <w:highlight w:val="none"/>
              </w:rPr>
            </w:pPr>
            <w:r>
              <w:rPr>
                <w:rFonts w:hint="eastAsia" w:ascii="宋体" w:hAnsi="宋体" w:cs="MingLiU"/>
                <w:b w:val="0"/>
                <w:bCs w:val="0"/>
                <w:i w:val="0"/>
                <w:color w:val="000000"/>
                <w:kern w:val="0"/>
                <w:szCs w:val="21"/>
                <w:highlight w:val="none"/>
              </w:rPr>
              <w:t>①当投标人不平衡报价项目的金额超过最高投标限价的</w:t>
            </w:r>
            <w:r>
              <w:rPr>
                <w:rFonts w:hint="eastAsia" w:ascii="宋体" w:hAnsi="宋体" w:cs="MingLiU"/>
                <w:b w:val="0"/>
                <w:bCs w:val="0"/>
                <w:i w:val="0"/>
                <w:color w:val="000000"/>
                <w:kern w:val="0"/>
                <w:szCs w:val="21"/>
                <w:highlight w:val="none"/>
                <w:u w:val="single"/>
              </w:rPr>
              <w:t xml:space="preserve">       </w:t>
            </w:r>
            <w:r>
              <w:rPr>
                <w:rFonts w:hint="eastAsia" w:ascii="宋体" w:hAnsi="宋体" w:cs="MingLiU"/>
                <w:b w:val="0"/>
                <w:bCs w:val="0"/>
                <w:i w:val="0"/>
                <w:color w:val="FF0000"/>
                <w:kern w:val="0"/>
                <w:szCs w:val="21"/>
                <w:highlight w:val="none"/>
              </w:rPr>
              <w:t>(10</w:t>
            </w:r>
            <w:r>
              <w:rPr>
                <w:rFonts w:hint="eastAsia" w:ascii="宋体" w:hAnsi="宋体" w:cs="MingLiU"/>
                <w:b w:val="0"/>
                <w:bCs w:val="0"/>
                <w:i w:val="0"/>
                <w:color w:val="FF0000"/>
                <w:highlight w:val="none"/>
              </w:rPr>
              <w:t>%</w:t>
            </w:r>
            <w:r>
              <w:rPr>
                <w:rFonts w:hint="eastAsia" w:ascii="宋体" w:hAnsi="宋体" w:cs="MingLiU"/>
                <w:b w:val="0"/>
                <w:bCs w:val="0"/>
                <w:i w:val="0"/>
                <w:color w:val="FF0000"/>
                <w:kern w:val="0"/>
                <w:szCs w:val="21"/>
                <w:highlight w:val="none"/>
              </w:rPr>
              <w:t>～20%)（具体幅度由招标人在招标文件中明确）</w:t>
            </w:r>
            <w:r>
              <w:rPr>
                <w:rFonts w:hint="eastAsia" w:ascii="宋体" w:hAnsi="宋体" w:cs="MingLiU"/>
                <w:b w:val="0"/>
                <w:bCs w:val="0"/>
                <w:i w:val="0"/>
                <w:color w:val="000000"/>
                <w:kern w:val="0"/>
                <w:szCs w:val="21"/>
                <w:highlight w:val="none"/>
              </w:rPr>
              <w:t>时，</w:t>
            </w:r>
            <w:r>
              <w:rPr>
                <w:rFonts w:hint="eastAsia" w:ascii="宋体" w:hAnsi="宋体" w:cs="Times New Roman"/>
                <w:b w:val="0"/>
                <w:bCs w:val="0"/>
                <w:i w:val="0"/>
                <w:color w:val="000000"/>
                <w:highlight w:val="none"/>
              </w:rPr>
              <w:t>评标委员会</w:t>
            </w:r>
            <w:r>
              <w:rPr>
                <w:rFonts w:hint="eastAsia" w:ascii="宋体" w:hAnsi="宋体" w:cs="MingLiU"/>
                <w:b w:val="0"/>
                <w:bCs w:val="0"/>
                <w:i w:val="0"/>
                <w:color w:val="000000"/>
                <w:kern w:val="0"/>
                <w:szCs w:val="21"/>
                <w:highlight w:val="none"/>
              </w:rPr>
              <w:t>应当否决其投标。</w:t>
            </w:r>
          </w:p>
          <w:p w14:paraId="3248D8DB">
            <w:pPr>
              <w:spacing w:line="380" w:lineRule="exact"/>
              <w:ind w:firstLine="440" w:firstLineChars="200"/>
              <w:rPr>
                <w:rFonts w:hint="eastAsia" w:eastAsia="宋体" w:asciiTheme="minorAscii" w:hAnsiTheme="minorAscii" w:cstheme="minorBidi"/>
                <w:color w:val="000000"/>
                <w:kern w:val="2"/>
                <w:sz w:val="22"/>
                <w:szCs w:val="22"/>
                <w:lang w:val="en-US" w:eastAsia="zh-CN" w:bidi="ar-SA"/>
              </w:rPr>
            </w:pPr>
            <w:r>
              <w:rPr>
                <w:rFonts w:hint="eastAsia" w:ascii="宋体" w:hAnsi="宋体" w:cs="MingLiU"/>
                <w:b w:val="0"/>
                <w:bCs w:val="0"/>
                <w:i w:val="0"/>
                <w:color w:val="000000"/>
                <w:kern w:val="0"/>
                <w:szCs w:val="21"/>
                <w:highlight w:val="none"/>
              </w:rPr>
              <w:t>②当投标人不平衡报价项目的金额未超过</w:t>
            </w:r>
            <w:r>
              <w:rPr>
                <w:rFonts w:hint="eastAsia" w:ascii="宋体" w:hAnsi="宋体" w:cs="MingLiU"/>
                <w:b w:val="0"/>
                <w:bCs w:val="0"/>
                <w:i w:val="0"/>
                <w:color w:val="000000"/>
                <w:highlight w:val="none"/>
              </w:rPr>
              <w:t>最高投标限价</w:t>
            </w:r>
            <w:r>
              <w:rPr>
                <w:rFonts w:hint="eastAsia" w:ascii="宋体" w:hAnsi="宋体" w:cs="MingLiU"/>
                <w:b w:val="0"/>
                <w:bCs w:val="0"/>
                <w:i w:val="0"/>
                <w:color w:val="000000"/>
                <w:kern w:val="0"/>
                <w:szCs w:val="21"/>
                <w:highlight w:val="none"/>
              </w:rPr>
              <w:t>的</w:t>
            </w:r>
            <w:r>
              <w:rPr>
                <w:rFonts w:hint="eastAsia" w:ascii="宋体" w:hAnsi="宋体" w:cs="MingLiU"/>
                <w:b w:val="0"/>
                <w:bCs w:val="0"/>
                <w:i w:val="0"/>
                <w:color w:val="000000"/>
                <w:kern w:val="0"/>
                <w:szCs w:val="21"/>
                <w:highlight w:val="none"/>
                <w:u w:val="single"/>
              </w:rPr>
              <w:t xml:space="preserve">     </w:t>
            </w:r>
            <w:r>
              <w:rPr>
                <w:rFonts w:hint="eastAsia" w:ascii="宋体" w:hAnsi="宋体" w:cs="MingLiU"/>
                <w:b w:val="0"/>
                <w:bCs w:val="0"/>
                <w:i w:val="0"/>
                <w:color w:val="FF0000"/>
                <w:kern w:val="0"/>
                <w:szCs w:val="21"/>
                <w:highlight w:val="none"/>
              </w:rPr>
              <w:t>(10</w:t>
            </w:r>
            <w:r>
              <w:rPr>
                <w:rFonts w:hint="eastAsia" w:ascii="宋体" w:hAnsi="宋体" w:cs="MingLiU"/>
                <w:b w:val="0"/>
                <w:bCs w:val="0"/>
                <w:i w:val="0"/>
                <w:color w:val="FF0000"/>
                <w:highlight w:val="none"/>
              </w:rPr>
              <w:t>%</w:t>
            </w:r>
            <w:r>
              <w:rPr>
                <w:rFonts w:hint="eastAsia" w:ascii="宋体" w:hAnsi="宋体" w:cs="MingLiU"/>
                <w:b w:val="0"/>
                <w:bCs w:val="0"/>
                <w:i w:val="0"/>
                <w:color w:val="FF0000"/>
                <w:kern w:val="0"/>
                <w:szCs w:val="21"/>
                <w:highlight w:val="none"/>
              </w:rPr>
              <w:t>～20%)（具体幅度由招标人在招标文件中明确）</w:t>
            </w:r>
            <w:r>
              <w:rPr>
                <w:rFonts w:hint="eastAsia" w:ascii="宋体" w:hAnsi="宋体" w:cs="MingLiU"/>
                <w:b w:val="0"/>
                <w:bCs w:val="0"/>
                <w:i w:val="0"/>
                <w:color w:val="000000"/>
                <w:kern w:val="0"/>
                <w:szCs w:val="21"/>
                <w:highlight w:val="none"/>
              </w:rPr>
              <w:t>时，</w:t>
            </w:r>
            <w:r>
              <w:rPr>
                <w:rFonts w:hint="eastAsia" w:ascii="宋体" w:hAnsi="宋体" w:cs="Times New Roman"/>
                <w:b w:val="0"/>
                <w:bCs w:val="0"/>
                <w:i w:val="0"/>
                <w:color w:val="000000"/>
                <w:highlight w:val="none"/>
              </w:rPr>
              <w:t>评标委员会</w:t>
            </w:r>
            <w:r>
              <w:rPr>
                <w:rFonts w:hint="eastAsia" w:ascii="宋体" w:hAnsi="宋体" w:cs="MingLiU"/>
                <w:b w:val="0"/>
                <w:bCs w:val="0"/>
                <w:i w:val="0"/>
                <w:color w:val="000000"/>
                <w:kern w:val="0"/>
                <w:szCs w:val="21"/>
                <w:highlight w:val="none"/>
              </w:rPr>
              <w:t>应在评标报告中记录，</w:t>
            </w:r>
            <w:r>
              <w:rPr>
                <w:rFonts w:hint="eastAsia" w:ascii="宋体" w:hAnsi="宋体" w:cs="MingLiU"/>
                <w:b w:val="0"/>
                <w:bCs w:val="0"/>
                <w:i w:val="0"/>
                <w:color w:val="000000"/>
                <w:kern w:val="0"/>
                <w:szCs w:val="21"/>
                <w:highlight w:val="none"/>
                <w:lang w:val="en-US" w:eastAsia="zh-CN"/>
              </w:rPr>
              <w:t>提示</w:t>
            </w:r>
            <w:r>
              <w:rPr>
                <w:rFonts w:hint="eastAsia" w:ascii="宋体" w:hAnsi="宋体" w:cs="MingLiU"/>
                <w:b w:val="0"/>
                <w:bCs w:val="0"/>
                <w:i w:val="0"/>
                <w:color w:val="000000"/>
                <w:kern w:val="0"/>
                <w:szCs w:val="21"/>
                <w:highlight w:val="none"/>
              </w:rPr>
              <w:t>招标人在签订合同中的注意事项，并在施工过程中加强风险防范。</w:t>
            </w:r>
          </w:p>
        </w:tc>
      </w:tr>
      <w:tr w14:paraId="3479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6B4CFF6F">
            <w:pPr>
              <w:spacing w:line="440" w:lineRule="exact"/>
              <w:jc w:val="center"/>
              <w:rPr>
                <w:rFonts w:ascii="宋体" w:hAnsi="宋体"/>
                <w:sz w:val="22"/>
                <w:szCs w:val="22"/>
              </w:rPr>
            </w:pPr>
          </w:p>
        </w:tc>
        <w:tc>
          <w:tcPr>
            <w:tcW w:w="953" w:type="dxa"/>
            <w:vMerge w:val="continue"/>
            <w:vAlign w:val="center"/>
          </w:tcPr>
          <w:p w14:paraId="03E65A83">
            <w:pPr>
              <w:spacing w:line="440" w:lineRule="exact"/>
              <w:jc w:val="center"/>
              <w:rPr>
                <w:rFonts w:ascii="宋体" w:hAnsi="宋体"/>
                <w:sz w:val="22"/>
                <w:szCs w:val="22"/>
              </w:rPr>
            </w:pPr>
          </w:p>
        </w:tc>
        <w:tc>
          <w:tcPr>
            <w:tcW w:w="1260" w:type="dxa"/>
            <w:gridSpan w:val="2"/>
            <w:shd w:val="clear" w:color="auto" w:fill="auto"/>
            <w:vAlign w:val="center"/>
          </w:tcPr>
          <w:p w14:paraId="5CD0A1F0">
            <w:pPr>
              <w:spacing w:line="360" w:lineRule="auto"/>
              <w:jc w:val="center"/>
              <w:rPr>
                <w:rFonts w:hint="eastAsia" w:ascii="宋体" w:hAnsi="宋体" w:eastAsia="宋体" w:cstheme="minorBidi"/>
                <w:b/>
                <w:spacing w:val="1"/>
                <w:kern w:val="0"/>
                <w:sz w:val="22"/>
                <w:szCs w:val="22"/>
                <w:lang w:val="en-US" w:eastAsia="zh-CN" w:bidi="ar-SA"/>
              </w:rPr>
            </w:pPr>
            <w:r>
              <w:rPr>
                <w:rFonts w:hint="eastAsia" w:ascii="宋体" w:hAnsi="宋体" w:cs="MingLiU"/>
                <w:b/>
                <w:kern w:val="0"/>
                <w:sz w:val="22"/>
                <w:szCs w:val="22"/>
              </w:rPr>
              <w:t>2.2.3</w:t>
            </w:r>
          </w:p>
        </w:tc>
        <w:tc>
          <w:tcPr>
            <w:tcW w:w="1260" w:type="dxa"/>
            <w:shd w:val="clear" w:color="auto" w:fill="auto"/>
            <w:vAlign w:val="center"/>
          </w:tcPr>
          <w:p w14:paraId="115B983F">
            <w:pPr>
              <w:spacing w:line="360" w:lineRule="auto"/>
              <w:ind w:left="-18" w:leftChars="-8"/>
              <w:jc w:val="center"/>
              <w:rPr>
                <w:rFonts w:hint="eastAsia" w:ascii="宋体" w:hAnsi="宋体" w:eastAsia="宋体" w:cstheme="minorBidi"/>
                <w:b/>
                <w:spacing w:val="1"/>
                <w:kern w:val="0"/>
                <w:sz w:val="22"/>
                <w:szCs w:val="22"/>
                <w:lang w:val="en-US" w:eastAsia="zh-CN" w:bidi="ar-SA"/>
              </w:rPr>
            </w:pPr>
            <w:r>
              <w:rPr>
                <w:rFonts w:hint="eastAsia" w:ascii="宋体" w:hAnsi="宋体" w:cs="MingLiU"/>
                <w:b/>
                <w:kern w:val="0"/>
                <w:sz w:val="22"/>
                <w:szCs w:val="22"/>
              </w:rPr>
              <w:t>低于成本评审</w:t>
            </w:r>
          </w:p>
        </w:tc>
        <w:tc>
          <w:tcPr>
            <w:tcW w:w="5679" w:type="dxa"/>
            <w:gridSpan w:val="2"/>
            <w:shd w:val="clear" w:color="auto" w:fill="auto"/>
            <w:vAlign w:val="center"/>
          </w:tcPr>
          <w:p w14:paraId="600DC5AB">
            <w:pPr>
              <w:keepNext w:val="0"/>
              <w:keepLines w:val="0"/>
              <w:suppressLineNumbers w:val="0"/>
              <w:snapToGrid w:val="0"/>
              <w:spacing w:before="0" w:beforeAutospacing="0" w:after="0" w:afterAutospacing="0"/>
              <w:ind w:left="0" w:right="0"/>
              <w:jc w:val="left"/>
              <w:rPr>
                <w:rFonts w:hint="eastAsia" w:ascii="宋体" w:hAnsi="宋体" w:cs="宋体"/>
                <w:b/>
                <w:bCs/>
                <w:i w:val="0"/>
                <w:color w:val="08090C"/>
                <w:highlight w:val="none"/>
              </w:rPr>
            </w:pPr>
            <w:r>
              <w:rPr>
                <w:rFonts w:hint="eastAsia" w:ascii="宋体" w:hAnsi="宋体" w:cs="宋体"/>
                <w:b/>
                <w:bCs/>
                <w:i w:val="0"/>
                <w:color w:val="08090C"/>
                <w:highlight w:val="none"/>
              </w:rPr>
              <w:t>评标委员会只对通过报价详细评审后的投标报价进行低于成本评审。</w:t>
            </w:r>
          </w:p>
          <w:p w14:paraId="612307D8">
            <w:pPr>
              <w:keepNext w:val="0"/>
              <w:keepLines w:val="0"/>
              <w:suppressLineNumbers w:val="0"/>
              <w:snapToGrid w:val="0"/>
              <w:spacing w:before="0" w:beforeAutospacing="0" w:after="0" w:afterAutospacing="0"/>
              <w:ind w:left="0" w:right="0"/>
              <w:jc w:val="left"/>
              <w:rPr>
                <w:rFonts w:hint="eastAsia" w:ascii="宋体" w:hAnsi="宋体" w:cs="宋体"/>
                <w:b/>
                <w:bCs/>
                <w:i w:val="0"/>
                <w:color w:val="08090C"/>
                <w:highlight w:val="none"/>
              </w:rPr>
            </w:pPr>
            <w:r>
              <w:rPr>
                <w:rFonts w:hint="eastAsia" w:ascii="宋体" w:hAnsi="宋体" w:cs="宋体"/>
                <w:b/>
                <w:bCs/>
                <w:i w:val="0"/>
                <w:color w:val="08090C"/>
                <w:highlight w:val="none"/>
              </w:rPr>
              <w:t>一、低于成本评审的前提条件</w:t>
            </w:r>
          </w:p>
          <w:p w14:paraId="4818A9E8">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当投标人投标报价中的评审价（评审价=算术修正后的投标总价-安全生产措施费-专业工程暂估价-暂列金额-创优质工程奖补偿奖励费，下同）满足下列情形之一时，评标委员会必须对投标人的投标报价是否低于成本进行评审：</w:t>
            </w:r>
          </w:p>
          <w:p w14:paraId="4C21BD4F">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8090C"/>
                <w:highlight w:val="none"/>
              </w:rPr>
            </w:pPr>
            <w:r>
              <w:rPr>
                <w:rFonts w:hint="eastAsia" w:ascii="宋体" w:hAnsi="宋体" w:cs="宋体"/>
                <w:b w:val="0"/>
                <w:bCs w:val="0"/>
                <w:i w:val="0"/>
                <w:color w:val="08090C"/>
                <w:highlight w:val="none"/>
              </w:rPr>
              <w:t>（1）投标人的评审价金额与最高投标限价相应金额（最高投标限价相应金额=最高投标限价-安全生产措施费</w:t>
            </w:r>
            <w:r>
              <w:rPr>
                <w:rFonts w:hint="eastAsia" w:ascii="宋体" w:hAnsi="宋体" w:cs="MingLiU"/>
                <w:b w:val="0"/>
                <w:bCs w:val="0"/>
                <w:i w:val="0"/>
                <w:color w:val="08090C"/>
                <w:highlight w:val="none"/>
              </w:rPr>
              <w:t>-专业工程暂估价-暂列金额-创优质工程奖补偿奖励费，下同）的比值（比值＝投标报价中的评审价金额÷</w:t>
            </w:r>
            <w:r>
              <w:rPr>
                <w:rFonts w:hint="eastAsia" w:ascii="宋体" w:hAnsi="宋体" w:cs="宋体"/>
                <w:b w:val="0"/>
                <w:bCs w:val="0"/>
                <w:i w:val="0"/>
                <w:color w:val="08090C"/>
                <w:highlight w:val="none"/>
              </w:rPr>
              <w:t>最高投标限价</w:t>
            </w:r>
            <w:r>
              <w:rPr>
                <w:rFonts w:hint="eastAsia" w:ascii="宋体" w:hAnsi="宋体" w:cs="MingLiU"/>
                <w:b w:val="0"/>
                <w:bCs w:val="0"/>
                <w:i w:val="0"/>
                <w:color w:val="08090C"/>
                <w:highlight w:val="none"/>
              </w:rPr>
              <w:t>相应金额，四舍五入后保留两位小数）的百分数小于或等于85%。</w:t>
            </w:r>
          </w:p>
          <w:p w14:paraId="4448F99B">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2）投标报价中的评审价金额与最高投标限价相应金额的比值（比值＝投标报价中的评审价金额÷最高投标限价相应金额，四舍五入后保留两位小数）的百分数小于或等于90%时，且与所有投标人（指投标文件全部内容经过详细评审而未被否决的投标人）的评审价金额算术平均值的比值（四舍五入后保留两位小数）的百分数小于或等于95%。</w:t>
            </w:r>
          </w:p>
          <w:p w14:paraId="0367FCB8">
            <w:pPr>
              <w:keepNext w:val="0"/>
              <w:keepLines w:val="0"/>
              <w:suppressLineNumbers w:val="0"/>
              <w:snapToGrid w:val="0"/>
              <w:spacing w:before="0" w:beforeAutospacing="0" w:after="0" w:afterAutospacing="0"/>
              <w:ind w:left="0" w:right="0"/>
              <w:jc w:val="left"/>
              <w:rPr>
                <w:rFonts w:hint="eastAsia" w:ascii="宋体" w:hAnsi="宋体" w:cs="宋体"/>
                <w:b/>
                <w:bCs/>
                <w:i w:val="0"/>
                <w:color w:val="08090C"/>
                <w:highlight w:val="none"/>
              </w:rPr>
            </w:pPr>
            <w:r>
              <w:rPr>
                <w:rFonts w:hint="eastAsia" w:ascii="宋体" w:hAnsi="宋体" w:cs="宋体"/>
                <w:b/>
                <w:bCs/>
                <w:i w:val="0"/>
                <w:color w:val="08090C"/>
                <w:highlight w:val="none"/>
              </w:rPr>
              <w:t>二、低于成本评审的程序</w:t>
            </w:r>
          </w:p>
          <w:p w14:paraId="1AC61717">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（1）评审及询问：</w:t>
            </w:r>
          </w:p>
          <w:p w14:paraId="46A66AE0">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评标委员会应对满足评审条件的投标报价（包括低价说明内容）进行分析，并可根据分析情况和评审需要向投标人提出询问。</w:t>
            </w:r>
          </w:p>
          <w:p w14:paraId="56E0A2E8">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评标委员会对投标人的询问必须以书面形式进行，投标人对询问的答复、澄清、解释均采用书面形式，并由投标人的法定代表人或其授权的代理人签字或签章。</w:t>
            </w:r>
          </w:p>
          <w:p w14:paraId="00A0CB19">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评标委员会只能对投标报价中的相关问题向投标人提出询问并要求作出必要的澄清或说明，但澄清或说明不得超出投标文件的范围或改变投标文件的实质性内容。</w:t>
            </w:r>
          </w:p>
          <w:p w14:paraId="18306258">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（2）评估及判断：</w:t>
            </w:r>
          </w:p>
          <w:p w14:paraId="4FE14768">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 xml:space="preserve">评标委员会通过对投标报价（包括低价说明内容）及投标人的答复进行分析、论证，评估，并按照下列方式判断投标人是否低于成本报价竞标。  </w:t>
            </w:r>
          </w:p>
          <w:p w14:paraId="17A7FB72">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①评标委员会经过对投标报价（包括低价说明内容）的分析、论证、评估，认为其投标报价不合理、不可行的，应认定该投标人以低于成本报价竞标；</w:t>
            </w:r>
          </w:p>
          <w:p w14:paraId="38DD9F8E">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②投标人对评标委员会提出的询问不能说明理由或评标委员会经评审认为其理由不能成立的，应认定该投标人以低于成本报价竞标。</w:t>
            </w:r>
          </w:p>
          <w:p w14:paraId="5142F750">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③投标人对评标委员会提出的询问拒绝回复，或回复没有法定代表人或其授权的代理人签字或签章的，应认定该投标人以低于成本报价竞标。</w:t>
            </w:r>
          </w:p>
          <w:p w14:paraId="32B9F499">
            <w:pPr>
              <w:keepNext w:val="0"/>
              <w:keepLines w:val="0"/>
              <w:suppressLineNumbers w:val="0"/>
              <w:snapToGrid w:val="0"/>
              <w:spacing w:before="0" w:beforeAutospacing="0" w:after="0" w:afterAutospacing="0"/>
              <w:ind w:left="0" w:right="0"/>
              <w:jc w:val="left"/>
              <w:rPr>
                <w:rFonts w:hint="eastAsia" w:ascii="宋体" w:hAnsi="宋体" w:cs="宋体"/>
                <w:b/>
                <w:bCs/>
                <w:i w:val="0"/>
                <w:color w:val="08090C"/>
                <w:highlight w:val="none"/>
              </w:rPr>
            </w:pPr>
            <w:r>
              <w:rPr>
                <w:rFonts w:hint="eastAsia" w:ascii="宋体" w:hAnsi="宋体" w:cs="宋体"/>
                <w:b/>
                <w:bCs/>
                <w:i w:val="0"/>
                <w:color w:val="08090C"/>
                <w:highlight w:val="none"/>
              </w:rPr>
              <w:t>三、被判定为低于成本竞标的投标报价，评标委员会应否决其投标。</w:t>
            </w:r>
          </w:p>
          <w:p w14:paraId="6BF1EA1D">
            <w:pPr>
              <w:snapToGrid w:val="0"/>
              <w:spacing w:line="240" w:lineRule="auto"/>
              <w:rPr>
                <w:rFonts w:hint="eastAsia" w:ascii="宋体" w:hAnsi="宋体" w:cs="宋体"/>
                <w:b/>
                <w:bCs/>
                <w:i w:val="0"/>
                <w:color w:val="08090C"/>
                <w:highlight w:val="none"/>
              </w:rPr>
            </w:pPr>
            <w:r>
              <w:rPr>
                <w:rFonts w:hint="eastAsia" w:ascii="宋体" w:hAnsi="宋体" w:cs="宋体"/>
                <w:b/>
                <w:bCs/>
                <w:i w:val="0"/>
                <w:color w:val="08090C"/>
                <w:highlight w:val="none"/>
              </w:rPr>
              <w:t>四、对满足低于成本评审条件的投标报价，评标委员会经评审认为其不低于成本的，应当书面说明理由，评标委员会成员应当签字并承担相应法律责任。</w:t>
            </w:r>
          </w:p>
          <w:p w14:paraId="54A7DD8C">
            <w:pPr>
              <w:snapToGrid w:val="0"/>
              <w:spacing w:line="240" w:lineRule="auto"/>
              <w:ind w:firstLine="0" w:firstLineChars="0"/>
              <w:rPr>
                <w:rFonts w:hint="eastAsia" w:ascii="宋体" w:hAnsi="宋体" w:eastAsia="宋体" w:cs="Arial"/>
                <w:kern w:val="18"/>
                <w:sz w:val="22"/>
                <w:szCs w:val="22"/>
                <w:lang w:val="en-US" w:eastAsia="zh-CN" w:bidi="ar-SA"/>
              </w:rPr>
            </w:pPr>
            <w:r>
              <w:rPr>
                <w:rFonts w:hint="eastAsia" w:ascii="宋体" w:hAnsi="宋体" w:cs="宋体"/>
                <w:b/>
                <w:bCs/>
                <w:i w:val="0"/>
                <w:color w:val="08090C"/>
                <w:highlight w:val="none"/>
              </w:rPr>
              <w:t>五、</w:t>
            </w:r>
            <w:r>
              <w:rPr>
                <w:rFonts w:hint="eastAsia" w:ascii="宋体" w:hAnsi="宋体" w:cs="宋体"/>
                <w:b/>
                <w:bCs/>
                <w:i w:val="0"/>
                <w:color w:val="08090C"/>
                <w:highlight w:val="none"/>
                <w:lang w:val="en-US" w:eastAsia="zh-CN"/>
              </w:rPr>
              <w:t>当评标委员会的评审意见发生分歧时，以超过半数成员的意见作为判定的依据。</w:t>
            </w:r>
          </w:p>
        </w:tc>
      </w:tr>
      <w:tr w14:paraId="6336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vMerge w:val="continue"/>
            <w:vAlign w:val="center"/>
          </w:tcPr>
          <w:p w14:paraId="50E9E72E">
            <w:pPr>
              <w:spacing w:line="440" w:lineRule="exact"/>
              <w:jc w:val="center"/>
              <w:rPr>
                <w:rFonts w:ascii="宋体" w:hAnsi="宋体"/>
                <w:sz w:val="22"/>
                <w:szCs w:val="22"/>
              </w:rPr>
            </w:pPr>
          </w:p>
        </w:tc>
        <w:tc>
          <w:tcPr>
            <w:tcW w:w="953" w:type="dxa"/>
            <w:vMerge w:val="continue"/>
            <w:vAlign w:val="center"/>
          </w:tcPr>
          <w:p w14:paraId="33E475B6">
            <w:pPr>
              <w:spacing w:line="440" w:lineRule="exact"/>
              <w:jc w:val="center"/>
              <w:rPr>
                <w:rFonts w:ascii="宋体" w:hAnsi="宋体"/>
                <w:sz w:val="22"/>
                <w:szCs w:val="22"/>
              </w:rPr>
            </w:pPr>
          </w:p>
        </w:tc>
        <w:tc>
          <w:tcPr>
            <w:tcW w:w="1260" w:type="dxa"/>
            <w:gridSpan w:val="2"/>
            <w:shd w:val="clear" w:color="auto" w:fill="auto"/>
            <w:vAlign w:val="center"/>
          </w:tcPr>
          <w:p w14:paraId="1C23E51B">
            <w:pPr>
              <w:spacing w:line="360" w:lineRule="auto"/>
              <w:jc w:val="center"/>
              <w:rPr>
                <w:rFonts w:hint="default" w:ascii="宋体" w:hAnsi="宋体" w:eastAsia="宋体" w:cs="MingLiU"/>
                <w:b/>
                <w:kern w:val="0"/>
                <w:sz w:val="22"/>
                <w:szCs w:val="22"/>
                <w:lang w:val="en-US" w:eastAsia="zh-CN"/>
              </w:rPr>
            </w:pPr>
            <w:r>
              <w:rPr>
                <w:rFonts w:hint="eastAsia" w:ascii="宋体" w:hAnsi="宋体" w:cs="MingLiU"/>
                <w:b/>
                <w:kern w:val="0"/>
                <w:sz w:val="22"/>
                <w:szCs w:val="22"/>
                <w:lang w:val="en-US" w:eastAsia="zh-CN"/>
              </w:rPr>
              <w:t>2.2.4</w:t>
            </w:r>
          </w:p>
        </w:tc>
        <w:tc>
          <w:tcPr>
            <w:tcW w:w="1260" w:type="dxa"/>
            <w:shd w:val="clear" w:color="auto" w:fill="auto"/>
            <w:vAlign w:val="center"/>
          </w:tcPr>
          <w:p w14:paraId="69C4DFD7">
            <w:pPr>
              <w:spacing w:line="360" w:lineRule="auto"/>
              <w:ind w:left="-18" w:leftChars="-8"/>
              <w:jc w:val="center"/>
              <w:rPr>
                <w:rFonts w:hint="default" w:ascii="宋体" w:hAnsi="宋体" w:eastAsia="宋体" w:cs="MingLiU"/>
                <w:b/>
                <w:kern w:val="0"/>
                <w:sz w:val="22"/>
                <w:szCs w:val="22"/>
                <w:lang w:val="en-US" w:eastAsia="zh-CN"/>
              </w:rPr>
            </w:pPr>
            <w:r>
              <w:rPr>
                <w:rFonts w:hint="eastAsia" w:ascii="宋体" w:hAnsi="宋体" w:cs="MingLiU"/>
                <w:b/>
                <w:kern w:val="0"/>
                <w:sz w:val="22"/>
                <w:szCs w:val="22"/>
                <w:lang w:val="en-US" w:eastAsia="zh-CN"/>
              </w:rPr>
              <w:t>□</w:t>
            </w:r>
            <w:r>
              <w:rPr>
                <w:rFonts w:hint="eastAsia" w:ascii="宋体" w:hAnsi="宋体" w:eastAsia="宋体" w:cs="MingLiU"/>
                <w:b/>
                <w:kern w:val="0"/>
                <w:sz w:val="22"/>
                <w:szCs w:val="22"/>
                <w:lang w:val="en-US" w:eastAsia="zh-CN"/>
              </w:rPr>
              <w:t>评审</w:t>
            </w:r>
            <w:r>
              <w:rPr>
                <w:rFonts w:hint="eastAsia" w:ascii="宋体" w:hAnsi="宋体" w:cs="MingLiU"/>
                <w:b/>
                <w:kern w:val="0"/>
                <w:sz w:val="22"/>
                <w:szCs w:val="22"/>
                <w:lang w:val="en-US" w:eastAsia="zh-CN"/>
              </w:rPr>
              <w:t>价格调整</w:t>
            </w:r>
          </w:p>
        </w:tc>
        <w:tc>
          <w:tcPr>
            <w:tcW w:w="5679" w:type="dxa"/>
            <w:gridSpan w:val="2"/>
            <w:shd w:val="clear" w:color="auto" w:fill="auto"/>
            <w:vAlign w:val="center"/>
          </w:tcPr>
          <w:p w14:paraId="7BF03BF4">
            <w:pPr>
              <w:spacing w:line="360" w:lineRule="auto"/>
              <w:rPr>
                <w:rFonts w:hint="eastAsia" w:eastAsia="宋体"/>
                <w:b/>
                <w:bCs/>
                <w:sz w:val="22"/>
                <w:szCs w:val="22"/>
                <w:lang w:eastAsia="zh-CN"/>
              </w:rPr>
            </w:pPr>
            <w:r>
              <w:rPr>
                <w:rFonts w:hint="eastAsia"/>
                <w:szCs w:val="22"/>
                <w:lang w:val="en-US" w:eastAsia="zh-CN"/>
              </w:rPr>
              <w:t>支持中小企业评审价调整：</w:t>
            </w:r>
            <w:r>
              <w:rPr>
                <w:rFonts w:hint="eastAsia" w:ascii="宋体" w:hAnsi="宋体" w:eastAsia="宋体"/>
                <w:szCs w:val="22"/>
                <w:u w:val="single"/>
                <w:lang w:val="en-US" w:eastAsia="zh-CN"/>
              </w:rPr>
              <w:t xml:space="preserve">                </w:t>
            </w:r>
            <w:r>
              <w:rPr>
                <w:rFonts w:hint="eastAsia" w:ascii="宋体" w:hAnsi="宋体" w:eastAsia="宋体"/>
                <w:color w:val="FF0000"/>
                <w:szCs w:val="22"/>
                <w:u w:val="none"/>
                <w:lang w:val="en-US" w:eastAsia="zh-CN"/>
              </w:rPr>
              <w:t>（</w:t>
            </w:r>
            <w:r>
              <w:rPr>
                <w:rFonts w:hint="eastAsia" w:ascii="宋体" w:hAnsi="宋体" w:eastAsia="宋体"/>
                <w:color w:val="FF0000"/>
                <w:szCs w:val="22"/>
              </w:rPr>
              <w:t>招标人可根据《四川省人民政府办公厅关于深化改革创新促进招标投标市场规范健康发展的意见》（川办规〔2025〕8号）第（二十）条和《政府采购促进中小企业发展管理办法》（ 财库〔2020〕46号）第九条规定，增加相应评分奖励内容。</w:t>
            </w:r>
            <w:r>
              <w:rPr>
                <w:rFonts w:hint="eastAsia" w:ascii="宋体" w:hAnsi="宋体" w:eastAsia="宋体"/>
                <w:color w:val="FF0000"/>
                <w:szCs w:val="22"/>
                <w:lang w:eastAsia="zh-CN"/>
              </w:rPr>
              <w:t>）</w:t>
            </w:r>
          </w:p>
        </w:tc>
      </w:tr>
      <w:tr w14:paraId="0D16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gridSpan w:val="3"/>
            <w:shd w:val="clear" w:color="auto" w:fill="auto"/>
            <w:vAlign w:val="center"/>
          </w:tcPr>
          <w:p w14:paraId="2A72E5C9">
            <w:pPr>
              <w:spacing w:line="360" w:lineRule="auto"/>
              <w:jc w:val="center"/>
              <w:rPr>
                <w:rFonts w:hint="eastAsia" w:ascii="宋体" w:hAnsi="宋体" w:eastAsia="宋体" w:cstheme="minorBidi"/>
                <w:kern w:val="2"/>
                <w:sz w:val="22"/>
                <w:szCs w:val="22"/>
                <w:lang w:val="en-US" w:eastAsia="zh-CN" w:bidi="ar-SA"/>
              </w:rPr>
            </w:pPr>
            <w:r>
              <w:rPr>
                <w:rFonts w:hint="eastAsia" w:ascii="宋体" w:hAnsi="宋体"/>
                <w:sz w:val="22"/>
                <w:szCs w:val="22"/>
              </w:rPr>
              <w:t>2.</w:t>
            </w:r>
            <w:r>
              <w:rPr>
                <w:rFonts w:ascii="宋体" w:hAnsi="宋体"/>
                <w:sz w:val="22"/>
                <w:szCs w:val="22"/>
              </w:rPr>
              <w:t>3</w:t>
            </w:r>
          </w:p>
        </w:tc>
        <w:tc>
          <w:tcPr>
            <w:tcW w:w="2034" w:type="dxa"/>
            <w:gridSpan w:val="2"/>
            <w:shd w:val="clear" w:color="auto" w:fill="auto"/>
            <w:vAlign w:val="center"/>
          </w:tcPr>
          <w:p w14:paraId="70DB01F2">
            <w:pPr>
              <w:autoSpaceDE w:val="0"/>
              <w:autoSpaceDN w:val="0"/>
              <w:adjustRightInd w:val="0"/>
              <w:spacing w:line="360" w:lineRule="auto"/>
              <w:jc w:val="center"/>
              <w:rPr>
                <w:rFonts w:hint="eastAsia" w:ascii="宋体" w:hAnsi="宋体" w:eastAsia="宋体" w:cstheme="minorBidi"/>
                <w:b/>
                <w:bCs/>
                <w:kern w:val="2"/>
                <w:sz w:val="22"/>
                <w:szCs w:val="22"/>
                <w:lang w:val="en-US" w:eastAsia="zh-CN" w:bidi="ar-SA"/>
              </w:rPr>
            </w:pPr>
            <w:r>
              <w:rPr>
                <w:rFonts w:hint="eastAsia" w:ascii="宋体" w:hAnsi="宋体" w:cs="MingLiU"/>
                <w:kern w:val="0"/>
                <w:sz w:val="22"/>
                <w:szCs w:val="22"/>
              </w:rPr>
              <w:t>推荐中标候选人</w:t>
            </w:r>
          </w:p>
        </w:tc>
        <w:tc>
          <w:tcPr>
            <w:tcW w:w="5679" w:type="dxa"/>
            <w:gridSpan w:val="2"/>
            <w:vAlign w:val="center"/>
          </w:tcPr>
          <w:p w14:paraId="76A9D5F9">
            <w:pPr>
              <w:rPr>
                <w:rFonts w:hint="eastAsia" w:ascii="宋体" w:hAnsi="宋体"/>
                <w:sz w:val="22"/>
                <w:szCs w:val="22"/>
              </w:rPr>
            </w:pPr>
            <w:r>
              <w:rPr>
                <w:rFonts w:hint="eastAsia" w:ascii="宋体" w:hAnsi="宋体"/>
                <w:sz w:val="22"/>
                <w:szCs w:val="22"/>
              </w:rPr>
              <w:t>本项目采用中标候选人评定分离机制，推荐的中标候选人数为3人。当有效投标为2人时，可推荐2人，不足2人时，评标委员会不推荐中标候选人，本次招标失败。采用经评审的最低投标价法时，按照经评审的投标价（即评标价，以下同）由低到高的顺序推荐中标候选人，经评审的投标价相等时，投标报价低的优先。处于同一优先推荐顺序的投标人全部纳入中标候选人。</w:t>
            </w:r>
          </w:p>
          <w:p w14:paraId="68CBDA73">
            <w:pPr>
              <w:rPr>
                <w:rFonts w:hint="eastAsia" w:ascii="宋体" w:hAnsi="宋体"/>
                <w:sz w:val="22"/>
                <w:szCs w:val="22"/>
              </w:rPr>
            </w:pPr>
            <w:r>
              <w:rPr>
                <w:rFonts w:hint="eastAsia" w:ascii="宋体" w:hAnsi="宋体"/>
                <w:sz w:val="22"/>
                <w:szCs w:val="22"/>
              </w:rPr>
              <w:t xml:space="preserve"> 例：经评审的投标价最低的为3人及以上，则全部推荐为中标候选人，不再推荐经评审的投标价次低的投标人。 经评审的投标价最低的投标人为2人，经评审的投标价次低的投标人为2人及以上，则以上投标人全部推荐为中标候选人。其他情形以此类推。</w:t>
            </w:r>
          </w:p>
        </w:tc>
      </w:tr>
      <w:tr w14:paraId="7EA6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gridSpan w:val="3"/>
            <w:shd w:val="clear" w:color="auto" w:fill="auto"/>
            <w:vAlign w:val="center"/>
          </w:tcPr>
          <w:p w14:paraId="5A2BDBFD">
            <w:pPr>
              <w:jc w:val="center"/>
              <w:rPr>
                <w:rFonts w:hint="eastAsia" w:ascii="宋体" w:hAnsi="宋体" w:eastAsia="宋体" w:cstheme="minorBidi"/>
                <w:kern w:val="2"/>
                <w:sz w:val="22"/>
                <w:szCs w:val="22"/>
                <w:lang w:val="en-US" w:eastAsia="zh-CN" w:bidi="ar-SA"/>
              </w:rPr>
            </w:pPr>
            <w:r>
              <w:rPr>
                <w:rFonts w:hint="eastAsia" w:ascii="宋体" w:hAnsi="宋体"/>
                <w:bCs/>
                <w:sz w:val="22"/>
                <w:szCs w:val="22"/>
              </w:rPr>
              <w:t>2.4</w:t>
            </w:r>
          </w:p>
        </w:tc>
        <w:tc>
          <w:tcPr>
            <w:tcW w:w="2034" w:type="dxa"/>
            <w:gridSpan w:val="2"/>
            <w:shd w:val="clear" w:color="auto" w:fill="auto"/>
            <w:vAlign w:val="center"/>
          </w:tcPr>
          <w:p w14:paraId="6D3DDD3C">
            <w:pPr>
              <w:widowControl/>
              <w:adjustRightInd w:val="0"/>
              <w:snapToGrid w:val="0"/>
              <w:spacing w:line="360" w:lineRule="auto"/>
              <w:ind w:right="22" w:rightChars="10"/>
              <w:jc w:val="center"/>
              <w:rPr>
                <w:rFonts w:hint="eastAsia" w:ascii="宋体" w:hAnsi="宋体"/>
                <w:bCs/>
                <w:sz w:val="22"/>
                <w:szCs w:val="22"/>
              </w:rPr>
            </w:pPr>
            <w:r>
              <w:rPr>
                <w:rFonts w:hint="eastAsia" w:ascii="宋体" w:hAnsi="宋体"/>
                <w:bCs/>
                <w:sz w:val="22"/>
                <w:szCs w:val="22"/>
              </w:rPr>
              <w:t>补充</w:t>
            </w:r>
          </w:p>
          <w:p w14:paraId="0301C8EE">
            <w:pPr>
              <w:jc w:val="center"/>
              <w:rPr>
                <w:rFonts w:hint="eastAsia" w:ascii="宋体" w:hAnsi="宋体" w:eastAsia="宋体" w:cs="MingLiU"/>
                <w:kern w:val="0"/>
                <w:sz w:val="22"/>
                <w:szCs w:val="22"/>
                <w:lang w:val="en-US" w:eastAsia="zh-CN" w:bidi="ar-SA"/>
              </w:rPr>
            </w:pPr>
            <w:r>
              <w:rPr>
                <w:rFonts w:hint="eastAsia" w:ascii="宋体" w:hAnsi="宋体"/>
                <w:bCs/>
                <w:sz w:val="22"/>
                <w:szCs w:val="22"/>
              </w:rPr>
              <w:t>说明</w:t>
            </w:r>
          </w:p>
        </w:tc>
        <w:tc>
          <w:tcPr>
            <w:tcW w:w="5679" w:type="dxa"/>
            <w:gridSpan w:val="2"/>
            <w:vAlign w:val="center"/>
          </w:tcPr>
          <w:p w14:paraId="3FEB361D">
            <w:pPr>
              <w:pStyle w:val="34"/>
              <w:numPr>
                <w:ilvl w:val="0"/>
                <w:numId w:val="0"/>
              </w:numPr>
              <w:spacing w:line="360" w:lineRule="auto"/>
              <w:ind w:firstLine="0"/>
              <w:rPr>
                <w:rFonts w:hint="eastAsia" w:ascii="宋体" w:hAnsi="宋体"/>
                <w:color w:val="auto"/>
                <w:sz w:val="22"/>
                <w:szCs w:val="22"/>
                <w:highlight w:val="none"/>
              </w:rPr>
            </w:pPr>
            <w:r>
              <w:rPr>
                <w:rFonts w:hint="eastAsia" w:ascii="宋体" w:hAnsi="宋体" w:eastAsia="宋体" w:cs="Times New Roman"/>
                <w:color w:val="auto"/>
                <w:kern w:val="0"/>
                <w:sz w:val="22"/>
                <w:szCs w:val="22"/>
                <w:lang w:val="en-US" w:eastAsia="zh-CN" w:bidi="ar-SA"/>
              </w:rPr>
              <w:t>1、</w:t>
            </w:r>
            <w:r>
              <w:rPr>
                <w:rFonts w:hint="eastAsia" w:ascii="宋体" w:hAnsi="宋体"/>
                <w:color w:val="auto"/>
                <w:sz w:val="22"/>
                <w:szCs w:val="22"/>
                <w:highlight w:val="none"/>
              </w:rPr>
              <w:t>评标委员会经评审否决不合格投标后，因有效投标（指经过全部评审而未被否决的投标，下同）不足三个的：</w:t>
            </w:r>
          </w:p>
          <w:p w14:paraId="61C3ED7B">
            <w:pPr>
              <w:pStyle w:val="34"/>
              <w:numPr>
                <w:ilvl w:val="-1"/>
                <w:numId w:val="0"/>
              </w:numPr>
              <w:spacing w:line="360" w:lineRule="auto"/>
              <w:ind w:firstLine="0"/>
              <w:rPr>
                <w:rFonts w:hint="eastAsia" w:ascii="宋体" w:hAnsi="宋体" w:eastAsia="宋体" w:cs="Times New Roman"/>
                <w:color w:val="auto"/>
                <w:sz w:val="22"/>
                <w:szCs w:val="22"/>
                <w:highlight w:val="none"/>
                <w:u w:val="none"/>
                <w:lang w:bidi="ar"/>
              </w:rPr>
            </w:pPr>
            <w:r>
              <w:rPr>
                <w:rFonts w:hint="eastAsia" w:ascii="宋体" w:hAnsi="宋体" w:eastAsia="宋体" w:cs="Times New Roman"/>
                <w:color w:val="auto"/>
                <w:sz w:val="22"/>
                <w:szCs w:val="22"/>
                <w:highlight w:val="none"/>
                <w:u w:val="none"/>
                <w:lang w:bidi="ar"/>
              </w:rPr>
              <w:t>○投标明显缺乏竞争由评标委员会认定：投标人是否具有竞争性应从其实力、信誉、技术方案及投标报价等方面认定。</w:t>
            </w:r>
          </w:p>
          <w:p w14:paraId="27101BD5">
            <w:pPr>
              <w:pStyle w:val="34"/>
              <w:numPr>
                <w:ilvl w:val="-1"/>
                <w:numId w:val="0"/>
              </w:numPr>
              <w:spacing w:line="360" w:lineRule="auto"/>
              <w:ind w:firstLine="0"/>
              <w:rPr>
                <w:rFonts w:hint="eastAsia" w:ascii="宋体" w:hAnsi="宋体" w:cs="宋体"/>
                <w:kern w:val="0"/>
                <w:sz w:val="22"/>
                <w:szCs w:val="22"/>
                <w:u w:val="none"/>
                <w:lang w:val="en-US" w:eastAsia="zh-CN" w:bidi="ar"/>
              </w:rPr>
            </w:pPr>
            <w:r>
              <w:rPr>
                <w:rFonts w:hint="eastAsia" w:ascii="宋体" w:hAnsi="宋体" w:eastAsia="宋体" w:cs="Times New Roman"/>
                <w:color w:val="auto"/>
                <w:sz w:val="22"/>
                <w:szCs w:val="22"/>
                <w:highlight w:val="none"/>
                <w:u w:val="none"/>
                <w:lang w:bidi="ar"/>
              </w:rPr>
              <w:t>○</w:t>
            </w:r>
            <w:r>
              <w:rPr>
                <w:rFonts w:hint="eastAsia" w:ascii="宋体" w:hAnsi="宋体" w:eastAsia="宋体" w:cs="Times New Roman"/>
                <w:color w:val="auto"/>
                <w:kern w:val="0"/>
                <w:sz w:val="22"/>
                <w:szCs w:val="22"/>
                <w:highlight w:val="none"/>
                <w:u w:val="none"/>
                <w:lang w:val="en-US" w:eastAsia="zh-CN" w:bidi="ar"/>
              </w:rPr>
              <w:t>投标明显缺乏竞争，招标文件有量化规定的从其规定:</w:t>
            </w:r>
            <w:r>
              <w:rPr>
                <w:rFonts w:hint="eastAsia" w:ascii="宋体" w:hAnsi="宋体" w:cs="宋体"/>
                <w:kern w:val="0"/>
                <w:sz w:val="22"/>
                <w:szCs w:val="22"/>
                <w:u w:val="single"/>
                <w:lang w:val="en-US" w:eastAsia="zh-CN" w:bidi="ar"/>
              </w:rPr>
              <w:t xml:space="preserve">                </w:t>
            </w:r>
            <w:r>
              <w:rPr>
                <w:rFonts w:hint="eastAsia" w:ascii="宋体" w:hAnsi="宋体" w:cs="宋体"/>
                <w:kern w:val="0"/>
                <w:sz w:val="22"/>
                <w:szCs w:val="22"/>
                <w:u w:val="none"/>
                <w:lang w:val="en-US" w:eastAsia="zh-CN" w:bidi="ar"/>
              </w:rPr>
              <w:t>。</w:t>
            </w:r>
          </w:p>
          <w:p w14:paraId="3D4CC1C1">
            <w:pPr>
              <w:autoSpaceDE w:val="0"/>
              <w:autoSpaceDN w:val="0"/>
              <w:adjustRightInd w:val="0"/>
              <w:spacing w:line="360" w:lineRule="auto"/>
              <w:rPr>
                <w:rFonts w:hint="eastAsia" w:ascii="宋体" w:hAnsi="宋体"/>
                <w:sz w:val="22"/>
                <w:szCs w:val="22"/>
              </w:rPr>
            </w:pPr>
            <w:r>
              <w:rPr>
                <w:rFonts w:hint="eastAsia" w:ascii="宋体" w:hAnsi="宋体" w:cs="Times New Roman"/>
                <w:color w:val="auto"/>
                <w:kern w:val="0"/>
                <w:sz w:val="22"/>
                <w:szCs w:val="22"/>
                <w:highlight w:val="none"/>
                <w:u w:val="none"/>
                <w:lang w:val="en-US" w:eastAsia="zh-CN" w:bidi="ar"/>
              </w:rPr>
              <w:t>2、</w:t>
            </w:r>
            <w:r>
              <w:rPr>
                <w:rFonts w:hint="eastAsia" w:ascii="宋体" w:hAnsi="宋体" w:eastAsia="宋体" w:cs="Times New Roman"/>
                <w:color w:val="auto"/>
                <w:kern w:val="0"/>
                <w:sz w:val="22"/>
                <w:szCs w:val="22"/>
                <w:highlight w:val="none"/>
                <w:u w:val="none"/>
                <w:lang w:val="en-US" w:eastAsia="zh-CN" w:bidi="ar"/>
              </w:rPr>
              <w:t>评标时评标委员会应按照附表一串通投标行为认定书中情形，根据投标文件如实填写“无”或“有”，并</w:t>
            </w:r>
            <w:r>
              <w:rPr>
                <w:rFonts w:hint="eastAsia" w:ascii="宋体" w:hAnsi="宋体" w:cs="Times New Roman"/>
                <w:color w:val="auto"/>
                <w:kern w:val="0"/>
                <w:sz w:val="22"/>
                <w:szCs w:val="22"/>
                <w:highlight w:val="none"/>
                <w:u w:val="none"/>
                <w:lang w:val="en-US" w:eastAsia="zh-CN" w:bidi="ar"/>
              </w:rPr>
              <w:t>签字或签章</w:t>
            </w:r>
            <w:r>
              <w:rPr>
                <w:rFonts w:hint="eastAsia" w:ascii="宋体" w:hAnsi="宋体" w:eastAsia="宋体" w:cs="Times New Roman"/>
                <w:color w:val="auto"/>
                <w:kern w:val="0"/>
                <w:sz w:val="22"/>
                <w:szCs w:val="22"/>
                <w:highlight w:val="none"/>
                <w:u w:val="none"/>
                <w:lang w:val="en-US" w:eastAsia="zh-CN" w:bidi="ar"/>
              </w:rPr>
              <w:t>确认。有情形之一的，应认定为串通投标，并</w:t>
            </w:r>
            <w:r>
              <w:rPr>
                <w:rFonts w:hint="eastAsia" w:ascii="宋体" w:hAnsi="宋体" w:cs="Times New Roman"/>
                <w:color w:val="auto"/>
                <w:kern w:val="0"/>
                <w:sz w:val="22"/>
                <w:szCs w:val="22"/>
                <w:highlight w:val="none"/>
                <w:u w:val="none"/>
                <w:lang w:val="en-US" w:eastAsia="zh-CN" w:bidi="ar"/>
              </w:rPr>
              <w:t>签字或签章</w:t>
            </w:r>
            <w:r>
              <w:rPr>
                <w:rFonts w:hint="eastAsia" w:ascii="宋体" w:hAnsi="宋体" w:eastAsia="宋体" w:cs="Times New Roman"/>
                <w:color w:val="auto"/>
                <w:kern w:val="0"/>
                <w:sz w:val="22"/>
                <w:szCs w:val="22"/>
                <w:highlight w:val="none"/>
                <w:u w:val="none"/>
                <w:lang w:val="en-US" w:eastAsia="zh-CN" w:bidi="ar"/>
              </w:rPr>
              <w:t>确认，作为评标报告一部分。</w:t>
            </w:r>
          </w:p>
        </w:tc>
      </w:tr>
    </w:tbl>
    <w:p w14:paraId="123F6028">
      <w:pPr>
        <w:numPr>
          <w:ilvl w:val="0"/>
          <w:numId w:val="0"/>
        </w:numPr>
        <w:rPr>
          <w:rFonts w:cs="Times New Roman" w:asciiTheme="minorEastAsia" w:hAnsiTheme="minorEastAsia"/>
          <w:color w:val="auto"/>
          <w:sz w:val="21"/>
          <w:szCs w:val="21"/>
          <w:highlight w:val="none"/>
          <w:lang w:eastAsia="zh-CN"/>
        </w:rPr>
      </w:pPr>
      <w:r>
        <w:rPr>
          <w:rFonts w:cs="Times New Roman" w:asciiTheme="minorEastAsia" w:hAnsiTheme="minorEastAsia"/>
          <w:color w:val="auto"/>
          <w:sz w:val="21"/>
          <w:szCs w:val="21"/>
          <w:highlight w:val="none"/>
          <w:lang w:eastAsia="zh-CN"/>
        </w:rPr>
        <w:t>注：</w:t>
      </w:r>
      <w:r>
        <w:rPr>
          <w:rFonts w:hint="eastAsia" w:cs="Times New Roman" w:asciiTheme="minorEastAsia" w:hAnsiTheme="minorEastAsia"/>
          <w:color w:val="auto"/>
          <w:sz w:val="21"/>
          <w:szCs w:val="21"/>
          <w:highlight w:val="none"/>
          <w:lang w:val="en-US" w:eastAsia="zh-CN"/>
        </w:rPr>
        <w:t>1、</w:t>
      </w:r>
      <w:r>
        <w:rPr>
          <w:rFonts w:cs="Times New Roman" w:asciiTheme="minorEastAsia" w:hAnsiTheme="minorEastAsia"/>
          <w:color w:val="auto"/>
          <w:sz w:val="21"/>
          <w:szCs w:val="21"/>
          <w:highlight w:val="none"/>
          <w:lang w:eastAsia="zh-CN"/>
        </w:rPr>
        <w:t>“评标办法前附表”中内容仅能填空，如果因为招标项目的情况，需增加其他相关条款，应填入“评标办法前附表增加条款表”中，增加的条款不能与“评标办法前附表”中内容相冲突。</w:t>
      </w:r>
    </w:p>
    <w:p w14:paraId="4F9B5B5E">
      <w:pPr>
        <w:numPr>
          <w:ilvl w:val="0"/>
          <w:numId w:val="0"/>
        </w:numPr>
        <w:rPr>
          <w:rFonts w:cs="Times New Roman" w:asciiTheme="minorEastAsia" w:hAnsiTheme="minorEastAsia"/>
          <w:color w:val="auto"/>
          <w:sz w:val="21"/>
          <w:szCs w:val="21"/>
          <w:highlight w:val="none"/>
          <w:lang w:eastAsia="zh-CN"/>
        </w:rPr>
      </w:pPr>
      <w:r>
        <w:rPr>
          <w:rFonts w:hint="eastAsia" w:cs="Times New Roman" w:asciiTheme="minorEastAsia" w:hAnsiTheme="minorEastAsia"/>
          <w:color w:val="auto"/>
          <w:sz w:val="21"/>
          <w:szCs w:val="21"/>
          <w:highlight w:val="none"/>
          <w:lang w:val="en-US" w:eastAsia="zh-CN"/>
        </w:rPr>
        <w:t>2、</w:t>
      </w:r>
      <w:r>
        <w:rPr>
          <w:rFonts w:hint="eastAsia" w:cs="Times New Roman" w:asciiTheme="minorEastAsia" w:hAnsiTheme="minorEastAsia"/>
          <w:color w:val="auto"/>
          <w:sz w:val="21"/>
          <w:szCs w:val="21"/>
          <w:highlight w:val="none"/>
          <w:lang w:eastAsia="zh-CN"/>
        </w:rPr>
        <w:t>评标办法前附表内容和评标办法正文内容不一致的，以评标办法前附表为准。</w:t>
      </w:r>
    </w:p>
    <w:p w14:paraId="65F56797">
      <w:pPr>
        <w:numPr>
          <w:ilvl w:val="0"/>
          <w:numId w:val="0"/>
        </w:numPr>
        <w:rPr>
          <w:rFonts w:hint="eastAsia" w:cs="Times New Roman" w:asciiTheme="minorEastAsia" w:hAnsiTheme="minorEastAsia"/>
          <w:color w:val="auto"/>
          <w:sz w:val="21"/>
          <w:szCs w:val="21"/>
          <w:highlight w:val="none"/>
          <w:lang w:eastAsia="zh-CN"/>
        </w:rPr>
      </w:pPr>
    </w:p>
    <w:p w14:paraId="4F323004">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（1）招标人应科学合理地设定评标办法，以保证足够的竞争性。</w:t>
      </w:r>
    </w:p>
    <w:p w14:paraId="6890FCF3">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2）不得设定特定行政区域或者特定行业的奖项作为加分条件，不得设定与招标项目的具体特点不相适应的奖项作为加分条件，不得设定全国评比达标表彰工作协调小组办公室按照《评比达标表彰活动管理办法》公布的目录以外的奖项作为加分条件；招标项目的技术指标达到相应奖项申报条件的，方可设置相应奖项作为加分条件；设定奖项年限为近3年（或4年，或5年）的，个数不得超过1个，设定奖项年限为近6年及以上的，个数不得超过2个；评标办法中各类奖项加分总分值不得超过3分。</w:t>
      </w:r>
    </w:p>
    <w:p w14:paraId="5E0D8252">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（3）不得设定特定行政区域或者特定行业的业绩作为加分条件；不得设定与招标项目的具体特点不相适应的业绩作为加分条件；设定的业绩每类别个数不得超过3个（含资格条件个数）。</w:t>
      </w:r>
    </w:p>
    <w:p w14:paraId="7954F426">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4）按照《国务院办公厅关于加快推进社会信用体系建设构建以信用为基础的新型监管机制的指导意见》（国办发〔2019〕35号）精神，不得设定不属于国家有关部门或其授权的行业协会商会开展的信用评价作为加分条件。</w:t>
      </w:r>
    </w:p>
    <w:p w14:paraId="11790E3F">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（5）不得将其他未列入国家职业资格目录的人员资格设定为加分条件。</w:t>
      </w:r>
    </w:p>
    <w:p w14:paraId="5BD05777">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（6）评标委员会在评标过程中，如要求投标人澄清或说明的，评标委员会要求投标人在线澄清或说明的时间距投标人收到评标委员会通知的时间不得少于 60分钟。</w:t>
      </w:r>
    </w:p>
    <w:p w14:paraId="7B121DD6">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493CCBE9">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投标人未在规定时间内作出澄清或说明的，或者评标委员会成员认为该投标人的两次澄清或说明都不符合评标委员会要求的，作否决投标处理。</w:t>
      </w:r>
    </w:p>
    <w:p w14:paraId="547072F8">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7）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42686BDB">
      <w:pPr>
        <w:widowControl/>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在评标结束后发现投标人串通投标或弄虚作假或有其他违法行为，查证属实的，取消其中标资格。</w:t>
      </w:r>
    </w:p>
    <w:p w14:paraId="2455255D">
      <w:pPr>
        <w:spacing w:line="500" w:lineRule="exact"/>
        <w:jc w:val="center"/>
        <w:rPr>
          <w:rFonts w:hint="eastAsia" w:ascii="宋体" w:hAnsi="宋体"/>
          <w:b/>
          <w:sz w:val="28"/>
          <w:szCs w:val="28"/>
        </w:rPr>
      </w:pPr>
      <w:r>
        <w:rPr>
          <w:rFonts w:hint="eastAsia" w:ascii="宋体" w:hAnsi="宋体"/>
          <w:b/>
          <w:sz w:val="28"/>
          <w:szCs w:val="28"/>
        </w:rPr>
        <w:t>评标办法前附表增加条款表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4843"/>
        <w:gridCol w:w="3621"/>
      </w:tblGrid>
      <w:tr w14:paraId="6A85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tcBorders>
              <w:bottom w:val="single" w:color="auto" w:sz="4" w:space="0"/>
            </w:tcBorders>
            <w:vAlign w:val="center"/>
          </w:tcPr>
          <w:p w14:paraId="2C588FB4">
            <w:pPr>
              <w:spacing w:line="360" w:lineRule="auto"/>
              <w:ind w:firstLine="110" w:firstLineChars="50"/>
              <w:rPr>
                <w:rFonts w:hint="eastAsia" w:ascii="宋体" w:hAnsi="宋体"/>
                <w:szCs w:val="21"/>
              </w:rPr>
            </w:pPr>
            <w:r>
              <w:rPr>
                <w:rFonts w:hint="eastAsia" w:ascii="宋体" w:hAnsi="宋体"/>
                <w:szCs w:val="21"/>
              </w:rPr>
              <w:t>条款号</w:t>
            </w:r>
          </w:p>
        </w:tc>
        <w:tc>
          <w:tcPr>
            <w:tcW w:w="2377" w:type="pct"/>
            <w:tcBorders>
              <w:bottom w:val="single" w:color="auto" w:sz="4" w:space="0"/>
            </w:tcBorders>
            <w:vAlign w:val="center"/>
          </w:tcPr>
          <w:p w14:paraId="633C4C0A">
            <w:pPr>
              <w:spacing w:line="360" w:lineRule="auto"/>
              <w:ind w:left="376" w:leftChars="171"/>
              <w:jc w:val="center"/>
              <w:rPr>
                <w:rFonts w:hint="eastAsia" w:ascii="宋体" w:hAnsi="宋体"/>
                <w:szCs w:val="21"/>
              </w:rPr>
            </w:pPr>
            <w:r>
              <w:rPr>
                <w:rFonts w:hint="eastAsia" w:ascii="宋体" w:hAnsi="宋体"/>
                <w:szCs w:val="21"/>
              </w:rPr>
              <w:t>评审因素</w:t>
            </w:r>
          </w:p>
        </w:tc>
        <w:tc>
          <w:tcPr>
            <w:tcW w:w="1777" w:type="pct"/>
            <w:tcBorders>
              <w:bottom w:val="single" w:color="auto" w:sz="4" w:space="0"/>
            </w:tcBorders>
            <w:vAlign w:val="center"/>
          </w:tcPr>
          <w:p w14:paraId="3BBF3D19">
            <w:pPr>
              <w:spacing w:line="360" w:lineRule="auto"/>
              <w:ind w:left="376" w:leftChars="171"/>
              <w:jc w:val="center"/>
              <w:rPr>
                <w:rFonts w:hint="eastAsia" w:ascii="宋体" w:hAnsi="宋体"/>
                <w:szCs w:val="21"/>
              </w:rPr>
            </w:pPr>
            <w:r>
              <w:rPr>
                <w:rFonts w:hint="eastAsia" w:ascii="宋体" w:hAnsi="宋体"/>
                <w:szCs w:val="21"/>
              </w:rPr>
              <w:t>评审标准</w:t>
            </w:r>
          </w:p>
        </w:tc>
      </w:tr>
      <w:tr w14:paraId="225D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46" w:type="pct"/>
            <w:tcBorders>
              <w:bottom w:val="single" w:color="auto" w:sz="4" w:space="0"/>
            </w:tcBorders>
          </w:tcPr>
          <w:p w14:paraId="7F1DDD68">
            <w:pPr>
              <w:spacing w:line="500" w:lineRule="exact"/>
              <w:jc w:val="center"/>
              <w:rPr>
                <w:rFonts w:hint="eastAsia" w:ascii="宋体" w:hAnsi="宋体"/>
                <w:b/>
                <w:szCs w:val="21"/>
              </w:rPr>
            </w:pPr>
          </w:p>
        </w:tc>
        <w:tc>
          <w:tcPr>
            <w:tcW w:w="2377" w:type="pct"/>
            <w:tcBorders>
              <w:bottom w:val="single" w:color="auto" w:sz="4" w:space="0"/>
            </w:tcBorders>
          </w:tcPr>
          <w:p w14:paraId="1608800B">
            <w:pPr>
              <w:spacing w:line="500" w:lineRule="exact"/>
              <w:jc w:val="center"/>
              <w:rPr>
                <w:rFonts w:hint="eastAsia" w:ascii="宋体" w:hAnsi="宋体"/>
                <w:b/>
                <w:szCs w:val="21"/>
              </w:rPr>
            </w:pPr>
          </w:p>
          <w:p w14:paraId="2FB86EDA"/>
        </w:tc>
        <w:tc>
          <w:tcPr>
            <w:tcW w:w="1777" w:type="pct"/>
            <w:tcBorders>
              <w:bottom w:val="single" w:color="auto" w:sz="4" w:space="0"/>
            </w:tcBorders>
          </w:tcPr>
          <w:p w14:paraId="7B4B712D">
            <w:pPr>
              <w:spacing w:line="500" w:lineRule="exact"/>
              <w:jc w:val="center"/>
              <w:rPr>
                <w:rFonts w:hint="eastAsia" w:ascii="宋体" w:hAnsi="宋体"/>
                <w:b/>
                <w:szCs w:val="21"/>
              </w:rPr>
            </w:pPr>
          </w:p>
        </w:tc>
      </w:tr>
    </w:tbl>
    <w:p w14:paraId="6CD4F37C">
      <w:pPr>
        <w:widowControl/>
        <w:rPr>
          <w:rFonts w:hint="eastAsia" w:ascii="宋体" w:hAnsi="宋体"/>
          <w:lang w:eastAsia="zh-CN"/>
        </w:rPr>
      </w:pPr>
      <w:r>
        <w:rPr>
          <w:rFonts w:hint="eastAsia" w:ascii="宋体" w:hAnsi="宋体"/>
          <w:lang w:eastAsia="zh-CN"/>
        </w:rPr>
        <w:br w:type="page"/>
      </w:r>
    </w:p>
    <w:p w14:paraId="2A06D444">
      <w:pPr>
        <w:rPr>
          <w:rFonts w:ascii="宋体" w:hAnsi="宋体"/>
        </w:rPr>
      </w:pPr>
      <w:bookmarkStart w:id="147" w:name="_Toc246996975"/>
      <w:bookmarkStart w:id="148" w:name="_Toc68800114"/>
      <w:bookmarkStart w:id="149" w:name="_Toc152045589"/>
      <w:bookmarkStart w:id="150" w:name="_Toc152042366"/>
      <w:bookmarkStart w:id="151" w:name="_Toc296602477"/>
      <w:bookmarkStart w:id="152" w:name="_Toc179632607"/>
      <w:bookmarkStart w:id="153" w:name="_Toc68889662"/>
      <w:bookmarkStart w:id="154" w:name="_Toc144974556"/>
      <w:bookmarkStart w:id="155" w:name="_Toc247085747"/>
      <w:bookmarkStart w:id="156" w:name="_Toc246996232"/>
    </w:p>
    <w:bookmarkEnd w:id="147"/>
    <w:bookmarkEnd w:id="148"/>
    <w:bookmarkEnd w:id="149"/>
    <w:bookmarkEnd w:id="150"/>
    <w:bookmarkEnd w:id="151"/>
    <w:bookmarkEnd w:id="152"/>
    <w:bookmarkEnd w:id="153"/>
    <w:bookmarkEnd w:id="154"/>
    <w:bookmarkEnd w:id="155"/>
    <w:bookmarkEnd w:id="156"/>
    <w:p w14:paraId="360F0512">
      <w:pPr>
        <w:keepNext/>
        <w:keepLines/>
        <w:widowControl w:val="0"/>
        <w:spacing w:line="400" w:lineRule="exact"/>
        <w:ind w:left="376" w:leftChars="171"/>
        <w:jc w:val="both"/>
        <w:outlineLvl w:val="2"/>
        <w:rPr>
          <w:rFonts w:hint="eastAsia" w:ascii="宋体" w:hAnsi="宋体" w:eastAsia="宋体" w:cs="Times New Roman"/>
          <w:b/>
          <w:bCs/>
          <w:sz w:val="22"/>
          <w:szCs w:val="22"/>
        </w:rPr>
      </w:pPr>
      <w:r>
        <w:rPr>
          <w:rFonts w:hint="eastAsia" w:ascii="宋体" w:hAnsi="宋体" w:eastAsia="宋体" w:cs="Times New Roman"/>
          <w:b/>
          <w:bCs/>
          <w:sz w:val="22"/>
          <w:szCs w:val="22"/>
        </w:rPr>
        <w:t>1、评标方法</w:t>
      </w:r>
    </w:p>
    <w:p w14:paraId="46785BED">
      <w:pPr>
        <w:spacing w:line="400" w:lineRule="exact"/>
        <w:ind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本次评标采用经评审的</w:t>
      </w:r>
      <w:r>
        <w:rPr>
          <w:rFonts w:hint="eastAsia" w:ascii="宋体" w:hAnsi="宋体" w:eastAsia="宋体" w:cs="Times New Roman"/>
          <w:b/>
          <w:bCs/>
          <w:kern w:val="0"/>
          <w:sz w:val="22"/>
          <w:szCs w:val="22"/>
        </w:rPr>
        <w:t>最低投标价法</w:t>
      </w:r>
      <w:r>
        <w:rPr>
          <w:rFonts w:hint="eastAsia" w:ascii="宋体" w:hAnsi="宋体" w:eastAsia="宋体" w:cs="Times New Roman"/>
          <w:kern w:val="0"/>
          <w:sz w:val="22"/>
          <w:szCs w:val="22"/>
        </w:rPr>
        <w:t>。评标委员会对满足招标文件实质要求的投标文件，根据本章第2.2款规定的量化因素及量化标准进行价格折算，按照经评审的投标价（即评标价）由低到高的顺序推荐3个中标候选人，但投标报价低于其成本的除外。当有效投标为2人时，可推荐2人，不足2人时，评标委员会不推荐中标候选人，本次招标失败。经评审的投标价（即评标价）相等时，投标报价低的优先；投标报价也相等的，由评标委员会自行确定。处于同一优先推荐顺序的投标人全部纳入中标候选人。</w:t>
      </w:r>
    </w:p>
    <w:p w14:paraId="7F6FAF07">
      <w:pPr>
        <w:spacing w:line="400" w:lineRule="exact"/>
        <w:ind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例：经评审的投标价最低的为3人及以上，则全部推荐为中标候选人，不再推荐经评审的投标价次低的投标人。经评审的投标价最低的投标人为2人，经评审的投标价次低的投标人为2人及以上，则以上投标人全部推荐为中标候选人。其他情形以此类推。）</w:t>
      </w:r>
    </w:p>
    <w:p w14:paraId="09B75C53">
      <w:pPr>
        <w:spacing w:line="400" w:lineRule="exact"/>
        <w:ind w:left="0" w:leftChars="0"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推荐的中标候选人不排序。评标委员会须对中标候选人逐一出具评审意见，相关评审意见应针对性阐述中标候选人投标文件的优点、不足、可能存在的风险等，不得泛泛而谈。评标委员会应按照实际中标候选人人数推荐中标候选人。</w:t>
      </w:r>
    </w:p>
    <w:p w14:paraId="5976E005">
      <w:pPr>
        <w:keepNext/>
        <w:keepLines/>
        <w:widowControl w:val="0"/>
        <w:spacing w:line="400" w:lineRule="exact"/>
        <w:ind w:left="376" w:leftChars="171"/>
        <w:jc w:val="both"/>
        <w:outlineLvl w:val="2"/>
        <w:rPr>
          <w:rFonts w:hint="eastAsia" w:ascii="宋体" w:hAnsi="宋体" w:eastAsia="宋体" w:cs="Times New Roman"/>
          <w:b/>
          <w:bCs/>
          <w:sz w:val="22"/>
          <w:szCs w:val="22"/>
        </w:rPr>
      </w:pPr>
      <w:r>
        <w:rPr>
          <w:rFonts w:hint="eastAsia" w:ascii="宋体" w:hAnsi="宋体" w:eastAsia="宋体" w:cs="Times New Roman"/>
          <w:b/>
          <w:bCs/>
          <w:sz w:val="22"/>
          <w:szCs w:val="22"/>
        </w:rPr>
        <w:t>2、评审标准</w:t>
      </w:r>
    </w:p>
    <w:p w14:paraId="460CB82D">
      <w:pPr>
        <w:keepNext/>
        <w:keepLines/>
        <w:widowControl w:val="0"/>
        <w:spacing w:line="400" w:lineRule="exact"/>
        <w:ind w:left="376" w:leftChars="171"/>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2.1 初步评审标准</w:t>
      </w:r>
    </w:p>
    <w:p w14:paraId="440F93BB">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2.1.1 形式评审标准：见评标办法前附表。</w:t>
      </w:r>
    </w:p>
    <w:p w14:paraId="0F810609">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2.1.2 资格评审标准：见资格预审文件第三章“资格审查办法”详细审查标准（适用于已进行资格预审的）。</w:t>
      </w:r>
    </w:p>
    <w:p w14:paraId="75DB9EE5">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2.1.3 响应性评审标准：见评标办法前附表。</w:t>
      </w:r>
    </w:p>
    <w:p w14:paraId="59FDF30A">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2.1.4 施工组织设计和项目管理机构评审标准：见评标办法前附表。</w:t>
      </w:r>
    </w:p>
    <w:p w14:paraId="29F06A28">
      <w:pPr>
        <w:keepNext/>
        <w:keepLines/>
        <w:widowControl w:val="0"/>
        <w:spacing w:line="400" w:lineRule="exact"/>
        <w:ind w:left="376" w:leftChars="171"/>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2.2 详细评审标准</w:t>
      </w:r>
    </w:p>
    <w:p w14:paraId="788B0F59">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详细评审标准：见评标办法前附表。</w:t>
      </w:r>
    </w:p>
    <w:p w14:paraId="785BA51E">
      <w:pPr>
        <w:keepNext/>
        <w:keepLines/>
        <w:widowControl w:val="0"/>
        <w:spacing w:line="400" w:lineRule="exact"/>
        <w:ind w:left="376" w:leftChars="171"/>
        <w:jc w:val="both"/>
        <w:outlineLvl w:val="2"/>
        <w:rPr>
          <w:rFonts w:hint="eastAsia" w:ascii="宋体" w:hAnsi="宋体" w:eastAsia="宋体" w:cs="Times New Roman"/>
          <w:b/>
          <w:bCs/>
          <w:sz w:val="22"/>
          <w:szCs w:val="22"/>
        </w:rPr>
      </w:pPr>
      <w:r>
        <w:rPr>
          <w:rFonts w:hint="eastAsia" w:ascii="宋体" w:hAnsi="宋体" w:eastAsia="宋体" w:cs="Times New Roman"/>
          <w:b/>
          <w:bCs/>
          <w:sz w:val="22"/>
          <w:szCs w:val="22"/>
        </w:rPr>
        <w:t>3、评标程序</w:t>
      </w:r>
    </w:p>
    <w:p w14:paraId="75FDF77F">
      <w:pPr>
        <w:keepNext/>
        <w:keepLines/>
        <w:widowControl w:val="0"/>
        <w:spacing w:line="400" w:lineRule="exact"/>
        <w:ind w:left="376" w:leftChars="171"/>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3.1 初步评审</w:t>
      </w:r>
    </w:p>
    <w:p w14:paraId="5368EDEA">
      <w:pPr>
        <w:spacing w:line="400" w:lineRule="exact"/>
        <w:ind w:left="376" w:leftChars="171" w:firstLine="440" w:firstLineChars="200"/>
        <w:jc w:val="both"/>
        <w:rPr>
          <w:rFonts w:hint="eastAsia" w:ascii="宋体" w:hAnsi="宋体" w:eastAsia="宋体" w:cs="Times New Roman"/>
          <w:spacing w:val="-2"/>
          <w:kern w:val="0"/>
          <w:sz w:val="22"/>
          <w:szCs w:val="22"/>
        </w:rPr>
      </w:pPr>
      <w:r>
        <w:rPr>
          <w:rFonts w:hint="eastAsia" w:ascii="宋体" w:hAnsi="宋体" w:eastAsia="宋体" w:cs="Times New Roman"/>
          <w:kern w:val="0"/>
          <w:sz w:val="22"/>
          <w:szCs w:val="22"/>
        </w:rPr>
        <w:t>3.1.1</w:t>
      </w:r>
      <w:r>
        <w:rPr>
          <w:rFonts w:hint="eastAsia" w:ascii="宋体" w:hAnsi="宋体" w:eastAsia="宋体" w:cs="Times New Roman"/>
          <w:spacing w:val="-2"/>
          <w:kern w:val="0"/>
          <w:sz w:val="22"/>
          <w:szCs w:val="22"/>
        </w:rPr>
        <w:t>评标委员会依据本章第2.1款规定的标准对投标文件进行初步评审。有一项不符合评审标准的，作否决投标处理。（适用于未进行资格预审的）</w:t>
      </w:r>
    </w:p>
    <w:p w14:paraId="3F5E5D62">
      <w:pPr>
        <w:spacing w:line="400" w:lineRule="exact"/>
        <w:ind w:left="376" w:leftChars="171" w:firstLine="432" w:firstLineChars="200"/>
        <w:jc w:val="both"/>
        <w:rPr>
          <w:rFonts w:hint="eastAsia" w:ascii="宋体" w:hAnsi="宋体" w:eastAsia="宋体" w:cs="Times New Roman"/>
          <w:spacing w:val="-2"/>
          <w:kern w:val="0"/>
          <w:sz w:val="22"/>
          <w:szCs w:val="22"/>
        </w:rPr>
      </w:pPr>
      <w:r>
        <w:rPr>
          <w:rFonts w:hint="eastAsia" w:ascii="宋体" w:hAnsi="宋体" w:eastAsia="宋体" w:cs="Times New Roman"/>
          <w:spacing w:val="-2"/>
          <w:kern w:val="0"/>
          <w:sz w:val="22"/>
          <w:szCs w:val="22"/>
        </w:rPr>
        <w:t>3.1.1 评标委员会依据本章第2.1.1 项、第2.1.3 项、第2.1.4 项规定的标准对投标文件进行初步评审。有一项不符合评审标准的，作否决投标处理。当投标人资格预审申请文件的内容发生重大变化时，评标委员会依据本章第2.1.2 项规定的标准对其更新资料进行评审。（适用于已进行资格预审的）</w:t>
      </w:r>
    </w:p>
    <w:p w14:paraId="25D4FA36">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3.1.2投标人有以下情形之一的，其投标作否决投标处理：</w:t>
      </w:r>
    </w:p>
    <w:p w14:paraId="7F0E6F59">
      <w:pPr>
        <w:spacing w:line="400" w:lineRule="exact"/>
        <w:ind w:firstLine="880" w:firstLineChars="4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(l）第二章“投标人须知”第1.4.3 项规定的任何一种情形的；</w:t>
      </w:r>
    </w:p>
    <w:p w14:paraId="2C19311B">
      <w:pPr>
        <w:spacing w:line="400" w:lineRule="exact"/>
        <w:ind w:firstLine="880" w:firstLineChars="4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(2）串通投标或弄虚作假或有其他违法行为的；</w:t>
      </w:r>
    </w:p>
    <w:p w14:paraId="3451836A">
      <w:pPr>
        <w:spacing w:line="400" w:lineRule="exact"/>
        <w:ind w:firstLine="880" w:firstLineChars="4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(3）不按评标委员会要求澄清、说明或补正的。</w:t>
      </w:r>
    </w:p>
    <w:p w14:paraId="04C393CE">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3.1.3投标报价存在算数性错误的，应按以下原则对投标报价进行修正，评标委员会修正后的价格经投标人书面确认后具有约束力。投标人不接受修正价格或修正后价格高于</w:t>
      </w:r>
      <w:r>
        <w:rPr>
          <w:rFonts w:hint="eastAsia" w:ascii="宋体" w:hAnsi="宋体" w:cs="Times New Roman"/>
          <w:kern w:val="0"/>
          <w:sz w:val="22"/>
          <w:szCs w:val="22"/>
          <w:lang w:eastAsia="zh-CN"/>
        </w:rPr>
        <w:t>最高投标限价</w:t>
      </w:r>
      <w:r>
        <w:rPr>
          <w:rFonts w:hint="eastAsia" w:ascii="宋体" w:hAnsi="宋体" w:eastAsia="宋体" w:cs="Times New Roman"/>
          <w:kern w:val="0"/>
          <w:sz w:val="22"/>
          <w:szCs w:val="22"/>
        </w:rPr>
        <w:t>的，评标委员会应否决其投标。</w:t>
      </w:r>
    </w:p>
    <w:p w14:paraId="69303420">
      <w:pPr>
        <w:spacing w:line="400" w:lineRule="exact"/>
        <w:ind w:left="376" w:leftChars="171" w:firstLine="514" w:firstLineChars="234"/>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（1）当综合单价与工程量（或计算基础金额与费率）的乘积与合价不一致时，以综合单价（或费率）为准修正合价及总价；</w:t>
      </w:r>
    </w:p>
    <w:p w14:paraId="615E648F">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（2）当各单项金额相加与其合计金额不一致时，以各单项金额为准修正相应合计金额及总价。</w:t>
      </w:r>
    </w:p>
    <w:p w14:paraId="647EDB06">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3.1.4评标前，评标委员会应通过各级公共资源交易服务中心评标系统对所有投标文件的编制电脑机器码进行检查。对于投标文件编制电脑机器码相同的投标文件，评标委员会应以涉嫌围标串标对涉及的投标人的投标文件作否决投标处理。</w:t>
      </w:r>
    </w:p>
    <w:p w14:paraId="3DFDF760">
      <w:pPr>
        <w:keepNext/>
        <w:keepLines/>
        <w:widowControl w:val="0"/>
        <w:spacing w:line="400" w:lineRule="exact"/>
        <w:ind w:left="376" w:leftChars="171"/>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3.2 详细评审</w:t>
      </w:r>
    </w:p>
    <w:p w14:paraId="714B790C">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3.2.1 评标委员会按本章第2.2 款规定的量化因素，计算出评标价，并编制价格比较一览表。</w:t>
      </w:r>
    </w:p>
    <w:p w14:paraId="089C4E05">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3.2.2 评标委员会</w:t>
      </w:r>
      <w:r>
        <w:rPr>
          <w:rFonts w:hint="eastAsia" w:ascii="宋体" w:hAnsi="宋体" w:eastAsia="宋体" w:cs="Times New Roman"/>
          <w:spacing w:val="-2"/>
          <w:kern w:val="0"/>
          <w:sz w:val="22"/>
          <w:szCs w:val="22"/>
        </w:rPr>
        <w:t>发现</w:t>
      </w:r>
      <w:r>
        <w:rPr>
          <w:rFonts w:hint="eastAsia" w:ascii="宋体" w:hAnsi="宋体" w:eastAsia="宋体" w:cs="Times New Roman"/>
          <w:kern w:val="0"/>
          <w:sz w:val="22"/>
          <w:szCs w:val="22"/>
        </w:rPr>
        <w:t>投标人的报价明显低于其他投标报价，或者在设有标底时明显低于标底，使得其投标报价可能低于其成本的，应当要求该投标人作出书面说明并提供相应的证明材料。投标人不能合理说明或者不能提供相应证明材料的，由评标委员会认定该投标人以低于成本报价竞标，其投标作否决投标处理。</w:t>
      </w:r>
    </w:p>
    <w:p w14:paraId="392EBDFF">
      <w:pPr>
        <w:keepNext/>
        <w:keepLines/>
        <w:widowControl w:val="0"/>
        <w:spacing w:line="400" w:lineRule="exact"/>
        <w:ind w:left="376" w:leftChars="171"/>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3.3 投标文件的澄清和补正</w:t>
      </w:r>
    </w:p>
    <w:p w14:paraId="5CB58E12">
      <w:pPr>
        <w:keepNext w:val="0"/>
        <w:keepLines w:val="0"/>
        <w:suppressLineNumbers w:val="0"/>
        <w:snapToGrid/>
        <w:spacing w:before="0" w:beforeAutospacing="0" w:after="0" w:afterAutospacing="0" w:line="400" w:lineRule="exact"/>
        <w:ind w:left="376" w:leftChars="171" w:right="0" w:firstLine="514" w:firstLineChars="234"/>
        <w:jc w:val="both"/>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3.3.1 评标专家在评审过程中，对认为需要投标人澄清、说明或补正的事项，应提请评标委员会向投标人发出书面《评标委员会向投标人质疑函》（详附件1.1）进行询问。投标人的澄清、说明或补正应当采用书面形式，并由其法定代表人或授权代理人签字或签章。</w:t>
      </w:r>
    </w:p>
    <w:p w14:paraId="61A59433">
      <w:pPr>
        <w:keepNext w:val="0"/>
        <w:keepLines w:val="0"/>
        <w:suppressLineNumbers w:val="0"/>
        <w:snapToGrid/>
        <w:spacing w:before="0" w:beforeAutospacing="0" w:after="0" w:afterAutospacing="0" w:line="400" w:lineRule="exact"/>
        <w:ind w:left="376" w:leftChars="171" w:right="0" w:firstLine="514" w:firstLineChars="234"/>
        <w:jc w:val="both"/>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3.3.2如果评标委员会对投标人提交的澄清、说明或补正依然存在疑问，可以进一步要求投标人澄清、说明或补正，直至评标委员会认为全部疑问得到澄清和说明。</w:t>
      </w:r>
    </w:p>
    <w:p w14:paraId="5DEE08DC">
      <w:pPr>
        <w:keepNext w:val="0"/>
        <w:keepLines w:val="0"/>
        <w:pageBreakBefore w:val="0"/>
        <w:widowControl w:val="0"/>
        <w:kinsoku/>
        <w:wordWrap/>
        <w:overflowPunct/>
        <w:topLinePunct w:val="0"/>
        <w:autoSpaceDE/>
        <w:autoSpaceDN/>
        <w:bidi w:val="0"/>
        <w:adjustRightInd/>
        <w:snapToGrid/>
        <w:spacing w:line="400" w:lineRule="exact"/>
        <w:ind w:left="376" w:leftChars="171" w:firstLine="440" w:firstLineChars="200"/>
        <w:jc w:val="both"/>
        <w:textAlignment w:val="auto"/>
        <w:rPr>
          <w:rFonts w:hint="eastAsia" w:ascii="宋体" w:hAnsi="宋体" w:eastAsia="宋体" w:cs="Times New Roman"/>
          <w:kern w:val="0"/>
          <w:sz w:val="22"/>
          <w:szCs w:val="22"/>
        </w:rPr>
      </w:pPr>
      <w:r>
        <w:rPr>
          <w:rFonts w:hint="eastAsia" w:ascii="宋体" w:hAnsi="宋体" w:cs="Times New Roman"/>
          <w:b w:val="0"/>
          <w:bCs w:val="0"/>
          <w:i w:val="0"/>
          <w:color w:val="000000"/>
          <w:highlight w:val="none"/>
        </w:rPr>
        <w:t>3.3.3如果投标人未按规定对《评标委员会向投标人质疑函》内容要求作出澄清、说明或补正的，其投标应予以否决。评标委员会发出的《评标委员会向投标人质疑函》应当给予投标人合理的澄清、说明或补正所需时间。</w:t>
      </w:r>
    </w:p>
    <w:p w14:paraId="7307C3DC">
      <w:pPr>
        <w:keepNext/>
        <w:keepLines/>
        <w:widowControl w:val="0"/>
        <w:spacing w:line="400" w:lineRule="exact"/>
        <w:ind w:left="376" w:leftChars="171"/>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3.4 招标文件的澄清和补正</w:t>
      </w:r>
    </w:p>
    <w:p w14:paraId="5B58FB09">
      <w:pPr>
        <w:spacing w:line="400" w:lineRule="exact"/>
        <w:ind w:left="376" w:leftChars="171"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3.4.1评标专家在评审过程中，认为需要招标人对招标文件进行解释、说明的事项，应提请评标委员会向招标人发出书面《评标委员会向招标人质疑函》（详附件1.2）进行询问。招标人的解释、说明应当采用书面形式，并由其法定代表人或授权代理人签字或签章。招标人的解释、说明应当合法、公平、公正，并不得改变招标文件的实质性内容。</w:t>
      </w:r>
    </w:p>
    <w:p w14:paraId="0EA2B9CD">
      <w:pPr>
        <w:spacing w:line="400" w:lineRule="exact"/>
        <w:ind w:left="376" w:leftChars="171"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3.4.2如果招标人未按规定提交《评标委员会向招标人质疑函》，评标委员会可暂停评标或按不利于招标人的方式处理，招标人承担相应责任。</w:t>
      </w:r>
    </w:p>
    <w:p w14:paraId="3822F1F9">
      <w:pPr>
        <w:keepNext/>
        <w:keepLines/>
        <w:widowControl w:val="0"/>
        <w:spacing w:line="400" w:lineRule="exact"/>
        <w:ind w:left="376" w:leftChars="171"/>
        <w:jc w:val="both"/>
        <w:outlineLvl w:val="3"/>
        <w:rPr>
          <w:rFonts w:hint="eastAsia" w:ascii="宋体" w:hAnsi="宋体" w:eastAsia="宋体" w:cs="Times New Roman"/>
          <w:b/>
          <w:bCs/>
          <w:sz w:val="22"/>
          <w:szCs w:val="22"/>
          <w:lang w:val="zh-CN" w:eastAsia="zh-CN"/>
        </w:rPr>
      </w:pPr>
      <w:r>
        <w:rPr>
          <w:rFonts w:hint="eastAsia" w:ascii="宋体" w:hAnsi="宋体" w:eastAsia="宋体" w:cs="Times New Roman"/>
          <w:b/>
          <w:bCs/>
          <w:sz w:val="22"/>
          <w:szCs w:val="22"/>
          <w:lang w:val="zh-CN" w:eastAsia="zh-CN"/>
        </w:rPr>
        <w:t>3.5 评标结果</w:t>
      </w:r>
    </w:p>
    <w:p w14:paraId="70D5332D">
      <w:pPr>
        <w:spacing w:line="400" w:lineRule="exact"/>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3.5.1评标委员会按照本章“1.评标方法”规定，推荐中标候选人。</w:t>
      </w:r>
    </w:p>
    <w:p w14:paraId="17CE60F2">
      <w:pPr>
        <w:spacing w:line="400" w:lineRule="exact"/>
        <w:ind w:left="376" w:leftChars="171" w:firstLine="440" w:firstLineChars="200"/>
        <w:jc w:val="both"/>
        <w:rPr>
          <w:rFonts w:hint="eastAsia" w:ascii="Calibri" w:hAnsi="Calibri" w:eastAsia="宋体" w:cs="Times New Roman"/>
          <w:kern w:val="0"/>
          <w:sz w:val="22"/>
          <w:szCs w:val="22"/>
        </w:rPr>
      </w:pPr>
      <w:r>
        <w:rPr>
          <w:rFonts w:hint="eastAsia" w:ascii="宋体" w:hAnsi="宋体" w:eastAsia="宋体" w:cs="Times New Roman"/>
          <w:kern w:val="0"/>
          <w:sz w:val="22"/>
          <w:szCs w:val="22"/>
        </w:rPr>
        <w:t xml:space="preserve">3.5.2 </w:t>
      </w:r>
      <w:r>
        <w:rPr>
          <w:rFonts w:hint="eastAsia" w:ascii="Calibri" w:hAnsi="Calibri" w:eastAsia="宋体" w:cs="Times New Roman"/>
          <w:kern w:val="0"/>
          <w:sz w:val="22"/>
          <w:szCs w:val="22"/>
        </w:rPr>
        <w:t>评标委员会完成</w:t>
      </w:r>
      <w:r>
        <w:rPr>
          <w:rFonts w:hint="eastAsia" w:ascii="宋体" w:hAnsi="宋体" w:eastAsia="宋体" w:cs="Times New Roman"/>
          <w:spacing w:val="-2"/>
          <w:kern w:val="0"/>
          <w:sz w:val="22"/>
          <w:szCs w:val="22"/>
        </w:rPr>
        <w:t>评标</w:t>
      </w:r>
      <w:r>
        <w:rPr>
          <w:rFonts w:hint="eastAsia" w:ascii="Calibri" w:hAnsi="Calibri" w:eastAsia="宋体" w:cs="Times New Roman"/>
          <w:kern w:val="0"/>
          <w:sz w:val="22"/>
          <w:szCs w:val="22"/>
        </w:rPr>
        <w:t>后，应当向招标人提交书面评标报告。</w:t>
      </w:r>
    </w:p>
    <w:p w14:paraId="5FFC40EE">
      <w:r>
        <w:rPr>
          <w:rFonts w:ascii="宋体" w:hAnsi="宋体"/>
          <w:szCs w:val="22"/>
        </w:rPr>
        <w:br w:type="page"/>
      </w:r>
      <w:bookmarkStart w:id="157" w:name="_Toc23182"/>
      <w:bookmarkStart w:id="158" w:name="_Toc9899"/>
      <w:bookmarkStart w:id="159" w:name="_Toc1442"/>
      <w:r>
        <w:rPr>
          <w:rFonts w:hint="eastAsia"/>
          <w:b/>
          <w:bCs/>
        </w:rPr>
        <w:t>附件1：质疑用表</w:t>
      </w:r>
    </w:p>
    <w:p w14:paraId="0CB420A5">
      <w:pPr>
        <w:spacing w:line="23" w:lineRule="atLeast"/>
        <w:jc w:val="left"/>
        <w:rPr>
          <w:rFonts w:hint="eastAsia" w:ascii="宋体" w:hAnsi="宋体" w:eastAsia="宋体" w:cs="Times New Roman"/>
          <w:kern w:val="0"/>
          <w:sz w:val="22"/>
          <w:szCs w:val="22"/>
          <w:lang w:eastAsia="zh-CN"/>
        </w:rPr>
      </w:pPr>
      <w:r>
        <w:rPr>
          <w:rFonts w:hint="eastAsia" w:ascii="宋体" w:hAnsi="宋体" w:eastAsia="宋体" w:cs="Times New Roman"/>
          <w:kern w:val="0"/>
          <w:sz w:val="22"/>
          <w:szCs w:val="22"/>
        </w:rPr>
        <w:t>1.1</w:t>
      </w:r>
      <w:r>
        <w:rPr>
          <w:rFonts w:hint="eastAsia" w:ascii="宋体" w:hAnsi="宋体" w:cs="Times New Roman"/>
          <w:kern w:val="0"/>
          <w:sz w:val="22"/>
          <w:szCs w:val="22"/>
          <w:lang w:eastAsia="zh-CN"/>
        </w:rPr>
        <w:t>评标委员会向投标人质疑函</w:t>
      </w:r>
    </w:p>
    <w:p w14:paraId="0D559502">
      <w:pPr>
        <w:widowControl w:val="0"/>
        <w:spacing w:line="23" w:lineRule="atLeast"/>
        <w:ind w:left="720" w:firstLine="0" w:firstLineChars="0"/>
        <w:jc w:val="center"/>
        <w:rPr>
          <w:rFonts w:hint="eastAsia" w:ascii="宋体" w:hAnsi="宋体" w:eastAsia="宋体" w:cs="Times New Roman"/>
          <w:b/>
          <w:sz w:val="22"/>
          <w:szCs w:val="22"/>
          <w:lang w:eastAsia="zh-CN"/>
        </w:rPr>
      </w:pPr>
      <w:r>
        <w:rPr>
          <w:rFonts w:hint="eastAsia" w:ascii="宋体" w:hAnsi="宋体" w:cs="Times New Roman"/>
          <w:b/>
          <w:sz w:val="22"/>
          <w:szCs w:val="22"/>
          <w:lang w:eastAsia="zh-CN"/>
        </w:rPr>
        <w:t>评标委员会向投标人质疑函</w:t>
      </w:r>
    </w:p>
    <w:p w14:paraId="2712FA93">
      <w:pPr>
        <w:spacing w:line="23" w:lineRule="atLeast"/>
        <w:jc w:val="both"/>
        <w:rPr>
          <w:rFonts w:ascii="Calibri" w:hAnsi="Calibri" w:eastAsia="宋体" w:cs="Times New Roman"/>
          <w:kern w:val="0"/>
          <w:sz w:val="22"/>
          <w:szCs w:val="22"/>
        </w:rPr>
      </w:pPr>
      <w:r>
        <w:rPr>
          <w:rFonts w:hint="eastAsia" w:ascii="Calibri" w:hAnsi="Calibri" w:eastAsia="宋体" w:cs="Times New Roman"/>
          <w:kern w:val="0"/>
          <w:sz w:val="22"/>
          <w:szCs w:val="22"/>
        </w:rPr>
        <w:t>投标人名称：                                                    编号：</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8100"/>
      </w:tblGrid>
      <w:tr w14:paraId="4951E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1668" w:type="dxa"/>
            <w:gridSpan w:val="2"/>
            <w:vAlign w:val="center"/>
          </w:tcPr>
          <w:p w14:paraId="4EA35013">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工程名称</w:t>
            </w:r>
          </w:p>
        </w:tc>
        <w:tc>
          <w:tcPr>
            <w:tcW w:w="8100" w:type="dxa"/>
            <w:vAlign w:val="center"/>
          </w:tcPr>
          <w:p w14:paraId="1FBE1949">
            <w:pPr>
              <w:spacing w:line="23" w:lineRule="atLeast"/>
              <w:ind w:firstLine="2310" w:firstLineChars="1050"/>
              <w:jc w:val="center"/>
              <w:rPr>
                <w:rFonts w:ascii="Calibri" w:hAnsi="Calibri" w:eastAsia="宋体" w:cs="Times New Roman"/>
                <w:kern w:val="0"/>
                <w:sz w:val="22"/>
                <w:szCs w:val="22"/>
              </w:rPr>
            </w:pPr>
          </w:p>
        </w:tc>
      </w:tr>
      <w:tr w14:paraId="4B532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23" w:hRule="atLeast"/>
          <w:jc w:val="center"/>
        </w:trPr>
        <w:tc>
          <w:tcPr>
            <w:tcW w:w="817" w:type="dxa"/>
          </w:tcPr>
          <w:p w14:paraId="2950A54C">
            <w:pPr>
              <w:spacing w:line="23" w:lineRule="atLeast"/>
              <w:jc w:val="center"/>
              <w:rPr>
                <w:rFonts w:ascii="Calibri" w:hAnsi="Calibri" w:eastAsia="宋体" w:cs="Times New Roman"/>
                <w:kern w:val="0"/>
                <w:sz w:val="22"/>
                <w:szCs w:val="22"/>
              </w:rPr>
            </w:pPr>
          </w:p>
          <w:p w14:paraId="235C3C8E">
            <w:pPr>
              <w:spacing w:line="23" w:lineRule="atLeast"/>
              <w:jc w:val="center"/>
              <w:rPr>
                <w:rFonts w:ascii="Calibri" w:hAnsi="Calibri" w:eastAsia="宋体" w:cs="Times New Roman"/>
                <w:kern w:val="0"/>
                <w:sz w:val="22"/>
                <w:szCs w:val="22"/>
              </w:rPr>
            </w:pPr>
          </w:p>
          <w:p w14:paraId="2BBEBBA8">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质</w:t>
            </w:r>
          </w:p>
          <w:p w14:paraId="2E3003C5">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疑</w:t>
            </w:r>
          </w:p>
          <w:p w14:paraId="2182B3B2">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问</w:t>
            </w:r>
          </w:p>
          <w:p w14:paraId="1A7198F6">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题</w:t>
            </w:r>
          </w:p>
          <w:p w14:paraId="0FCDEDF8">
            <w:pPr>
              <w:spacing w:line="23" w:lineRule="atLeast"/>
              <w:jc w:val="center"/>
              <w:rPr>
                <w:rFonts w:ascii="Calibri" w:hAnsi="Calibri" w:eastAsia="宋体" w:cs="Times New Roman"/>
                <w:kern w:val="0"/>
                <w:sz w:val="22"/>
                <w:szCs w:val="22"/>
              </w:rPr>
            </w:pPr>
          </w:p>
        </w:tc>
        <w:tc>
          <w:tcPr>
            <w:tcW w:w="8951" w:type="dxa"/>
            <w:gridSpan w:val="2"/>
          </w:tcPr>
          <w:p w14:paraId="2B110E17">
            <w:pPr>
              <w:spacing w:line="23" w:lineRule="atLeast"/>
              <w:jc w:val="both"/>
              <w:rPr>
                <w:rFonts w:ascii="Calibri" w:hAnsi="Calibri" w:eastAsia="宋体" w:cs="Times New Roman"/>
                <w:kern w:val="0"/>
                <w:sz w:val="22"/>
                <w:szCs w:val="22"/>
              </w:rPr>
            </w:pPr>
          </w:p>
          <w:p w14:paraId="6ACFBE16">
            <w:pPr>
              <w:spacing w:line="23" w:lineRule="atLeast"/>
              <w:jc w:val="both"/>
              <w:rPr>
                <w:rFonts w:ascii="Calibri" w:hAnsi="Calibri" w:eastAsia="宋体" w:cs="Times New Roman"/>
                <w:kern w:val="0"/>
                <w:sz w:val="22"/>
                <w:szCs w:val="22"/>
              </w:rPr>
            </w:pPr>
          </w:p>
          <w:p w14:paraId="44071D08">
            <w:pPr>
              <w:spacing w:line="23" w:lineRule="atLeast"/>
              <w:jc w:val="both"/>
              <w:rPr>
                <w:rFonts w:ascii="Calibri" w:hAnsi="Calibri" w:eastAsia="宋体" w:cs="Times New Roman"/>
                <w:kern w:val="0"/>
                <w:sz w:val="22"/>
                <w:szCs w:val="22"/>
              </w:rPr>
            </w:pPr>
          </w:p>
          <w:p w14:paraId="02E026FE">
            <w:pPr>
              <w:spacing w:line="23" w:lineRule="atLeast"/>
              <w:jc w:val="right"/>
              <w:rPr>
                <w:rFonts w:ascii="Calibri" w:hAnsi="Calibri" w:eastAsia="宋体" w:cs="Times New Roman"/>
                <w:kern w:val="0"/>
                <w:sz w:val="22"/>
                <w:szCs w:val="22"/>
              </w:rPr>
            </w:pPr>
          </w:p>
          <w:p w14:paraId="04BAFF25">
            <w:pPr>
              <w:spacing w:line="23" w:lineRule="atLeast"/>
              <w:jc w:val="right"/>
              <w:rPr>
                <w:rFonts w:ascii="Calibri" w:hAnsi="Calibri" w:eastAsia="宋体" w:cs="Times New Roman"/>
                <w:kern w:val="0"/>
                <w:sz w:val="22"/>
                <w:szCs w:val="22"/>
                <w:u w:val="single"/>
              </w:rPr>
            </w:pPr>
          </w:p>
          <w:p w14:paraId="79E284B2">
            <w:pPr>
              <w:spacing w:line="23" w:lineRule="atLeast"/>
              <w:jc w:val="right"/>
              <w:rPr>
                <w:rFonts w:ascii="Calibri" w:hAnsi="Calibri" w:eastAsia="宋体" w:cs="Times New Roman"/>
                <w:kern w:val="0"/>
                <w:sz w:val="22"/>
                <w:szCs w:val="22"/>
              </w:rPr>
            </w:pPr>
            <w:r>
              <w:rPr>
                <w:rFonts w:hint="eastAsia" w:ascii="Calibri" w:hAnsi="Calibri" w:eastAsia="宋体" w:cs="Times New Roman"/>
                <w:kern w:val="0"/>
                <w:sz w:val="22"/>
                <w:szCs w:val="22"/>
                <w:u w:val="single"/>
              </w:rPr>
              <w:t xml:space="preserve">   </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（项目名称）</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标段施工招标评标委员会</w:t>
            </w:r>
          </w:p>
          <w:p w14:paraId="683F5951">
            <w:pPr>
              <w:spacing w:line="23" w:lineRule="atLeast"/>
              <w:jc w:val="right"/>
              <w:rPr>
                <w:rFonts w:ascii="Calibri" w:hAnsi="Calibri" w:eastAsia="宋体" w:cs="Times New Roman"/>
                <w:kern w:val="0"/>
                <w:sz w:val="22"/>
                <w:szCs w:val="22"/>
                <w:u w:val="single"/>
              </w:rPr>
            </w:pPr>
            <w:r>
              <w:rPr>
                <w:rFonts w:hint="eastAsia" w:ascii="Calibri" w:hAnsi="Calibri" w:eastAsia="宋体" w:cs="Times New Roman"/>
                <w:kern w:val="0"/>
                <w:sz w:val="22"/>
                <w:szCs w:val="22"/>
              </w:rPr>
              <w:t xml:space="preserve">                            年   月   日    时    分（北京时间）</w:t>
            </w:r>
          </w:p>
        </w:tc>
      </w:tr>
      <w:tr w14:paraId="570CD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352" w:hRule="atLeast"/>
          <w:jc w:val="center"/>
        </w:trPr>
        <w:tc>
          <w:tcPr>
            <w:tcW w:w="817" w:type="dxa"/>
          </w:tcPr>
          <w:p w14:paraId="3DADC3BF">
            <w:pPr>
              <w:spacing w:line="23" w:lineRule="atLeast"/>
              <w:jc w:val="center"/>
              <w:rPr>
                <w:rFonts w:ascii="Calibri" w:hAnsi="Calibri" w:eastAsia="宋体" w:cs="Times New Roman"/>
                <w:kern w:val="0"/>
                <w:sz w:val="22"/>
                <w:szCs w:val="22"/>
              </w:rPr>
            </w:pPr>
          </w:p>
          <w:p w14:paraId="2615DE8C">
            <w:pPr>
              <w:spacing w:line="23" w:lineRule="atLeast"/>
              <w:jc w:val="center"/>
              <w:rPr>
                <w:rFonts w:ascii="Calibri" w:hAnsi="Calibri" w:eastAsia="宋体" w:cs="Times New Roman"/>
                <w:kern w:val="0"/>
                <w:sz w:val="22"/>
                <w:szCs w:val="22"/>
              </w:rPr>
            </w:pPr>
          </w:p>
          <w:p w14:paraId="6D00EA44">
            <w:pPr>
              <w:spacing w:line="23" w:lineRule="atLeast"/>
              <w:jc w:val="center"/>
              <w:rPr>
                <w:rFonts w:ascii="Calibri" w:hAnsi="Calibri" w:eastAsia="宋体" w:cs="Times New Roman"/>
                <w:kern w:val="0"/>
                <w:sz w:val="22"/>
                <w:szCs w:val="22"/>
              </w:rPr>
            </w:pPr>
          </w:p>
          <w:p w14:paraId="11D26C77">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澄</w:t>
            </w:r>
          </w:p>
          <w:p w14:paraId="3922B1A3">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清</w:t>
            </w:r>
          </w:p>
          <w:p w14:paraId="5AF5CCD4">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内</w:t>
            </w:r>
          </w:p>
          <w:p w14:paraId="0A5DD08F">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容</w:t>
            </w:r>
          </w:p>
        </w:tc>
        <w:tc>
          <w:tcPr>
            <w:tcW w:w="8951" w:type="dxa"/>
            <w:gridSpan w:val="2"/>
          </w:tcPr>
          <w:p w14:paraId="32F0086A">
            <w:pPr>
              <w:spacing w:line="23" w:lineRule="atLeast"/>
              <w:jc w:val="both"/>
              <w:rPr>
                <w:rFonts w:ascii="Calibri" w:hAnsi="Calibri" w:eastAsia="宋体" w:cs="Times New Roman"/>
                <w:kern w:val="0"/>
                <w:sz w:val="22"/>
                <w:szCs w:val="22"/>
              </w:rPr>
            </w:pPr>
          </w:p>
          <w:p w14:paraId="55C9EF23">
            <w:pPr>
              <w:spacing w:line="23" w:lineRule="atLeast"/>
              <w:jc w:val="both"/>
              <w:rPr>
                <w:rFonts w:ascii="Calibri" w:hAnsi="Calibri" w:eastAsia="宋体" w:cs="Times New Roman"/>
                <w:kern w:val="0"/>
                <w:sz w:val="22"/>
                <w:szCs w:val="22"/>
              </w:rPr>
            </w:pPr>
          </w:p>
          <w:p w14:paraId="63F0DEEF">
            <w:pPr>
              <w:spacing w:line="23" w:lineRule="atLeast"/>
              <w:jc w:val="both"/>
              <w:rPr>
                <w:rFonts w:ascii="Calibri" w:hAnsi="Calibri" w:eastAsia="宋体" w:cs="Times New Roman"/>
                <w:kern w:val="0"/>
                <w:sz w:val="22"/>
                <w:szCs w:val="22"/>
              </w:rPr>
            </w:pPr>
          </w:p>
          <w:p w14:paraId="2F12135A">
            <w:pPr>
              <w:spacing w:line="23" w:lineRule="atLeast"/>
              <w:jc w:val="both"/>
              <w:rPr>
                <w:rFonts w:ascii="Calibri" w:hAnsi="Calibri" w:eastAsia="宋体" w:cs="Times New Roman"/>
                <w:kern w:val="0"/>
                <w:sz w:val="22"/>
                <w:szCs w:val="22"/>
              </w:rPr>
            </w:pPr>
          </w:p>
          <w:p w14:paraId="51EF5F43">
            <w:pPr>
              <w:spacing w:line="23" w:lineRule="atLeast"/>
              <w:jc w:val="both"/>
              <w:rPr>
                <w:rFonts w:ascii="Calibri" w:hAnsi="Calibri" w:eastAsia="宋体" w:cs="Times New Roman"/>
                <w:kern w:val="0"/>
                <w:sz w:val="22"/>
                <w:szCs w:val="22"/>
              </w:rPr>
            </w:pPr>
          </w:p>
          <w:p w14:paraId="218778DD">
            <w:pPr>
              <w:spacing w:line="23" w:lineRule="atLeast"/>
              <w:jc w:val="both"/>
              <w:rPr>
                <w:rFonts w:ascii="Calibri" w:hAnsi="Calibri" w:eastAsia="宋体" w:cs="Times New Roman"/>
                <w:kern w:val="0"/>
                <w:sz w:val="22"/>
                <w:szCs w:val="22"/>
              </w:rPr>
            </w:pPr>
          </w:p>
          <w:p w14:paraId="44D361A6">
            <w:pPr>
              <w:spacing w:line="23" w:lineRule="atLeast"/>
              <w:jc w:val="both"/>
              <w:rPr>
                <w:rFonts w:ascii="Calibri" w:hAnsi="Calibri" w:eastAsia="宋体" w:cs="Times New Roman"/>
                <w:kern w:val="0"/>
                <w:sz w:val="22"/>
                <w:szCs w:val="22"/>
              </w:rPr>
            </w:pPr>
          </w:p>
          <w:p w14:paraId="13311567">
            <w:pPr>
              <w:spacing w:line="23" w:lineRule="atLeast"/>
              <w:jc w:val="both"/>
              <w:rPr>
                <w:rFonts w:ascii="Calibri" w:hAnsi="Calibri" w:eastAsia="宋体" w:cs="Times New Roman"/>
                <w:kern w:val="0"/>
                <w:sz w:val="22"/>
                <w:szCs w:val="22"/>
              </w:rPr>
            </w:pPr>
          </w:p>
          <w:p w14:paraId="1099485B">
            <w:pPr>
              <w:spacing w:line="23" w:lineRule="atLeast"/>
              <w:ind w:left="2415" w:hanging="2530" w:hangingChars="1150"/>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w:t>
            </w:r>
          </w:p>
          <w:p w14:paraId="7B31FFCF">
            <w:pPr>
              <w:spacing w:line="23" w:lineRule="atLeast"/>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投标人法定代表人或其授权代理人：</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hint="eastAsia" w:ascii="Calibri" w:hAnsi="Calibri" w:eastAsia="宋体" w:cs="Times New Roman"/>
                <w:kern w:val="0"/>
                <w:sz w:val="22"/>
                <w:szCs w:val="22"/>
              </w:rPr>
              <w:t xml:space="preserve"> （签字或签章）</w:t>
            </w:r>
          </w:p>
          <w:p w14:paraId="63E18F9A">
            <w:pPr>
              <w:spacing w:line="23" w:lineRule="atLeast"/>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年   月   日    时    分（北京时间</w:t>
            </w:r>
            <w:r>
              <w:rPr>
                <w:rFonts w:hint="eastAsia" w:ascii="Calibri" w:hAnsi="Calibri" w:eastAsia="宋体" w:cs="Times New Roman"/>
                <w:b/>
                <w:kern w:val="0"/>
                <w:sz w:val="22"/>
                <w:szCs w:val="22"/>
              </w:rPr>
              <w:t>）</w:t>
            </w:r>
          </w:p>
        </w:tc>
      </w:tr>
      <w:tr w14:paraId="54AE1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48" w:hRule="atLeast"/>
          <w:jc w:val="center"/>
        </w:trPr>
        <w:tc>
          <w:tcPr>
            <w:tcW w:w="817" w:type="dxa"/>
            <w:vAlign w:val="center"/>
          </w:tcPr>
          <w:p w14:paraId="27566319">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递交方式和时间</w:t>
            </w:r>
          </w:p>
        </w:tc>
        <w:tc>
          <w:tcPr>
            <w:tcW w:w="8951" w:type="dxa"/>
            <w:gridSpan w:val="2"/>
          </w:tcPr>
          <w:p w14:paraId="1E97FA56">
            <w:pPr>
              <w:spacing w:line="23" w:lineRule="atLeast"/>
              <w:jc w:val="both"/>
              <w:rPr>
                <w:rFonts w:ascii="Calibri" w:hAnsi="Calibri" w:eastAsia="宋体" w:cs="Times New Roman"/>
                <w:kern w:val="0"/>
                <w:sz w:val="22"/>
                <w:szCs w:val="22"/>
              </w:rPr>
            </w:pPr>
            <w:r>
              <w:rPr>
                <w:rFonts w:hint="eastAsia" w:ascii="Calibri" w:hAnsi="Calibri" w:eastAsia="宋体" w:cs="Times New Roman"/>
                <w:kern w:val="0"/>
                <w:sz w:val="22"/>
                <w:szCs w:val="22"/>
              </w:rPr>
              <w:t>请将上述问题的澄清、说明或者补正于   年   月   日    时    分（北京时间）前递交至</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（详细地址）。</w:t>
            </w:r>
          </w:p>
          <w:p w14:paraId="06C432D3">
            <w:pPr>
              <w:spacing w:line="23" w:lineRule="atLeast"/>
              <w:ind w:left="17" w:right="-4" w:rightChars="-2"/>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注：评标委员会在评标过程中，如要求投标人澄清或说明的，评标委员会要求投标人递交书面澄清或说明的时间距</w:t>
            </w:r>
            <w:r>
              <w:rPr>
                <w:rFonts w:hint="eastAsia" w:ascii="宋体" w:hAnsi="宋体" w:cs="Times New Roman"/>
                <w:kern w:val="0"/>
                <w:sz w:val="22"/>
                <w:szCs w:val="22"/>
                <w:lang w:val="en-US" w:eastAsia="zh-CN"/>
              </w:rPr>
              <w:t>投标人</w:t>
            </w:r>
            <w:r>
              <w:rPr>
                <w:rFonts w:hint="eastAsia" w:ascii="宋体" w:hAnsi="宋体" w:eastAsia="宋体" w:cs="Times New Roman"/>
                <w:kern w:val="0"/>
                <w:sz w:val="22"/>
                <w:szCs w:val="22"/>
              </w:rPr>
              <w:t>收到评标委员会书面通知的时间不得少于60分钟。</w:t>
            </w:r>
          </w:p>
          <w:p w14:paraId="20A9D948">
            <w:pPr>
              <w:spacing w:line="23" w:lineRule="atLeast"/>
              <w:jc w:val="both"/>
              <w:rPr>
                <w:rFonts w:ascii="Calibri" w:hAnsi="Calibri" w:eastAsia="宋体" w:cs="Times New Roman"/>
                <w:kern w:val="0"/>
                <w:sz w:val="22"/>
                <w:szCs w:val="22"/>
              </w:rPr>
            </w:pPr>
            <w:r>
              <w:rPr>
                <w:rFonts w:hint="eastAsia" w:ascii="宋体" w:hAnsi="宋体" w:eastAsia="宋体" w:cs="Times New Roman"/>
                <w:kern w:val="0"/>
                <w:sz w:val="22"/>
                <w:szCs w:val="22"/>
              </w:rPr>
              <w:t>评标委员会认为投标人的澄清或说明不够明确，应再次要求投标人对不明确的内容进行澄清或说明，评标委员会要求投标人再次递交书面澄清或说明的时间距</w:t>
            </w:r>
            <w:r>
              <w:rPr>
                <w:rFonts w:hint="eastAsia" w:ascii="宋体" w:hAnsi="宋体" w:cs="Times New Roman"/>
                <w:kern w:val="0"/>
                <w:sz w:val="22"/>
                <w:szCs w:val="22"/>
                <w:lang w:val="en-US" w:eastAsia="zh-CN"/>
              </w:rPr>
              <w:t>投标人</w:t>
            </w:r>
            <w:r>
              <w:rPr>
                <w:rFonts w:hint="eastAsia" w:ascii="宋体" w:hAnsi="宋体" w:eastAsia="宋体" w:cs="Times New Roman"/>
                <w:kern w:val="0"/>
                <w:sz w:val="22"/>
                <w:szCs w:val="22"/>
              </w:rPr>
              <w:t>收到评标委员会书面通知的时间不得少于30分钟。</w:t>
            </w:r>
          </w:p>
        </w:tc>
      </w:tr>
      <w:tr w14:paraId="51EB4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78" w:hRule="atLeast"/>
          <w:jc w:val="center"/>
        </w:trPr>
        <w:tc>
          <w:tcPr>
            <w:tcW w:w="817" w:type="dxa"/>
            <w:vAlign w:val="center"/>
          </w:tcPr>
          <w:p w14:paraId="1768D81E">
            <w:pPr>
              <w:spacing w:line="23" w:lineRule="atLeast"/>
              <w:jc w:val="center"/>
              <w:rPr>
                <w:rFonts w:ascii="Calibri" w:hAnsi="Calibri" w:eastAsia="宋体" w:cs="Times New Roman"/>
                <w:kern w:val="0"/>
                <w:sz w:val="22"/>
                <w:szCs w:val="22"/>
              </w:rPr>
            </w:pPr>
            <w:r>
              <w:rPr>
                <w:rFonts w:hint="eastAsia" w:ascii="Calibri" w:hAnsi="Calibri" w:eastAsia="宋体" w:cs="Times New Roman"/>
                <w:kern w:val="0"/>
                <w:sz w:val="22"/>
                <w:szCs w:val="22"/>
              </w:rPr>
              <w:t>结论</w:t>
            </w:r>
          </w:p>
        </w:tc>
        <w:tc>
          <w:tcPr>
            <w:tcW w:w="8951" w:type="dxa"/>
            <w:gridSpan w:val="2"/>
          </w:tcPr>
          <w:p w14:paraId="39983AAD">
            <w:pPr>
              <w:spacing w:line="23" w:lineRule="atLeast"/>
              <w:ind w:firstLine="2319" w:firstLineChars="1050"/>
              <w:jc w:val="both"/>
              <w:rPr>
                <w:rFonts w:ascii="Calibri" w:hAnsi="Calibri" w:eastAsia="宋体" w:cs="Times New Roman"/>
                <w:b/>
                <w:kern w:val="0"/>
                <w:sz w:val="22"/>
                <w:szCs w:val="22"/>
              </w:rPr>
            </w:pPr>
          </w:p>
          <w:p w14:paraId="48C19EAB">
            <w:pPr>
              <w:spacing w:line="23" w:lineRule="atLeast"/>
              <w:ind w:firstLine="2319" w:firstLineChars="1050"/>
              <w:jc w:val="both"/>
              <w:rPr>
                <w:rFonts w:ascii="Calibri" w:hAnsi="Calibri" w:eastAsia="宋体" w:cs="Times New Roman"/>
                <w:b/>
                <w:kern w:val="0"/>
                <w:sz w:val="22"/>
                <w:szCs w:val="22"/>
              </w:rPr>
            </w:pPr>
          </w:p>
          <w:p w14:paraId="7EAC7459">
            <w:pPr>
              <w:spacing w:line="23" w:lineRule="atLeast"/>
              <w:ind w:firstLine="2752" w:firstLineChars="1246"/>
              <w:jc w:val="right"/>
              <w:rPr>
                <w:rFonts w:ascii="Calibri" w:hAnsi="Calibri" w:eastAsia="宋体" w:cs="Times New Roman"/>
                <w:b/>
                <w:kern w:val="0"/>
                <w:sz w:val="22"/>
                <w:szCs w:val="22"/>
              </w:rPr>
            </w:pPr>
          </w:p>
          <w:p w14:paraId="1ACCEA4D">
            <w:pPr>
              <w:spacing w:line="23" w:lineRule="atLeast"/>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评标委员会：</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hint="eastAsia" w:ascii="Calibri" w:hAnsi="Calibri" w:eastAsia="宋体" w:cs="Times New Roman"/>
                <w:kern w:val="0"/>
                <w:sz w:val="22"/>
                <w:szCs w:val="22"/>
              </w:rPr>
              <w:t xml:space="preserve"> （签字或签章）</w:t>
            </w:r>
          </w:p>
          <w:p w14:paraId="68711911">
            <w:pPr>
              <w:spacing w:line="23" w:lineRule="atLeast"/>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年   月   日    时    分（北京时间）</w:t>
            </w:r>
          </w:p>
        </w:tc>
      </w:tr>
    </w:tbl>
    <w:p w14:paraId="70861FE6">
      <w:pPr>
        <w:widowControl w:val="0"/>
        <w:spacing w:line="23" w:lineRule="atLeast"/>
        <w:ind w:firstLine="0" w:firstLineChars="0"/>
        <w:jc w:val="both"/>
        <w:rPr>
          <w:rFonts w:ascii="Calibri" w:hAnsi="Calibri" w:eastAsia="宋体" w:cs="Times New Roman"/>
          <w:sz w:val="22"/>
          <w:szCs w:val="22"/>
        </w:rPr>
      </w:pPr>
    </w:p>
    <w:p w14:paraId="146B9BAB">
      <w:pPr>
        <w:spacing w:line="23" w:lineRule="atLeast"/>
        <w:jc w:val="left"/>
        <w:rPr>
          <w:rFonts w:hint="eastAsia" w:ascii="Calibri" w:hAnsi="Calibri" w:eastAsia="宋体" w:cs="Times New Roman"/>
          <w:kern w:val="0"/>
          <w:sz w:val="22"/>
          <w:szCs w:val="22"/>
          <w:lang w:eastAsia="zh-CN"/>
        </w:rPr>
      </w:pPr>
      <w:r>
        <w:rPr>
          <w:rFonts w:ascii="Calibri" w:hAnsi="Calibri" w:eastAsia="宋体" w:cs="Times New Roman"/>
          <w:kern w:val="0"/>
          <w:sz w:val="22"/>
          <w:szCs w:val="22"/>
        </w:rPr>
        <w:br w:type="page"/>
      </w:r>
      <w:r>
        <w:rPr>
          <w:rFonts w:hint="eastAsia" w:ascii="Calibri" w:hAnsi="Calibri" w:eastAsia="宋体" w:cs="Times New Roman"/>
          <w:kern w:val="0"/>
          <w:sz w:val="22"/>
          <w:szCs w:val="22"/>
        </w:rPr>
        <w:t>1.2</w:t>
      </w:r>
      <w:r>
        <w:rPr>
          <w:rFonts w:hint="eastAsia" w:ascii="Calibri" w:hAnsi="Calibri" w:cs="Times New Roman"/>
          <w:kern w:val="0"/>
          <w:sz w:val="22"/>
          <w:szCs w:val="22"/>
          <w:lang w:eastAsia="zh-CN"/>
        </w:rPr>
        <w:t>评标委员会向招标人质疑函</w:t>
      </w:r>
    </w:p>
    <w:p w14:paraId="32611C0B">
      <w:pPr>
        <w:widowControl w:val="0"/>
        <w:spacing w:line="23" w:lineRule="atLeast"/>
        <w:ind w:left="720" w:firstLine="0" w:firstLineChars="0"/>
        <w:jc w:val="center"/>
        <w:rPr>
          <w:rFonts w:hint="eastAsia" w:ascii="Calibri" w:hAnsi="Calibri" w:eastAsia="宋体" w:cs="Times New Roman"/>
          <w:b/>
          <w:sz w:val="22"/>
          <w:szCs w:val="22"/>
          <w:lang w:eastAsia="zh-CN"/>
        </w:rPr>
      </w:pPr>
      <w:r>
        <w:rPr>
          <w:rFonts w:hint="eastAsia" w:ascii="Calibri" w:hAnsi="Calibri" w:cs="Times New Roman"/>
          <w:b/>
          <w:sz w:val="22"/>
          <w:szCs w:val="22"/>
          <w:lang w:eastAsia="zh-CN"/>
        </w:rPr>
        <w:t>评标委员会向招标人质疑函</w:t>
      </w:r>
    </w:p>
    <w:p w14:paraId="144AEA13">
      <w:pPr>
        <w:spacing w:line="23" w:lineRule="atLeast"/>
        <w:jc w:val="both"/>
        <w:rPr>
          <w:rFonts w:ascii="Calibri" w:hAnsi="Calibri" w:eastAsia="宋体" w:cs="Times New Roman"/>
          <w:kern w:val="0"/>
          <w:sz w:val="22"/>
          <w:szCs w:val="22"/>
        </w:rPr>
      </w:pPr>
      <w:r>
        <w:rPr>
          <w:rFonts w:hint="eastAsia" w:ascii="Calibri" w:hAnsi="Calibri" w:eastAsia="宋体" w:cs="Times New Roman"/>
          <w:kern w:val="0"/>
          <w:sz w:val="22"/>
          <w:szCs w:val="22"/>
        </w:rPr>
        <w:t>招标人名称：                                           编号：</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7995"/>
      </w:tblGrid>
      <w:tr w14:paraId="097DB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1668" w:type="dxa"/>
            <w:gridSpan w:val="2"/>
            <w:vAlign w:val="center"/>
          </w:tcPr>
          <w:p w14:paraId="59D94AE0">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工程名称</w:t>
            </w:r>
          </w:p>
        </w:tc>
        <w:tc>
          <w:tcPr>
            <w:tcW w:w="7995" w:type="dxa"/>
            <w:vAlign w:val="center"/>
          </w:tcPr>
          <w:p w14:paraId="4638E902">
            <w:pPr>
              <w:spacing w:line="23" w:lineRule="atLeast"/>
              <w:ind w:firstLine="2310" w:firstLineChars="1050"/>
              <w:jc w:val="center"/>
              <w:rPr>
                <w:rFonts w:hint="eastAsia" w:ascii="宋体" w:hAnsi="宋体" w:eastAsia="宋体" w:cs="Times New Roman"/>
                <w:kern w:val="0"/>
                <w:sz w:val="22"/>
                <w:szCs w:val="22"/>
              </w:rPr>
            </w:pPr>
          </w:p>
        </w:tc>
      </w:tr>
      <w:tr w14:paraId="224ED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21" w:hRule="atLeast"/>
          <w:jc w:val="center"/>
        </w:trPr>
        <w:tc>
          <w:tcPr>
            <w:tcW w:w="817" w:type="dxa"/>
          </w:tcPr>
          <w:p w14:paraId="506AC2BC">
            <w:pPr>
              <w:spacing w:line="23" w:lineRule="atLeast"/>
              <w:jc w:val="center"/>
              <w:rPr>
                <w:rFonts w:hint="eastAsia" w:ascii="宋体" w:hAnsi="宋体" w:eastAsia="宋体" w:cs="Times New Roman"/>
                <w:kern w:val="0"/>
                <w:sz w:val="22"/>
                <w:szCs w:val="22"/>
              </w:rPr>
            </w:pPr>
          </w:p>
          <w:p w14:paraId="09CB2CF5">
            <w:pPr>
              <w:spacing w:line="23" w:lineRule="atLeast"/>
              <w:jc w:val="center"/>
              <w:rPr>
                <w:rFonts w:hint="eastAsia" w:ascii="宋体" w:hAnsi="宋体" w:eastAsia="宋体" w:cs="Times New Roman"/>
                <w:kern w:val="0"/>
                <w:sz w:val="22"/>
                <w:szCs w:val="22"/>
              </w:rPr>
            </w:pPr>
          </w:p>
          <w:p w14:paraId="07908771">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质</w:t>
            </w:r>
          </w:p>
          <w:p w14:paraId="5CAC72D1">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疑</w:t>
            </w:r>
          </w:p>
          <w:p w14:paraId="369CC784">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问</w:t>
            </w:r>
          </w:p>
          <w:p w14:paraId="2EDF9B1D">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题</w:t>
            </w:r>
          </w:p>
          <w:p w14:paraId="688D9490">
            <w:pPr>
              <w:spacing w:line="23" w:lineRule="atLeast"/>
              <w:jc w:val="center"/>
              <w:rPr>
                <w:rFonts w:hint="eastAsia" w:ascii="宋体" w:hAnsi="宋体" w:eastAsia="宋体" w:cs="Times New Roman"/>
                <w:kern w:val="0"/>
                <w:sz w:val="22"/>
                <w:szCs w:val="22"/>
              </w:rPr>
            </w:pPr>
          </w:p>
        </w:tc>
        <w:tc>
          <w:tcPr>
            <w:tcW w:w="8846" w:type="dxa"/>
            <w:gridSpan w:val="2"/>
          </w:tcPr>
          <w:p w14:paraId="6A2A84AB">
            <w:pPr>
              <w:spacing w:line="23" w:lineRule="atLeast"/>
              <w:jc w:val="right"/>
              <w:rPr>
                <w:rFonts w:hint="eastAsia" w:ascii="宋体" w:hAnsi="宋体" w:eastAsia="宋体" w:cs="Times New Roman"/>
                <w:kern w:val="0"/>
                <w:sz w:val="22"/>
                <w:szCs w:val="22"/>
              </w:rPr>
            </w:pPr>
          </w:p>
          <w:p w14:paraId="2D41AA77">
            <w:pPr>
              <w:spacing w:line="23" w:lineRule="atLeast"/>
              <w:jc w:val="right"/>
              <w:rPr>
                <w:rFonts w:hint="eastAsia" w:ascii="宋体" w:hAnsi="宋体" w:eastAsia="宋体" w:cs="Times New Roman"/>
                <w:kern w:val="0"/>
                <w:sz w:val="22"/>
                <w:szCs w:val="22"/>
              </w:rPr>
            </w:pPr>
          </w:p>
          <w:p w14:paraId="11503263">
            <w:pPr>
              <w:spacing w:line="23" w:lineRule="atLeast"/>
              <w:jc w:val="right"/>
              <w:rPr>
                <w:rFonts w:hint="eastAsia" w:ascii="宋体" w:hAnsi="宋体" w:eastAsia="宋体" w:cs="Times New Roman"/>
                <w:kern w:val="0"/>
                <w:sz w:val="22"/>
                <w:szCs w:val="22"/>
              </w:rPr>
            </w:pPr>
          </w:p>
          <w:p w14:paraId="71A082C4">
            <w:pPr>
              <w:spacing w:line="23" w:lineRule="atLeast"/>
              <w:jc w:val="right"/>
              <w:rPr>
                <w:rFonts w:hint="eastAsia" w:ascii="宋体" w:hAnsi="宋体" w:eastAsia="宋体" w:cs="Times New Roman"/>
                <w:kern w:val="0"/>
                <w:sz w:val="22"/>
                <w:szCs w:val="22"/>
              </w:rPr>
            </w:pPr>
          </w:p>
          <w:p w14:paraId="0035619C">
            <w:pPr>
              <w:spacing w:line="23" w:lineRule="atLeast"/>
              <w:jc w:val="right"/>
              <w:rPr>
                <w:rFonts w:hint="eastAsia" w:ascii="宋体" w:hAnsi="宋体" w:eastAsia="宋体" w:cs="Times New Roman"/>
                <w:kern w:val="0"/>
                <w:sz w:val="22"/>
                <w:szCs w:val="22"/>
              </w:rPr>
            </w:pPr>
          </w:p>
          <w:p w14:paraId="37824C18">
            <w:pPr>
              <w:spacing w:line="23" w:lineRule="atLeast"/>
              <w:jc w:val="right"/>
              <w:rPr>
                <w:rFonts w:hint="eastAsia" w:ascii="宋体" w:hAnsi="宋体" w:eastAsia="宋体" w:cs="Times New Roman"/>
                <w:kern w:val="0"/>
                <w:sz w:val="22"/>
                <w:szCs w:val="22"/>
                <w:u w:val="single"/>
              </w:rPr>
            </w:pPr>
          </w:p>
          <w:p w14:paraId="5F164A71">
            <w:pPr>
              <w:spacing w:line="23" w:lineRule="atLeast"/>
              <w:jc w:val="right"/>
              <w:rPr>
                <w:rFonts w:hint="eastAsia" w:ascii="宋体" w:hAnsi="宋体" w:eastAsia="宋体" w:cs="Times New Roman"/>
                <w:kern w:val="0"/>
                <w:sz w:val="22"/>
                <w:szCs w:val="22"/>
                <w:u w:val="single"/>
              </w:rPr>
            </w:pPr>
          </w:p>
          <w:p w14:paraId="6960D546">
            <w:pPr>
              <w:spacing w:line="23" w:lineRule="atLeast"/>
              <w:jc w:val="right"/>
              <w:rPr>
                <w:rFonts w:hint="eastAsia" w:ascii="宋体" w:hAnsi="宋体" w:eastAsia="宋体" w:cs="Times New Roman"/>
                <w:kern w:val="0"/>
                <w:sz w:val="22"/>
                <w:szCs w:val="22"/>
              </w:rPr>
            </w:pPr>
            <w:r>
              <w:rPr>
                <w:rFonts w:ascii="宋体" w:hAnsi="宋体" w:eastAsia="宋体" w:cs="Times New Roman"/>
                <w:kern w:val="0"/>
                <w:sz w:val="22"/>
                <w:szCs w:val="22"/>
                <w:u w:val="single"/>
              </w:rPr>
              <w:t xml:space="preserve">  </w:t>
            </w:r>
            <w:r>
              <w:rPr>
                <w:rFonts w:hint="eastAsia" w:ascii="宋体" w:hAnsi="宋体" w:eastAsia="宋体" w:cs="Times New Roman"/>
                <w:kern w:val="0"/>
                <w:sz w:val="22"/>
                <w:szCs w:val="22"/>
                <w:u w:val="single"/>
              </w:rPr>
              <w:t xml:space="preserve">  </w:t>
            </w:r>
            <w:r>
              <w:rPr>
                <w:rFonts w:ascii="宋体" w:hAnsi="宋体" w:eastAsia="宋体" w:cs="Times New Roman"/>
                <w:kern w:val="0"/>
                <w:sz w:val="22"/>
                <w:szCs w:val="22"/>
                <w:u w:val="single"/>
              </w:rPr>
              <w:t xml:space="preserve">                      </w:t>
            </w:r>
            <w:r>
              <w:rPr>
                <w:rFonts w:hint="eastAsia" w:ascii="宋体" w:hAnsi="宋体" w:eastAsia="宋体" w:cs="Times New Roman"/>
                <w:kern w:val="0"/>
                <w:sz w:val="22"/>
                <w:szCs w:val="22"/>
              </w:rPr>
              <w:t>（项目名称）</w:t>
            </w:r>
            <w:r>
              <w:rPr>
                <w:rFonts w:ascii="宋体" w:hAnsi="宋体" w:eastAsia="宋体" w:cs="Times New Roman"/>
                <w:kern w:val="0"/>
                <w:sz w:val="22"/>
                <w:szCs w:val="22"/>
                <w:u w:val="single"/>
              </w:rPr>
              <w:t xml:space="preserve">         </w:t>
            </w:r>
            <w:r>
              <w:rPr>
                <w:rFonts w:hint="eastAsia" w:ascii="宋体" w:hAnsi="宋体" w:eastAsia="宋体" w:cs="Times New Roman"/>
                <w:kern w:val="0"/>
                <w:sz w:val="22"/>
                <w:szCs w:val="22"/>
              </w:rPr>
              <w:t>标段施工招标评标委员会</w:t>
            </w:r>
          </w:p>
          <w:p w14:paraId="7FE364B4">
            <w:pPr>
              <w:spacing w:line="23" w:lineRule="atLeast"/>
              <w:jc w:val="right"/>
              <w:rPr>
                <w:rFonts w:hint="eastAsia" w:ascii="宋体" w:hAnsi="宋体" w:eastAsia="宋体" w:cs="Times New Roman"/>
                <w:kern w:val="0"/>
                <w:sz w:val="22"/>
                <w:szCs w:val="22"/>
                <w:u w:val="single"/>
              </w:rPr>
            </w:pPr>
            <w:r>
              <w:rPr>
                <w:rFonts w:hint="eastAsia" w:ascii="宋体" w:hAnsi="宋体" w:eastAsia="宋体" w:cs="Times New Roman"/>
                <w:kern w:val="0"/>
                <w:sz w:val="22"/>
                <w:szCs w:val="22"/>
              </w:rPr>
              <w:t xml:space="preserve">                                          年   月   日    时    分（北京时间）</w:t>
            </w:r>
          </w:p>
        </w:tc>
      </w:tr>
      <w:tr w14:paraId="1BE1B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73" w:hRule="atLeast"/>
          <w:jc w:val="center"/>
        </w:trPr>
        <w:tc>
          <w:tcPr>
            <w:tcW w:w="817" w:type="dxa"/>
          </w:tcPr>
          <w:p w14:paraId="1C5BC71A">
            <w:pPr>
              <w:spacing w:line="23" w:lineRule="atLeast"/>
              <w:jc w:val="center"/>
              <w:rPr>
                <w:rFonts w:hint="eastAsia" w:ascii="宋体" w:hAnsi="宋体" w:eastAsia="宋体" w:cs="Times New Roman"/>
                <w:kern w:val="0"/>
                <w:sz w:val="22"/>
                <w:szCs w:val="22"/>
              </w:rPr>
            </w:pPr>
          </w:p>
          <w:p w14:paraId="450CEC07">
            <w:pPr>
              <w:spacing w:line="23" w:lineRule="atLeast"/>
              <w:jc w:val="center"/>
              <w:rPr>
                <w:rFonts w:hint="eastAsia" w:ascii="宋体" w:hAnsi="宋体" w:eastAsia="宋体" w:cs="Times New Roman"/>
                <w:kern w:val="0"/>
                <w:sz w:val="22"/>
                <w:szCs w:val="22"/>
              </w:rPr>
            </w:pPr>
          </w:p>
          <w:p w14:paraId="3E6C4618">
            <w:pPr>
              <w:spacing w:line="23" w:lineRule="atLeast"/>
              <w:jc w:val="center"/>
              <w:rPr>
                <w:rFonts w:hint="eastAsia" w:ascii="宋体" w:hAnsi="宋体" w:eastAsia="宋体" w:cs="Times New Roman"/>
                <w:kern w:val="0"/>
                <w:sz w:val="22"/>
                <w:szCs w:val="22"/>
              </w:rPr>
            </w:pPr>
          </w:p>
          <w:p w14:paraId="20F9DA0F">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澄</w:t>
            </w:r>
          </w:p>
          <w:p w14:paraId="754511FE">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清</w:t>
            </w:r>
          </w:p>
          <w:p w14:paraId="1A4702A7">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内</w:t>
            </w:r>
          </w:p>
          <w:p w14:paraId="40F940CC">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容</w:t>
            </w:r>
          </w:p>
        </w:tc>
        <w:tc>
          <w:tcPr>
            <w:tcW w:w="8846" w:type="dxa"/>
            <w:gridSpan w:val="2"/>
          </w:tcPr>
          <w:p w14:paraId="3D3DB9EA">
            <w:pPr>
              <w:spacing w:line="23" w:lineRule="atLeast"/>
              <w:jc w:val="right"/>
              <w:rPr>
                <w:rFonts w:hint="eastAsia" w:ascii="宋体" w:hAnsi="宋体" w:eastAsia="宋体" w:cs="Times New Roman"/>
                <w:kern w:val="0"/>
                <w:sz w:val="22"/>
                <w:szCs w:val="22"/>
              </w:rPr>
            </w:pPr>
          </w:p>
          <w:p w14:paraId="64B0EFC4">
            <w:pPr>
              <w:spacing w:line="23" w:lineRule="atLeast"/>
              <w:jc w:val="right"/>
              <w:rPr>
                <w:rFonts w:hint="eastAsia" w:ascii="宋体" w:hAnsi="宋体" w:eastAsia="宋体" w:cs="Times New Roman"/>
                <w:kern w:val="0"/>
                <w:sz w:val="22"/>
                <w:szCs w:val="22"/>
              </w:rPr>
            </w:pPr>
          </w:p>
          <w:p w14:paraId="2A3D67A5">
            <w:pPr>
              <w:spacing w:line="23" w:lineRule="atLeast"/>
              <w:jc w:val="right"/>
              <w:rPr>
                <w:rFonts w:hint="eastAsia" w:ascii="宋体" w:hAnsi="宋体" w:eastAsia="宋体" w:cs="Times New Roman"/>
                <w:kern w:val="0"/>
                <w:sz w:val="22"/>
                <w:szCs w:val="22"/>
              </w:rPr>
            </w:pPr>
          </w:p>
          <w:p w14:paraId="12CDB84C">
            <w:pPr>
              <w:spacing w:line="23" w:lineRule="atLeast"/>
              <w:jc w:val="right"/>
              <w:rPr>
                <w:rFonts w:hint="eastAsia" w:ascii="宋体" w:hAnsi="宋体" w:eastAsia="宋体" w:cs="Times New Roman"/>
                <w:kern w:val="0"/>
                <w:sz w:val="22"/>
                <w:szCs w:val="22"/>
              </w:rPr>
            </w:pPr>
          </w:p>
          <w:p w14:paraId="2FEFD9A1">
            <w:pPr>
              <w:spacing w:line="23" w:lineRule="atLeast"/>
              <w:jc w:val="right"/>
              <w:rPr>
                <w:rFonts w:hint="eastAsia" w:ascii="宋体" w:hAnsi="宋体" w:eastAsia="宋体" w:cs="Times New Roman"/>
                <w:kern w:val="0"/>
                <w:sz w:val="22"/>
                <w:szCs w:val="22"/>
              </w:rPr>
            </w:pPr>
          </w:p>
          <w:p w14:paraId="76257B16">
            <w:pPr>
              <w:spacing w:line="23" w:lineRule="atLeast"/>
              <w:jc w:val="right"/>
              <w:rPr>
                <w:rFonts w:hint="eastAsia" w:ascii="宋体" w:hAnsi="宋体" w:eastAsia="宋体" w:cs="Times New Roman"/>
                <w:kern w:val="0"/>
                <w:sz w:val="22"/>
                <w:szCs w:val="22"/>
              </w:rPr>
            </w:pPr>
          </w:p>
          <w:p w14:paraId="791CF53E">
            <w:pPr>
              <w:spacing w:line="23" w:lineRule="atLeast"/>
              <w:jc w:val="right"/>
              <w:rPr>
                <w:rFonts w:hint="eastAsia" w:ascii="宋体" w:hAnsi="宋体" w:eastAsia="宋体" w:cs="Times New Roman"/>
                <w:kern w:val="0"/>
                <w:sz w:val="22"/>
                <w:szCs w:val="22"/>
              </w:rPr>
            </w:pPr>
          </w:p>
          <w:p w14:paraId="299D7C5A">
            <w:pPr>
              <w:spacing w:line="23" w:lineRule="atLeast"/>
              <w:ind w:left="2415" w:hanging="2530" w:hangingChars="1150"/>
              <w:jc w:val="right"/>
              <w:rPr>
                <w:rFonts w:hint="eastAsia" w:ascii="宋体" w:hAnsi="宋体" w:eastAsia="宋体" w:cs="Times New Roman"/>
                <w:kern w:val="0"/>
                <w:sz w:val="22"/>
                <w:szCs w:val="22"/>
              </w:rPr>
            </w:pPr>
            <w:r>
              <w:rPr>
                <w:rFonts w:hint="eastAsia" w:ascii="宋体" w:hAnsi="宋体" w:eastAsia="宋体" w:cs="Times New Roman"/>
                <w:kern w:val="0"/>
                <w:sz w:val="22"/>
                <w:szCs w:val="22"/>
              </w:rPr>
              <w:t xml:space="preserve">          </w:t>
            </w:r>
          </w:p>
          <w:p w14:paraId="37AF66F8">
            <w:pPr>
              <w:spacing w:line="23" w:lineRule="atLeast"/>
              <w:ind w:left="2415" w:hanging="2530" w:hangingChars="1150"/>
              <w:jc w:val="right"/>
              <w:rPr>
                <w:rFonts w:hint="eastAsia" w:ascii="宋体" w:hAnsi="宋体" w:eastAsia="宋体" w:cs="Times New Roman"/>
                <w:kern w:val="0"/>
                <w:sz w:val="22"/>
                <w:szCs w:val="22"/>
              </w:rPr>
            </w:pPr>
          </w:p>
          <w:p w14:paraId="72F42687">
            <w:pPr>
              <w:spacing w:line="23" w:lineRule="atLeast"/>
              <w:ind w:left="2415" w:hanging="2530" w:hangingChars="1150"/>
              <w:jc w:val="right"/>
              <w:rPr>
                <w:rFonts w:hint="eastAsia" w:ascii="宋体" w:hAnsi="宋体" w:eastAsia="宋体" w:cs="Times New Roman"/>
                <w:kern w:val="0"/>
                <w:sz w:val="22"/>
                <w:szCs w:val="22"/>
              </w:rPr>
            </w:pPr>
            <w:r>
              <w:rPr>
                <w:rFonts w:hint="eastAsia" w:ascii="宋体" w:hAnsi="宋体" w:eastAsia="宋体" w:cs="Times New Roman"/>
                <w:kern w:val="0"/>
                <w:sz w:val="22"/>
                <w:szCs w:val="22"/>
              </w:rPr>
              <w:t xml:space="preserve">       招标人法定代表人或其授权代理人：</w:t>
            </w:r>
            <w:r>
              <w:rPr>
                <w:rFonts w:ascii="宋体" w:hAnsi="宋体" w:eastAsia="宋体" w:cs="Times New Roman"/>
                <w:kern w:val="0"/>
                <w:sz w:val="22"/>
                <w:szCs w:val="22"/>
                <w:u w:val="single"/>
              </w:rPr>
              <w:t xml:space="preserve">            </w:t>
            </w:r>
            <w:r>
              <w:rPr>
                <w:rFonts w:hint="eastAsia" w:ascii="宋体" w:hAnsi="宋体" w:eastAsia="宋体" w:cs="Times New Roman"/>
                <w:kern w:val="0"/>
                <w:sz w:val="22"/>
                <w:szCs w:val="22"/>
              </w:rPr>
              <w:t>（签字</w:t>
            </w:r>
            <w:r>
              <w:rPr>
                <w:rFonts w:hint="eastAsia" w:ascii="Calibri" w:hAnsi="Calibri" w:eastAsia="宋体" w:cs="Times New Roman"/>
                <w:kern w:val="0"/>
                <w:sz w:val="22"/>
                <w:szCs w:val="22"/>
              </w:rPr>
              <w:t>或签章</w:t>
            </w:r>
            <w:r>
              <w:rPr>
                <w:rFonts w:hint="eastAsia" w:ascii="宋体" w:hAnsi="宋体" w:eastAsia="宋体" w:cs="Times New Roman"/>
                <w:kern w:val="0"/>
                <w:sz w:val="22"/>
                <w:szCs w:val="22"/>
              </w:rPr>
              <w:t>）</w:t>
            </w:r>
          </w:p>
          <w:p w14:paraId="7DB5D6B6">
            <w:pPr>
              <w:spacing w:line="23" w:lineRule="atLeast"/>
              <w:ind w:left="2415" w:hanging="2530" w:hangingChars="1150"/>
              <w:jc w:val="right"/>
              <w:rPr>
                <w:rFonts w:hint="eastAsia" w:ascii="宋体" w:hAnsi="宋体" w:eastAsia="宋体" w:cs="Times New Roman"/>
                <w:kern w:val="0"/>
                <w:sz w:val="22"/>
                <w:szCs w:val="22"/>
              </w:rPr>
            </w:pPr>
            <w:r>
              <w:rPr>
                <w:rFonts w:hint="eastAsia" w:ascii="宋体" w:hAnsi="宋体" w:eastAsia="宋体" w:cs="Times New Roman"/>
                <w:kern w:val="0"/>
                <w:sz w:val="22"/>
                <w:szCs w:val="22"/>
              </w:rPr>
              <w:t xml:space="preserve">                       年   月   日    时    分（北京时间）</w:t>
            </w:r>
          </w:p>
        </w:tc>
      </w:tr>
      <w:tr w14:paraId="58685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1" w:hRule="atLeast"/>
          <w:jc w:val="center"/>
        </w:trPr>
        <w:tc>
          <w:tcPr>
            <w:tcW w:w="817" w:type="dxa"/>
            <w:vAlign w:val="center"/>
          </w:tcPr>
          <w:p w14:paraId="56A27FFB">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递交方式和时间</w:t>
            </w:r>
          </w:p>
        </w:tc>
        <w:tc>
          <w:tcPr>
            <w:tcW w:w="8846" w:type="dxa"/>
            <w:gridSpan w:val="2"/>
          </w:tcPr>
          <w:p w14:paraId="659BE29A">
            <w:pPr>
              <w:spacing w:line="23" w:lineRule="atLeast"/>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请将上述问题的澄清、说明或者补正于   年   月   日    时    分（北京时间）前递交至</w:t>
            </w:r>
            <w:r>
              <w:rPr>
                <w:rFonts w:ascii="宋体" w:hAnsi="宋体" w:eastAsia="宋体" w:cs="Times New Roman"/>
                <w:kern w:val="0"/>
                <w:sz w:val="22"/>
                <w:szCs w:val="22"/>
                <w:u w:val="single"/>
              </w:rPr>
              <w:t xml:space="preserve">                                  </w:t>
            </w:r>
            <w:r>
              <w:rPr>
                <w:rFonts w:hint="eastAsia" w:ascii="宋体" w:hAnsi="宋体" w:eastAsia="宋体" w:cs="Times New Roman"/>
                <w:kern w:val="0"/>
                <w:sz w:val="22"/>
                <w:szCs w:val="22"/>
              </w:rPr>
              <w:t>（详细地址）。</w:t>
            </w:r>
          </w:p>
          <w:p w14:paraId="2D94222D">
            <w:pPr>
              <w:spacing w:line="23" w:lineRule="atLeast"/>
              <w:ind w:left="17" w:right="-4" w:rightChars="-2"/>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注：评标委员会在评标过程中，如要求招标人澄清或说明的，评标委员会要求招标人递交书面澄清或说明的时间距招标人收到评标委员会书面通知的时间不得少于60分钟。</w:t>
            </w:r>
          </w:p>
          <w:p w14:paraId="05FDA23E">
            <w:pPr>
              <w:spacing w:line="23" w:lineRule="atLeast"/>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评标委员会认为招标人的澄清或说明不够明确，应再次要求招标人对不明确的内容进行澄清或说明，评标委员会要求招标人再次递交书面澄清或说明的时间距招标人收到评标委员会书面通知的时间不得少于30分钟。</w:t>
            </w:r>
          </w:p>
        </w:tc>
      </w:tr>
      <w:tr w14:paraId="16509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1" w:hRule="atLeast"/>
          <w:jc w:val="center"/>
        </w:trPr>
        <w:tc>
          <w:tcPr>
            <w:tcW w:w="817" w:type="dxa"/>
            <w:vAlign w:val="center"/>
          </w:tcPr>
          <w:p w14:paraId="4515FD61">
            <w:pPr>
              <w:spacing w:line="23" w:lineRule="atLeast"/>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结论</w:t>
            </w:r>
          </w:p>
        </w:tc>
        <w:tc>
          <w:tcPr>
            <w:tcW w:w="8846" w:type="dxa"/>
            <w:gridSpan w:val="2"/>
          </w:tcPr>
          <w:p w14:paraId="4C9DFD81">
            <w:pPr>
              <w:spacing w:line="23" w:lineRule="atLeast"/>
              <w:ind w:firstLine="2319" w:firstLineChars="1050"/>
              <w:jc w:val="both"/>
              <w:rPr>
                <w:rFonts w:hint="eastAsia" w:ascii="宋体" w:hAnsi="宋体" w:eastAsia="宋体" w:cs="Times New Roman"/>
                <w:b/>
                <w:kern w:val="0"/>
                <w:sz w:val="22"/>
                <w:szCs w:val="22"/>
              </w:rPr>
            </w:pPr>
          </w:p>
          <w:p w14:paraId="2B954A4D">
            <w:pPr>
              <w:spacing w:line="23" w:lineRule="atLeast"/>
              <w:ind w:firstLine="2319" w:firstLineChars="1050"/>
              <w:jc w:val="right"/>
              <w:rPr>
                <w:rFonts w:hint="eastAsia" w:ascii="宋体" w:hAnsi="宋体" w:eastAsia="宋体" w:cs="Times New Roman"/>
                <w:b/>
                <w:kern w:val="0"/>
                <w:sz w:val="22"/>
                <w:szCs w:val="22"/>
              </w:rPr>
            </w:pPr>
          </w:p>
          <w:p w14:paraId="7EE39BD8">
            <w:pPr>
              <w:spacing w:line="23" w:lineRule="atLeast"/>
              <w:ind w:firstLine="2752" w:firstLineChars="1246"/>
              <w:jc w:val="right"/>
              <w:rPr>
                <w:rFonts w:hint="eastAsia" w:ascii="宋体" w:hAnsi="宋体" w:eastAsia="宋体" w:cs="Times New Roman"/>
                <w:b/>
                <w:kern w:val="0"/>
                <w:sz w:val="22"/>
                <w:szCs w:val="22"/>
              </w:rPr>
            </w:pPr>
          </w:p>
          <w:p w14:paraId="2470B2AD">
            <w:pPr>
              <w:spacing w:line="23" w:lineRule="atLeast"/>
              <w:ind w:firstLine="2741" w:firstLineChars="1246"/>
              <w:jc w:val="right"/>
              <w:rPr>
                <w:rFonts w:hint="eastAsia" w:ascii="宋体" w:hAnsi="宋体" w:eastAsia="宋体" w:cs="Times New Roman"/>
                <w:kern w:val="0"/>
                <w:sz w:val="22"/>
                <w:szCs w:val="22"/>
              </w:rPr>
            </w:pPr>
            <w:r>
              <w:rPr>
                <w:rFonts w:hint="eastAsia" w:ascii="宋体" w:hAnsi="宋体" w:eastAsia="宋体" w:cs="Times New Roman"/>
                <w:kern w:val="0"/>
                <w:sz w:val="22"/>
                <w:szCs w:val="22"/>
              </w:rPr>
              <w:t>评标委员会：</w:t>
            </w:r>
            <w:r>
              <w:rPr>
                <w:rFonts w:ascii="宋体" w:hAnsi="宋体" w:eastAsia="宋体" w:cs="Times New Roman"/>
                <w:bCs/>
                <w:kern w:val="0"/>
                <w:sz w:val="22"/>
                <w:szCs w:val="22"/>
                <w:u w:val="single"/>
              </w:rPr>
              <w:t xml:space="preserve">    </w:t>
            </w:r>
            <w:r>
              <w:rPr>
                <w:rFonts w:hint="eastAsia" w:ascii="宋体" w:hAnsi="宋体" w:eastAsia="宋体" w:cs="Times New Roman"/>
                <w:bCs/>
                <w:kern w:val="0"/>
                <w:sz w:val="22"/>
                <w:szCs w:val="22"/>
                <w:u w:val="single"/>
              </w:rPr>
              <w:t xml:space="preserve"> </w:t>
            </w:r>
            <w:r>
              <w:rPr>
                <w:rFonts w:ascii="宋体" w:hAnsi="宋体" w:eastAsia="宋体" w:cs="Times New Roman"/>
                <w:bCs/>
                <w:kern w:val="0"/>
                <w:sz w:val="22"/>
                <w:szCs w:val="22"/>
                <w:u w:val="single"/>
              </w:rPr>
              <w:t xml:space="preserve">  </w:t>
            </w:r>
            <w:r>
              <w:rPr>
                <w:rFonts w:hint="eastAsia" w:ascii="宋体" w:hAnsi="宋体" w:eastAsia="宋体" w:cs="Times New Roman"/>
                <w:bCs/>
                <w:kern w:val="0"/>
                <w:sz w:val="22"/>
                <w:szCs w:val="22"/>
                <w:u w:val="single"/>
              </w:rPr>
              <w:t xml:space="preserve">  </w:t>
            </w:r>
            <w:r>
              <w:rPr>
                <w:rFonts w:ascii="宋体" w:hAnsi="宋体" w:eastAsia="宋体" w:cs="Times New Roman"/>
                <w:bCs/>
                <w:kern w:val="0"/>
                <w:sz w:val="22"/>
                <w:szCs w:val="22"/>
                <w:u w:val="single"/>
              </w:rPr>
              <w:t xml:space="preserve">  </w:t>
            </w:r>
            <w:r>
              <w:rPr>
                <w:rFonts w:hint="eastAsia" w:ascii="宋体" w:hAnsi="宋体" w:eastAsia="宋体" w:cs="Times New Roman"/>
                <w:bCs/>
                <w:kern w:val="0"/>
                <w:sz w:val="22"/>
                <w:szCs w:val="22"/>
                <w:u w:val="single"/>
              </w:rPr>
              <w:t xml:space="preserve"> </w:t>
            </w:r>
            <w:r>
              <w:rPr>
                <w:rFonts w:ascii="宋体" w:hAnsi="宋体" w:eastAsia="宋体" w:cs="Times New Roman"/>
                <w:bCs/>
                <w:kern w:val="0"/>
                <w:sz w:val="22"/>
                <w:szCs w:val="22"/>
                <w:u w:val="single"/>
              </w:rPr>
              <w:t xml:space="preserve">     </w:t>
            </w:r>
            <w:r>
              <w:rPr>
                <w:rFonts w:hint="eastAsia" w:ascii="宋体" w:hAnsi="宋体" w:eastAsia="宋体" w:cs="Times New Roman"/>
                <w:bCs/>
                <w:kern w:val="0"/>
                <w:sz w:val="22"/>
                <w:szCs w:val="22"/>
                <w:u w:val="single"/>
              </w:rPr>
              <w:t xml:space="preserve"> </w:t>
            </w:r>
            <w:r>
              <w:rPr>
                <w:rFonts w:hint="eastAsia" w:ascii="宋体" w:hAnsi="宋体" w:eastAsia="宋体" w:cs="Times New Roman"/>
                <w:kern w:val="0"/>
                <w:sz w:val="22"/>
                <w:szCs w:val="22"/>
              </w:rPr>
              <w:t>（签字</w:t>
            </w:r>
            <w:r>
              <w:rPr>
                <w:rFonts w:hint="eastAsia" w:ascii="Calibri" w:hAnsi="Calibri" w:eastAsia="宋体" w:cs="Times New Roman"/>
                <w:kern w:val="0"/>
                <w:sz w:val="22"/>
                <w:szCs w:val="22"/>
              </w:rPr>
              <w:t>或签章</w:t>
            </w:r>
            <w:r>
              <w:rPr>
                <w:rFonts w:hint="eastAsia" w:ascii="宋体" w:hAnsi="宋体" w:eastAsia="宋体" w:cs="Times New Roman"/>
                <w:kern w:val="0"/>
                <w:sz w:val="22"/>
                <w:szCs w:val="22"/>
              </w:rPr>
              <w:t>）</w:t>
            </w:r>
          </w:p>
          <w:p w14:paraId="4BA98541">
            <w:pPr>
              <w:spacing w:line="23" w:lineRule="atLeast"/>
              <w:jc w:val="right"/>
              <w:rPr>
                <w:rFonts w:hint="eastAsia" w:ascii="宋体" w:hAnsi="宋体" w:eastAsia="宋体" w:cs="Times New Roman"/>
                <w:kern w:val="0"/>
                <w:sz w:val="22"/>
                <w:szCs w:val="22"/>
              </w:rPr>
            </w:pPr>
            <w:r>
              <w:rPr>
                <w:rFonts w:hint="eastAsia" w:ascii="宋体" w:hAnsi="宋体" w:eastAsia="宋体" w:cs="Times New Roman"/>
                <w:b/>
                <w:kern w:val="0"/>
                <w:sz w:val="22"/>
                <w:szCs w:val="22"/>
              </w:rPr>
              <w:t xml:space="preserve">                     </w:t>
            </w:r>
            <w:r>
              <w:rPr>
                <w:rFonts w:hint="eastAsia" w:ascii="宋体" w:hAnsi="宋体" w:eastAsia="宋体" w:cs="Times New Roman"/>
                <w:kern w:val="0"/>
                <w:sz w:val="22"/>
                <w:szCs w:val="22"/>
              </w:rPr>
              <w:t xml:space="preserve"> 年   月   日    时    分（北京时间）</w:t>
            </w:r>
          </w:p>
        </w:tc>
      </w:tr>
    </w:tbl>
    <w:p w14:paraId="2D1C4435">
      <w:pPr>
        <w:rPr>
          <w:rFonts w:ascii="Calibri" w:hAnsi="Calibri" w:eastAsia="宋体" w:cs="Times New Roman"/>
          <w:sz w:val="21"/>
          <w:szCs w:val="22"/>
        </w:rPr>
      </w:pPr>
      <w:r>
        <w:rPr>
          <w:rFonts w:ascii="Calibri" w:hAnsi="Calibri" w:eastAsia="宋体" w:cs="Times New Roman"/>
          <w:sz w:val="21"/>
          <w:szCs w:val="22"/>
        </w:rPr>
        <w:br w:type="page"/>
      </w:r>
    </w:p>
    <w:p w14:paraId="07641251">
      <w:pPr>
        <w:pStyle w:val="3"/>
        <w:spacing w:after="0"/>
      </w:pPr>
      <w:bookmarkStart w:id="160" w:name="_Toc9158"/>
      <w:bookmarkStart w:id="161" w:name="_Toc17157"/>
      <w:bookmarkStart w:id="162" w:name="_Toc7621"/>
      <w:r>
        <w:rPr>
          <w:rFonts w:hint="eastAsia" w:ascii="Times New Roman" w:hAnsi="Times New Roman" w:eastAsia="宋体" w:cs="Times New Roman"/>
          <w:bCs/>
          <w:szCs w:val="44"/>
          <w:highlight w:val="none"/>
          <w:lang w:val="en-US" w:eastAsia="zh-CN"/>
        </w:rPr>
        <w:t>○</w:t>
      </w:r>
      <w:r>
        <w:rPr>
          <w:rFonts w:hint="eastAsia"/>
        </w:rPr>
        <w:t>第三章 评标办法</w:t>
      </w:r>
      <w:r>
        <w:rPr>
          <w:rFonts w:hint="eastAsia"/>
          <w:color w:val="FF0000"/>
        </w:rPr>
        <w:t>（综合评估法）</w:t>
      </w:r>
      <w:bookmarkEnd w:id="157"/>
      <w:bookmarkEnd w:id="158"/>
      <w:bookmarkEnd w:id="159"/>
      <w:bookmarkEnd w:id="160"/>
      <w:bookmarkEnd w:id="161"/>
      <w:bookmarkEnd w:id="162"/>
    </w:p>
    <w:p w14:paraId="7B902743">
      <w:pPr>
        <w:pStyle w:val="10"/>
        <w:ind w:left="0"/>
        <w:jc w:val="center"/>
        <w:rPr>
          <w:bCs/>
          <w:sz w:val="28"/>
          <w:szCs w:val="30"/>
        </w:rPr>
      </w:pPr>
      <w:r>
        <w:rPr>
          <w:rFonts w:hint="eastAsia"/>
          <w:b/>
          <w:bCs/>
          <w:sz w:val="28"/>
          <w:szCs w:val="30"/>
        </w:rPr>
        <w:t>评标办法前附表</w:t>
      </w:r>
    </w:p>
    <w:tbl>
      <w:tblPr>
        <w:tblStyle w:val="19"/>
        <w:tblW w:w="98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90"/>
        <w:gridCol w:w="990"/>
        <w:gridCol w:w="966"/>
        <w:gridCol w:w="967"/>
        <w:gridCol w:w="5897"/>
      </w:tblGrid>
      <w:tr w14:paraId="46EDF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80" w:type="dxa"/>
            <w:gridSpan w:val="3"/>
            <w:tcBorders>
              <w:top w:val="single" w:color="auto" w:sz="4" w:space="0"/>
              <w:bottom w:val="single" w:color="auto" w:sz="4" w:space="0"/>
              <w:right w:val="single" w:color="auto" w:sz="4" w:space="0"/>
            </w:tcBorders>
            <w:vAlign w:val="center"/>
          </w:tcPr>
          <w:p w14:paraId="1A0D885F">
            <w:pPr>
              <w:pStyle w:val="10"/>
              <w:spacing w:line="23" w:lineRule="atLeast"/>
              <w:ind w:left="0"/>
              <w:jc w:val="center"/>
              <w:rPr>
                <w:b/>
                <w:bCs/>
                <w:szCs w:val="22"/>
              </w:rPr>
            </w:pPr>
            <w:r>
              <w:rPr>
                <w:b/>
                <w:bCs/>
                <w:szCs w:val="22"/>
              </w:rPr>
              <w:t>条款号</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DB185AF">
            <w:pPr>
              <w:pStyle w:val="10"/>
              <w:spacing w:line="23" w:lineRule="atLeast"/>
              <w:ind w:left="0"/>
              <w:jc w:val="center"/>
              <w:rPr>
                <w:b/>
                <w:bCs/>
                <w:szCs w:val="22"/>
              </w:rPr>
            </w:pPr>
            <w:r>
              <w:rPr>
                <w:b/>
                <w:bCs/>
                <w:szCs w:val="22"/>
              </w:rPr>
              <w:t>评审因素</w:t>
            </w:r>
          </w:p>
        </w:tc>
        <w:tc>
          <w:tcPr>
            <w:tcW w:w="5897" w:type="dxa"/>
            <w:tcBorders>
              <w:top w:val="single" w:color="auto" w:sz="4" w:space="0"/>
              <w:left w:val="single" w:color="auto" w:sz="4" w:space="0"/>
              <w:bottom w:val="single" w:color="auto" w:sz="4" w:space="0"/>
              <w:right w:val="single" w:color="auto" w:sz="4" w:space="0"/>
            </w:tcBorders>
            <w:vAlign w:val="center"/>
          </w:tcPr>
          <w:p w14:paraId="68CA634E">
            <w:pPr>
              <w:pStyle w:val="10"/>
              <w:spacing w:line="23" w:lineRule="atLeast"/>
              <w:ind w:left="0"/>
              <w:jc w:val="center"/>
              <w:rPr>
                <w:b/>
                <w:bCs/>
                <w:szCs w:val="22"/>
              </w:rPr>
            </w:pPr>
            <w:r>
              <w:rPr>
                <w:b/>
                <w:bCs/>
                <w:szCs w:val="22"/>
              </w:rPr>
              <w:t>评审标准</w:t>
            </w:r>
          </w:p>
        </w:tc>
      </w:tr>
      <w:tr w14:paraId="15908B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vAlign w:val="center"/>
          </w:tcPr>
          <w:p w14:paraId="2DE0B558">
            <w:pPr>
              <w:pStyle w:val="10"/>
              <w:spacing w:line="23" w:lineRule="atLeast"/>
              <w:ind w:left="0"/>
              <w:jc w:val="center"/>
              <w:rPr>
                <w:szCs w:val="22"/>
              </w:rPr>
            </w:pPr>
            <w:r>
              <w:rPr>
                <w:szCs w:val="22"/>
              </w:rPr>
              <w:t>2.1.1</w:t>
            </w:r>
          </w:p>
        </w:tc>
        <w:tc>
          <w:tcPr>
            <w:tcW w:w="1080" w:type="dxa"/>
            <w:gridSpan w:val="2"/>
            <w:vMerge w:val="restart"/>
            <w:tcBorders>
              <w:top w:val="single" w:color="auto" w:sz="4" w:space="0"/>
              <w:bottom w:val="single" w:color="auto" w:sz="4" w:space="0"/>
              <w:right w:val="single" w:color="auto" w:sz="4" w:space="0"/>
            </w:tcBorders>
            <w:vAlign w:val="center"/>
          </w:tcPr>
          <w:p w14:paraId="173C09A9">
            <w:pPr>
              <w:pStyle w:val="10"/>
              <w:spacing w:line="23" w:lineRule="atLeast"/>
              <w:ind w:left="0"/>
              <w:jc w:val="center"/>
              <w:rPr>
                <w:szCs w:val="22"/>
              </w:rPr>
            </w:pPr>
            <w:r>
              <w:rPr>
                <w:szCs w:val="22"/>
              </w:rPr>
              <w:t>形式评审标准</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40462A32">
            <w:pPr>
              <w:pStyle w:val="10"/>
              <w:spacing w:line="23" w:lineRule="atLeast"/>
              <w:ind w:left="0"/>
              <w:jc w:val="center"/>
              <w:rPr>
                <w:szCs w:val="22"/>
              </w:rPr>
            </w:pPr>
            <w:r>
              <w:rPr>
                <w:szCs w:val="22"/>
              </w:rPr>
              <w:t>投标人名称</w:t>
            </w:r>
          </w:p>
        </w:tc>
        <w:tc>
          <w:tcPr>
            <w:tcW w:w="5897" w:type="dxa"/>
            <w:tcBorders>
              <w:top w:val="single" w:color="auto" w:sz="4" w:space="0"/>
              <w:left w:val="single" w:color="auto" w:sz="4" w:space="0"/>
              <w:bottom w:val="single" w:color="auto" w:sz="4" w:space="0"/>
              <w:right w:val="single" w:color="auto" w:sz="4" w:space="0"/>
            </w:tcBorders>
            <w:vAlign w:val="center"/>
          </w:tcPr>
          <w:p w14:paraId="2B006384">
            <w:pPr>
              <w:pStyle w:val="10"/>
              <w:spacing w:line="23" w:lineRule="atLeast"/>
              <w:ind w:left="0"/>
              <w:rPr>
                <w:szCs w:val="22"/>
              </w:rPr>
            </w:pPr>
            <w:r>
              <w:rPr>
                <w:szCs w:val="22"/>
              </w:rPr>
              <w:t>与营业执照、资质证书</w:t>
            </w:r>
            <w:r>
              <w:rPr>
                <w:rFonts w:hint="eastAsia"/>
                <w:szCs w:val="22"/>
              </w:rPr>
              <w:t>、安全生产许可证（若有）</w:t>
            </w:r>
            <w:r>
              <w:rPr>
                <w:szCs w:val="22"/>
              </w:rPr>
              <w:t>一致</w:t>
            </w:r>
            <w:r>
              <w:rPr>
                <w:rFonts w:hint="eastAsia"/>
                <w:szCs w:val="22"/>
                <w:lang w:eastAsia="zh-CN"/>
              </w:rPr>
              <w:t>，</w:t>
            </w:r>
            <w:r>
              <w:rPr>
                <w:rFonts w:hint="eastAsia"/>
                <w:szCs w:val="22"/>
              </w:rPr>
              <w:t>如为联合体，则联合体各方均须满足。</w:t>
            </w:r>
          </w:p>
        </w:tc>
      </w:tr>
      <w:tr w14:paraId="24413F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4237C8BD">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6885E1A1">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CBF0BBA">
            <w:pPr>
              <w:pStyle w:val="10"/>
              <w:spacing w:line="23" w:lineRule="atLeast"/>
              <w:ind w:left="0"/>
              <w:jc w:val="center"/>
              <w:rPr>
                <w:szCs w:val="22"/>
              </w:rPr>
            </w:pPr>
            <w:r>
              <w:rPr>
                <w:rFonts w:hint="eastAsia"/>
                <w:szCs w:val="22"/>
                <w:lang w:eastAsia="zh-CN"/>
              </w:rPr>
              <w:t>签章</w:t>
            </w:r>
            <w:r>
              <w:rPr>
                <w:rFonts w:hint="eastAsia"/>
                <w:szCs w:val="22"/>
              </w:rPr>
              <w:t>、盖章要求</w:t>
            </w:r>
          </w:p>
        </w:tc>
        <w:tc>
          <w:tcPr>
            <w:tcW w:w="5897" w:type="dxa"/>
            <w:tcBorders>
              <w:top w:val="single" w:color="auto" w:sz="4" w:space="0"/>
              <w:left w:val="single" w:color="auto" w:sz="4" w:space="0"/>
              <w:bottom w:val="single" w:color="auto" w:sz="4" w:space="0"/>
              <w:right w:val="single" w:color="auto" w:sz="4" w:space="0"/>
            </w:tcBorders>
            <w:vAlign w:val="center"/>
          </w:tcPr>
          <w:p w14:paraId="76DF3013">
            <w:pPr>
              <w:pStyle w:val="10"/>
              <w:spacing w:line="23" w:lineRule="atLeast"/>
              <w:ind w:left="0"/>
              <w:rPr>
                <w:szCs w:val="22"/>
              </w:rPr>
            </w:pPr>
            <w:r>
              <w:rPr>
                <w:rFonts w:hint="eastAsia"/>
                <w:szCs w:val="22"/>
              </w:rPr>
              <w:t>符合第二章“投标人须知前附表”第</w:t>
            </w:r>
            <w:r>
              <w:rPr>
                <w:szCs w:val="22"/>
              </w:rPr>
              <w:t>3.7.3</w:t>
            </w:r>
            <w:r>
              <w:rPr>
                <w:rFonts w:hint="eastAsia"/>
                <w:szCs w:val="22"/>
              </w:rPr>
              <w:t>项规定</w:t>
            </w:r>
          </w:p>
        </w:tc>
      </w:tr>
      <w:tr w14:paraId="23F16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152EE169">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5D7CA496">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021DE3F6">
            <w:pPr>
              <w:pStyle w:val="10"/>
              <w:spacing w:line="23" w:lineRule="atLeast"/>
              <w:ind w:left="0"/>
              <w:jc w:val="center"/>
              <w:rPr>
                <w:szCs w:val="22"/>
              </w:rPr>
            </w:pPr>
            <w:r>
              <w:rPr>
                <w:szCs w:val="22"/>
              </w:rPr>
              <w:t>投标文件格式</w:t>
            </w:r>
          </w:p>
        </w:tc>
        <w:tc>
          <w:tcPr>
            <w:tcW w:w="5897" w:type="dxa"/>
            <w:tcBorders>
              <w:top w:val="single" w:color="auto" w:sz="4" w:space="0"/>
              <w:left w:val="single" w:color="auto" w:sz="4" w:space="0"/>
              <w:bottom w:val="single" w:color="auto" w:sz="4" w:space="0"/>
              <w:right w:val="single" w:color="auto" w:sz="4" w:space="0"/>
            </w:tcBorders>
            <w:vAlign w:val="center"/>
          </w:tcPr>
          <w:p w14:paraId="162E784A">
            <w:pPr>
              <w:pStyle w:val="10"/>
              <w:spacing w:line="23" w:lineRule="atLeast"/>
              <w:ind w:left="0"/>
              <w:rPr>
                <w:szCs w:val="22"/>
              </w:rPr>
            </w:pPr>
            <w:r>
              <w:rPr>
                <w:szCs w:val="22"/>
              </w:rPr>
              <w:t>符合第八章“投标文件格式”的要求</w:t>
            </w:r>
            <w:r>
              <w:rPr>
                <w:rFonts w:hint="eastAsia"/>
                <w:szCs w:val="22"/>
              </w:rPr>
              <w:t>和第二章“投标人须知前附表”第</w:t>
            </w:r>
            <w:r>
              <w:rPr>
                <w:szCs w:val="22"/>
              </w:rPr>
              <w:t>3.7.1</w:t>
            </w:r>
            <w:r>
              <w:rPr>
                <w:rFonts w:hint="eastAsia"/>
                <w:szCs w:val="22"/>
              </w:rPr>
              <w:t>项规定</w:t>
            </w:r>
          </w:p>
        </w:tc>
      </w:tr>
      <w:tr w14:paraId="7BC73F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0" w:hRule="atLeast"/>
          <w:jc w:val="center"/>
        </w:trPr>
        <w:tc>
          <w:tcPr>
            <w:tcW w:w="900" w:type="dxa"/>
            <w:vMerge w:val="continue"/>
            <w:tcBorders>
              <w:top w:val="nil"/>
              <w:bottom w:val="single" w:color="auto" w:sz="4" w:space="0"/>
              <w:right w:val="single" w:color="auto" w:sz="4" w:space="0"/>
            </w:tcBorders>
            <w:vAlign w:val="center"/>
          </w:tcPr>
          <w:p w14:paraId="24A132AA">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1D3640D4">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0A8C6D6B">
            <w:pPr>
              <w:pStyle w:val="10"/>
              <w:spacing w:line="23" w:lineRule="atLeast"/>
              <w:ind w:left="0"/>
              <w:jc w:val="center"/>
              <w:rPr>
                <w:szCs w:val="22"/>
              </w:rPr>
            </w:pPr>
            <w:r>
              <w:rPr>
                <w:szCs w:val="22"/>
              </w:rPr>
              <w:t>联合体投标人</w:t>
            </w:r>
          </w:p>
        </w:tc>
        <w:tc>
          <w:tcPr>
            <w:tcW w:w="5897" w:type="dxa"/>
            <w:tcBorders>
              <w:top w:val="single" w:color="auto" w:sz="4" w:space="0"/>
              <w:left w:val="single" w:color="auto" w:sz="4" w:space="0"/>
              <w:bottom w:val="single" w:color="auto" w:sz="4" w:space="0"/>
              <w:right w:val="single" w:color="auto" w:sz="4" w:space="0"/>
            </w:tcBorders>
          </w:tcPr>
          <w:p w14:paraId="5F9DF8BF">
            <w:pPr>
              <w:pStyle w:val="10"/>
              <w:spacing w:line="23" w:lineRule="atLeast"/>
              <w:ind w:left="0"/>
              <w:rPr>
                <w:szCs w:val="22"/>
              </w:rPr>
            </w:pPr>
            <w:r>
              <w:rPr>
                <w:szCs w:val="22"/>
              </w:rPr>
              <w:t>提交符合招标文件要求的联合体协议书，明确各方承担连带责任，并明确联合体牵头人</w:t>
            </w:r>
          </w:p>
        </w:tc>
      </w:tr>
      <w:tr w14:paraId="0C762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0" w:hRule="atLeast"/>
          <w:jc w:val="center"/>
        </w:trPr>
        <w:tc>
          <w:tcPr>
            <w:tcW w:w="900" w:type="dxa"/>
            <w:vMerge w:val="continue"/>
            <w:tcBorders>
              <w:top w:val="nil"/>
              <w:bottom w:val="single" w:color="auto" w:sz="4" w:space="0"/>
              <w:right w:val="single" w:color="auto" w:sz="4" w:space="0"/>
            </w:tcBorders>
            <w:vAlign w:val="center"/>
          </w:tcPr>
          <w:p w14:paraId="1DFEEF56">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31BD1560">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F24E22">
            <w:pPr>
              <w:pStyle w:val="10"/>
              <w:spacing w:line="23" w:lineRule="atLeast"/>
              <w:ind w:left="0" w:leftChars="0"/>
              <w:jc w:val="center"/>
              <w:rPr>
                <w:rFonts w:ascii="宋体" w:hAnsi="宋体" w:eastAsia="宋体" w:cstheme="minorBidi"/>
                <w:kern w:val="2"/>
                <w:sz w:val="22"/>
                <w:szCs w:val="22"/>
                <w:lang w:val="en-US" w:eastAsia="zh-CN" w:bidi="ar-SA"/>
              </w:rPr>
            </w:pPr>
            <w:r>
              <w:rPr>
                <w:szCs w:val="22"/>
              </w:rPr>
              <w:t>报价唯一</w:t>
            </w:r>
          </w:p>
        </w:tc>
        <w:tc>
          <w:tcPr>
            <w:tcW w:w="5897" w:type="dxa"/>
            <w:tcBorders>
              <w:top w:val="single" w:color="auto" w:sz="4" w:space="0"/>
              <w:left w:val="single" w:color="auto" w:sz="4" w:space="0"/>
              <w:bottom w:val="single" w:color="auto" w:sz="4" w:space="0"/>
              <w:right w:val="single" w:color="auto" w:sz="4" w:space="0"/>
            </w:tcBorders>
            <w:shd w:val="clear" w:color="auto" w:fill="auto"/>
            <w:vAlign w:val="center"/>
          </w:tcPr>
          <w:p w14:paraId="348D1581">
            <w:pPr>
              <w:pStyle w:val="10"/>
              <w:spacing w:line="23" w:lineRule="atLeast"/>
              <w:ind w:left="0" w:leftChars="0"/>
              <w:rPr>
                <w:rFonts w:ascii="宋体" w:hAnsi="宋体" w:eastAsia="宋体" w:cstheme="minorBidi"/>
                <w:kern w:val="2"/>
                <w:sz w:val="22"/>
                <w:szCs w:val="22"/>
                <w:lang w:val="en-US" w:eastAsia="zh-CN" w:bidi="ar-SA"/>
              </w:rPr>
            </w:pPr>
            <w:r>
              <w:rPr>
                <w:szCs w:val="22"/>
              </w:rPr>
              <w:t>只能有一个有效报价</w:t>
            </w:r>
            <w:r>
              <w:rPr>
                <w:rFonts w:hint="eastAsia"/>
                <w:szCs w:val="22"/>
              </w:rPr>
              <w:t>，即符合</w:t>
            </w:r>
            <w:r>
              <w:rPr>
                <w:szCs w:val="22"/>
              </w:rPr>
              <w:t>第二章“投标人须知</w:t>
            </w:r>
            <w:r>
              <w:rPr>
                <w:rFonts w:hint="eastAsia"/>
                <w:szCs w:val="22"/>
              </w:rPr>
              <w:t>前附表</w:t>
            </w:r>
            <w:r>
              <w:rPr>
                <w:szCs w:val="22"/>
              </w:rPr>
              <w:t>”第</w:t>
            </w:r>
            <w:r>
              <w:rPr>
                <w:rFonts w:hint="eastAsia"/>
                <w:szCs w:val="22"/>
              </w:rPr>
              <w:t>10.</w:t>
            </w:r>
            <w:r>
              <w:rPr>
                <w:rFonts w:hint="eastAsia"/>
                <w:szCs w:val="22"/>
                <w:lang w:val="en-US" w:eastAsia="zh-CN"/>
              </w:rPr>
              <w:t>4</w:t>
            </w:r>
            <w:r>
              <w:rPr>
                <w:szCs w:val="22"/>
              </w:rPr>
              <w:t>项规定</w:t>
            </w:r>
          </w:p>
        </w:tc>
      </w:tr>
      <w:tr w14:paraId="147E6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0" w:hRule="atLeast"/>
          <w:jc w:val="center"/>
        </w:trPr>
        <w:tc>
          <w:tcPr>
            <w:tcW w:w="900" w:type="dxa"/>
            <w:vMerge w:val="continue"/>
            <w:tcBorders>
              <w:top w:val="nil"/>
              <w:bottom w:val="single" w:color="auto" w:sz="4" w:space="0"/>
              <w:right w:val="single" w:color="auto" w:sz="4" w:space="0"/>
            </w:tcBorders>
            <w:vAlign w:val="center"/>
          </w:tcPr>
          <w:p w14:paraId="7112E89C">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2386777B">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268FB8">
            <w:pPr>
              <w:pStyle w:val="10"/>
              <w:spacing w:line="23" w:lineRule="atLeast"/>
              <w:ind w:left="0" w:leftChars="0"/>
              <w:jc w:val="center"/>
              <w:rPr>
                <w:rFonts w:ascii="宋体" w:hAnsi="宋体" w:eastAsia="宋体" w:cs="宋体"/>
                <w:kern w:val="0"/>
                <w:sz w:val="21"/>
                <w:szCs w:val="21"/>
                <w:lang w:val="en-US" w:eastAsia="zh-CN" w:bidi="ar-SA"/>
              </w:rPr>
            </w:pPr>
            <w:r>
              <w:rPr>
                <w:rFonts w:hint="eastAsia"/>
                <w:szCs w:val="22"/>
              </w:rPr>
              <w:t>□</w:t>
            </w:r>
            <w:r>
              <w:rPr>
                <w:rFonts w:ascii="宋体" w:hAnsi="宋体" w:cstheme="minorBidi"/>
                <w:sz w:val="22"/>
                <w:szCs w:val="22"/>
              </w:rPr>
              <w:t>备选投标方案</w:t>
            </w:r>
          </w:p>
        </w:tc>
        <w:tc>
          <w:tcPr>
            <w:tcW w:w="5897" w:type="dxa"/>
            <w:tcBorders>
              <w:top w:val="single" w:color="auto" w:sz="4" w:space="0"/>
              <w:left w:val="single" w:color="auto" w:sz="4" w:space="0"/>
              <w:bottom w:val="single" w:color="auto" w:sz="4" w:space="0"/>
              <w:right w:val="single" w:color="auto" w:sz="4" w:space="0"/>
            </w:tcBorders>
            <w:shd w:val="clear" w:color="auto" w:fill="auto"/>
            <w:vAlign w:val="top"/>
          </w:tcPr>
          <w:p w14:paraId="73451B14">
            <w:pPr>
              <w:pStyle w:val="10"/>
              <w:spacing w:before="107" w:line="23" w:lineRule="atLeast"/>
              <w:ind w:left="0" w:leftChars="0"/>
              <w:rPr>
                <w:rFonts w:ascii="宋体" w:hAnsi="宋体" w:eastAsia="宋体" w:cs="宋体"/>
                <w:kern w:val="0"/>
                <w:sz w:val="21"/>
                <w:szCs w:val="21"/>
                <w:lang w:val="en-US" w:eastAsia="zh-CN" w:bidi="ar-SA"/>
              </w:rPr>
            </w:pPr>
            <w:r>
              <w:rPr>
                <w:rFonts w:hint="eastAsia" w:ascii="宋体" w:hAnsi="宋体" w:cstheme="minorBidi"/>
                <w:sz w:val="22"/>
                <w:szCs w:val="22"/>
                <w:lang w:eastAsia="zh-CN"/>
              </w:rPr>
              <w:t>除招标文件明确允许提交备选投标方案外，投标人不得提交备选投标方案</w:t>
            </w:r>
          </w:p>
        </w:tc>
      </w:tr>
      <w:tr w14:paraId="3A2EE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2" w:hRule="atLeast"/>
          <w:jc w:val="center"/>
        </w:trPr>
        <w:tc>
          <w:tcPr>
            <w:tcW w:w="900" w:type="dxa"/>
            <w:vMerge w:val="continue"/>
            <w:tcBorders>
              <w:top w:val="nil"/>
              <w:bottom w:val="single" w:color="auto" w:sz="4" w:space="0"/>
              <w:right w:val="single" w:color="auto" w:sz="4" w:space="0"/>
            </w:tcBorders>
            <w:vAlign w:val="center"/>
          </w:tcPr>
          <w:p w14:paraId="3CF9834E">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3139C77B">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A50E997">
            <w:pPr>
              <w:pStyle w:val="10"/>
              <w:spacing w:line="23" w:lineRule="atLeast"/>
              <w:ind w:left="0" w:leftChars="0"/>
              <w:jc w:val="center"/>
              <w:rPr>
                <w:rFonts w:ascii="宋体" w:hAnsi="宋体" w:eastAsia="宋体" w:cs="宋体"/>
                <w:kern w:val="0"/>
                <w:sz w:val="21"/>
                <w:szCs w:val="21"/>
                <w:lang w:val="en-US" w:eastAsia="zh-CN" w:bidi="ar-SA"/>
              </w:rPr>
            </w:pPr>
            <w:r>
              <w:rPr>
                <w:rFonts w:hint="eastAsia" w:cs="宋体"/>
                <w:kern w:val="0"/>
                <w:sz w:val="21"/>
                <w:szCs w:val="21"/>
                <w:lang w:val="en-US" w:eastAsia="zh-CN" w:bidi="ar-SA"/>
              </w:rPr>
              <w:t>……</w:t>
            </w:r>
          </w:p>
        </w:tc>
        <w:tc>
          <w:tcPr>
            <w:tcW w:w="5897" w:type="dxa"/>
            <w:tcBorders>
              <w:top w:val="single" w:color="auto" w:sz="4" w:space="0"/>
              <w:left w:val="single" w:color="auto" w:sz="4" w:space="0"/>
              <w:bottom w:val="single" w:color="auto" w:sz="4" w:space="0"/>
              <w:right w:val="single" w:color="auto" w:sz="4" w:space="0"/>
            </w:tcBorders>
            <w:shd w:val="clear" w:color="auto" w:fill="auto"/>
            <w:vAlign w:val="top"/>
          </w:tcPr>
          <w:p w14:paraId="1D7D8092">
            <w:pPr>
              <w:pStyle w:val="10"/>
              <w:spacing w:before="107" w:line="23" w:lineRule="atLeast"/>
              <w:ind w:left="0" w:leftChars="0"/>
              <w:jc w:val="center"/>
              <w:rPr>
                <w:rFonts w:ascii="宋体" w:hAnsi="宋体" w:eastAsia="宋体" w:cs="宋体"/>
                <w:kern w:val="0"/>
                <w:sz w:val="21"/>
                <w:szCs w:val="21"/>
                <w:lang w:val="en-US" w:eastAsia="zh-CN" w:bidi="ar-SA"/>
              </w:rPr>
            </w:pPr>
            <w:r>
              <w:rPr>
                <w:rFonts w:hint="eastAsia" w:cs="宋体"/>
                <w:kern w:val="0"/>
                <w:sz w:val="21"/>
                <w:szCs w:val="21"/>
                <w:lang w:val="en-US" w:eastAsia="zh-CN" w:bidi="ar-SA"/>
              </w:rPr>
              <w:t>……</w:t>
            </w:r>
          </w:p>
        </w:tc>
      </w:tr>
      <w:tr w14:paraId="5F4E8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vAlign w:val="center"/>
          </w:tcPr>
          <w:p w14:paraId="14877312">
            <w:pPr>
              <w:pStyle w:val="10"/>
              <w:spacing w:line="23" w:lineRule="atLeast"/>
              <w:ind w:left="0"/>
              <w:jc w:val="center"/>
              <w:rPr>
                <w:szCs w:val="22"/>
              </w:rPr>
            </w:pPr>
            <w:r>
              <w:rPr>
                <w:szCs w:val="22"/>
              </w:rPr>
              <w:t>2.1.2</w:t>
            </w:r>
          </w:p>
        </w:tc>
        <w:tc>
          <w:tcPr>
            <w:tcW w:w="1080" w:type="dxa"/>
            <w:gridSpan w:val="2"/>
            <w:vMerge w:val="restart"/>
            <w:tcBorders>
              <w:top w:val="single" w:color="auto" w:sz="4" w:space="0"/>
              <w:bottom w:val="single" w:color="auto" w:sz="4" w:space="0"/>
              <w:right w:val="single" w:color="auto" w:sz="4" w:space="0"/>
            </w:tcBorders>
            <w:vAlign w:val="center"/>
          </w:tcPr>
          <w:p w14:paraId="12723CD0">
            <w:pPr>
              <w:pStyle w:val="10"/>
              <w:spacing w:line="23" w:lineRule="atLeast"/>
              <w:ind w:left="0"/>
              <w:jc w:val="center"/>
              <w:rPr>
                <w:szCs w:val="22"/>
              </w:rPr>
            </w:pPr>
            <w:r>
              <w:rPr>
                <w:szCs w:val="22"/>
              </w:rPr>
              <w:t>资格评审标准</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304F89BD">
            <w:pPr>
              <w:pStyle w:val="10"/>
              <w:spacing w:line="23" w:lineRule="atLeast"/>
              <w:ind w:left="0"/>
              <w:jc w:val="center"/>
              <w:rPr>
                <w:szCs w:val="22"/>
              </w:rPr>
            </w:pPr>
            <w:r>
              <w:rPr>
                <w:szCs w:val="22"/>
              </w:rPr>
              <w:t>营业执照</w:t>
            </w:r>
          </w:p>
        </w:tc>
        <w:tc>
          <w:tcPr>
            <w:tcW w:w="5897" w:type="dxa"/>
            <w:tcBorders>
              <w:top w:val="single" w:color="auto" w:sz="4" w:space="0"/>
              <w:left w:val="single" w:color="auto" w:sz="4" w:space="0"/>
              <w:bottom w:val="single" w:color="auto" w:sz="4" w:space="0"/>
              <w:right w:val="single" w:color="auto" w:sz="4" w:space="0"/>
            </w:tcBorders>
            <w:vAlign w:val="center"/>
          </w:tcPr>
          <w:p w14:paraId="5687C009">
            <w:pPr>
              <w:pStyle w:val="10"/>
              <w:spacing w:line="23" w:lineRule="atLeast"/>
              <w:ind w:left="0"/>
              <w:rPr>
                <w:szCs w:val="22"/>
              </w:rPr>
            </w:pPr>
            <w:r>
              <w:rPr>
                <w:rFonts w:hint="eastAsia"/>
                <w:szCs w:val="22"/>
              </w:rPr>
              <w:t>具备有效的营业执照（联合体投标的联合体各方均须提供营业执照）</w:t>
            </w:r>
          </w:p>
        </w:tc>
      </w:tr>
      <w:tr w14:paraId="43A8FF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21A738EE">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19265671">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41523D86">
            <w:pPr>
              <w:pStyle w:val="10"/>
              <w:spacing w:line="23" w:lineRule="atLeast"/>
              <w:ind w:left="0"/>
              <w:jc w:val="center"/>
              <w:rPr>
                <w:szCs w:val="22"/>
              </w:rPr>
            </w:pPr>
            <w:r>
              <w:rPr>
                <w:szCs w:val="22"/>
              </w:rPr>
              <w:t>资质等级</w:t>
            </w:r>
          </w:p>
        </w:tc>
        <w:tc>
          <w:tcPr>
            <w:tcW w:w="5897" w:type="dxa"/>
            <w:tcBorders>
              <w:top w:val="single" w:color="auto" w:sz="4" w:space="0"/>
              <w:left w:val="single" w:color="auto" w:sz="4" w:space="0"/>
              <w:bottom w:val="single" w:color="auto" w:sz="4" w:space="0"/>
              <w:right w:val="single" w:color="auto" w:sz="4" w:space="0"/>
            </w:tcBorders>
            <w:vAlign w:val="center"/>
          </w:tcPr>
          <w:p w14:paraId="166CB323">
            <w:pPr>
              <w:pStyle w:val="10"/>
              <w:spacing w:line="23" w:lineRule="atLeast"/>
              <w:ind w:left="0"/>
              <w:rPr>
                <w:szCs w:val="22"/>
              </w:rPr>
            </w:pPr>
            <w:r>
              <w:rPr>
                <w:szCs w:val="22"/>
              </w:rPr>
              <w:t>符合第二章“</w:t>
            </w:r>
            <w:r>
              <w:rPr>
                <w:rFonts w:ascii="宋体" w:hAnsi="宋体" w:eastAsia="宋体" w:cs="宋体"/>
                <w:sz w:val="22"/>
                <w:szCs w:val="22"/>
                <w:lang w:val="en-US" w:eastAsia="zh-CN" w:bidi="ar-SA"/>
              </w:rPr>
              <w:t>投标人须知前附表</w:t>
            </w:r>
            <w:r>
              <w:rPr>
                <w:szCs w:val="22"/>
              </w:rPr>
              <w:t>”第1.4.1项规定</w:t>
            </w:r>
          </w:p>
        </w:tc>
      </w:tr>
      <w:tr w14:paraId="51564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747BBF44">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79F4DF57">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55CEF854">
            <w:pPr>
              <w:pStyle w:val="10"/>
              <w:spacing w:line="23" w:lineRule="atLeast"/>
              <w:ind w:left="0"/>
              <w:jc w:val="center"/>
              <w:rPr>
                <w:rFonts w:ascii="宋体" w:hAnsi="宋体" w:eastAsia="宋体" w:cs="宋体"/>
                <w:color w:val="000000"/>
                <w:sz w:val="22"/>
                <w:szCs w:val="22"/>
              </w:rPr>
            </w:pPr>
            <w:r>
              <w:rPr>
                <w:rFonts w:hint="eastAsia" w:hAnsi="宋体"/>
                <w:szCs w:val="22"/>
              </w:rPr>
              <w:t>○</w:t>
            </w:r>
            <w:r>
              <w:rPr>
                <w:rFonts w:ascii="宋体" w:hAnsi="宋体" w:eastAsia="宋体" w:cs="宋体"/>
                <w:color w:val="000000"/>
                <w:sz w:val="22"/>
                <w:szCs w:val="22"/>
              </w:rPr>
              <w:t>类似工程业绩要求</w:t>
            </w:r>
          </w:p>
          <w:p w14:paraId="7D8ABF45">
            <w:pPr>
              <w:pStyle w:val="10"/>
              <w:spacing w:line="23" w:lineRule="atLeast"/>
              <w:ind w:left="0"/>
              <w:jc w:val="center"/>
              <w:rPr>
                <w:rFonts w:ascii="宋体" w:hAnsi="宋体" w:eastAsia="宋体" w:cs="宋体"/>
                <w:color w:val="000000"/>
                <w:sz w:val="22"/>
                <w:szCs w:val="22"/>
              </w:rPr>
            </w:pPr>
            <w:r>
              <w:rPr>
                <w:rFonts w:hint="eastAsia" w:hAnsi="宋体"/>
                <w:szCs w:val="22"/>
              </w:rPr>
              <w:t>○</w:t>
            </w:r>
            <w:r>
              <w:rPr>
                <w:rFonts w:hint="eastAsia" w:ascii="宋体" w:hAnsi="宋体" w:eastAsia="宋体" w:cs="宋体"/>
                <w:color w:val="000000"/>
                <w:sz w:val="22"/>
                <w:szCs w:val="22"/>
                <w:lang w:val="en-US" w:eastAsia="zh-CN"/>
              </w:rPr>
              <w:t>无</w:t>
            </w:r>
            <w:r>
              <w:rPr>
                <w:rFonts w:ascii="宋体" w:hAnsi="宋体" w:eastAsia="宋体" w:cs="宋体"/>
                <w:color w:val="000000"/>
                <w:sz w:val="22"/>
                <w:szCs w:val="22"/>
              </w:rPr>
              <w:t>类似工程业绩要求</w:t>
            </w:r>
          </w:p>
        </w:tc>
        <w:tc>
          <w:tcPr>
            <w:tcW w:w="5897" w:type="dxa"/>
            <w:tcBorders>
              <w:top w:val="single" w:color="auto" w:sz="4" w:space="0"/>
              <w:left w:val="single" w:color="auto" w:sz="4" w:space="0"/>
              <w:bottom w:val="single" w:color="auto" w:sz="4" w:space="0"/>
              <w:right w:val="single" w:color="auto" w:sz="4" w:space="0"/>
            </w:tcBorders>
            <w:vAlign w:val="center"/>
          </w:tcPr>
          <w:p w14:paraId="2893ABCF">
            <w:pPr>
              <w:pStyle w:val="10"/>
              <w:spacing w:line="23" w:lineRule="atLeast"/>
              <w:ind w:left="0"/>
              <w:rPr>
                <w:szCs w:val="22"/>
              </w:rPr>
            </w:pPr>
            <w:r>
              <w:rPr>
                <w:rFonts w:hint="eastAsia"/>
                <w:szCs w:val="22"/>
              </w:rPr>
              <w:t>符合第二章“投标人须知前附表”第1.4.1 项规定</w:t>
            </w:r>
          </w:p>
        </w:tc>
      </w:tr>
      <w:tr w14:paraId="2A43B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25F49CDA">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092BD710">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4454AD">
            <w:pPr>
              <w:pStyle w:val="10"/>
              <w:spacing w:line="23" w:lineRule="atLeast"/>
              <w:ind w:left="0"/>
              <w:jc w:val="center"/>
              <w:rPr>
                <w:rFonts w:hint="eastAsia"/>
                <w:szCs w:val="22"/>
              </w:rPr>
            </w:pPr>
            <w:r>
              <w:rPr>
                <w:rFonts w:hint="eastAsia" w:hAnsi="宋体"/>
                <w:szCs w:val="22"/>
              </w:rPr>
              <w:t>○</w:t>
            </w:r>
            <w:r>
              <w:rPr>
                <w:rFonts w:hint="eastAsia"/>
                <w:szCs w:val="22"/>
              </w:rPr>
              <w:t>财务要求</w:t>
            </w:r>
          </w:p>
          <w:p w14:paraId="49D4A0A8">
            <w:pPr>
              <w:pStyle w:val="10"/>
              <w:spacing w:line="23" w:lineRule="atLeast"/>
              <w:ind w:left="0"/>
              <w:jc w:val="center"/>
              <w:rPr>
                <w:rFonts w:hint="default"/>
                <w:szCs w:val="22"/>
              </w:rPr>
            </w:pPr>
            <w:r>
              <w:rPr>
                <w:rFonts w:hint="eastAsia" w:hAnsi="宋体"/>
                <w:szCs w:val="22"/>
              </w:rPr>
              <w:t>○</w:t>
            </w:r>
            <w:r>
              <w:rPr>
                <w:rFonts w:hint="eastAsia"/>
                <w:szCs w:val="22"/>
                <w:lang w:val="en-US" w:eastAsia="zh-CN"/>
              </w:rPr>
              <w:t>无财务要求</w:t>
            </w:r>
          </w:p>
        </w:tc>
        <w:tc>
          <w:tcPr>
            <w:tcW w:w="5897" w:type="dxa"/>
            <w:tcBorders>
              <w:top w:val="single" w:color="auto" w:sz="4" w:space="0"/>
              <w:left w:val="single" w:color="auto" w:sz="4" w:space="0"/>
              <w:bottom w:val="single" w:color="auto" w:sz="4" w:space="0"/>
              <w:right w:val="single" w:color="auto" w:sz="4" w:space="0"/>
            </w:tcBorders>
            <w:shd w:val="clear" w:color="auto" w:fill="auto"/>
            <w:vAlign w:val="center"/>
          </w:tcPr>
          <w:p w14:paraId="5BEB9820">
            <w:pPr>
              <w:pStyle w:val="10"/>
              <w:spacing w:line="23" w:lineRule="atLeast"/>
              <w:ind w:left="0"/>
              <w:rPr>
                <w:szCs w:val="22"/>
              </w:rPr>
            </w:pPr>
            <w:r>
              <w:rPr>
                <w:szCs w:val="22"/>
              </w:rPr>
              <w:t>符合第二章“</w:t>
            </w:r>
            <w:r>
              <w:rPr>
                <w:rFonts w:ascii="宋体" w:hAnsi="宋体" w:eastAsia="宋体" w:cs="宋体"/>
                <w:sz w:val="22"/>
                <w:szCs w:val="22"/>
                <w:lang w:val="en-US" w:eastAsia="zh-CN" w:bidi="ar-SA"/>
              </w:rPr>
              <w:t>投标人须知前附表</w:t>
            </w:r>
            <w:r>
              <w:rPr>
                <w:szCs w:val="22"/>
              </w:rPr>
              <w:t>”第1.4.1</w:t>
            </w:r>
            <w:r>
              <w:rPr>
                <w:rFonts w:hint="eastAsia"/>
                <w:szCs w:val="22"/>
              </w:rPr>
              <w:t>项</w:t>
            </w:r>
            <w:r>
              <w:rPr>
                <w:szCs w:val="22"/>
              </w:rPr>
              <w:t>规定</w:t>
            </w:r>
          </w:p>
        </w:tc>
      </w:tr>
      <w:tr w14:paraId="6085CE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6" w:hRule="atLeast"/>
          <w:jc w:val="center"/>
        </w:trPr>
        <w:tc>
          <w:tcPr>
            <w:tcW w:w="900" w:type="dxa"/>
            <w:vMerge w:val="continue"/>
            <w:tcBorders>
              <w:top w:val="nil"/>
              <w:bottom w:val="single" w:color="auto" w:sz="4" w:space="0"/>
              <w:right w:val="single" w:color="auto" w:sz="4" w:space="0"/>
            </w:tcBorders>
            <w:vAlign w:val="center"/>
          </w:tcPr>
          <w:p w14:paraId="1B72C691">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4C16C6FC">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332048B2">
            <w:pPr>
              <w:pStyle w:val="10"/>
              <w:spacing w:line="23" w:lineRule="atLeast"/>
              <w:ind w:left="0"/>
              <w:jc w:val="center"/>
              <w:rPr>
                <w:rFonts w:hint="default"/>
                <w:szCs w:val="22"/>
              </w:rPr>
            </w:pPr>
            <w:r>
              <w:rPr>
                <w:rFonts w:hint="eastAsia"/>
                <w:szCs w:val="22"/>
                <w:lang w:val="en-US" w:eastAsia="zh-CN"/>
              </w:rPr>
              <w:t>项目经理</w:t>
            </w:r>
          </w:p>
        </w:tc>
        <w:tc>
          <w:tcPr>
            <w:tcW w:w="5897" w:type="dxa"/>
            <w:tcBorders>
              <w:top w:val="single" w:color="auto" w:sz="4" w:space="0"/>
              <w:left w:val="single" w:color="auto" w:sz="4" w:space="0"/>
              <w:bottom w:val="single" w:color="auto" w:sz="4" w:space="0"/>
              <w:right w:val="single" w:color="auto" w:sz="4" w:space="0"/>
            </w:tcBorders>
            <w:vAlign w:val="center"/>
          </w:tcPr>
          <w:p w14:paraId="1F25C05B">
            <w:pPr>
              <w:pStyle w:val="10"/>
              <w:spacing w:line="23" w:lineRule="atLeast"/>
              <w:ind w:left="0"/>
              <w:rPr>
                <w:rFonts w:hint="eastAsia" w:eastAsia="宋体"/>
                <w:szCs w:val="22"/>
                <w:lang w:eastAsia="zh-CN"/>
              </w:rPr>
            </w:pPr>
            <w:r>
              <w:rPr>
                <w:rFonts w:hint="eastAsia"/>
                <w:szCs w:val="22"/>
                <w:lang w:eastAsia="zh-CN"/>
              </w:rPr>
              <w:t>符合第二章“投标人须知前附表”第1.4.1项规定</w:t>
            </w:r>
          </w:p>
        </w:tc>
      </w:tr>
      <w:tr w14:paraId="12A14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4ACF09DA">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6FF8975F">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18E9A75C">
            <w:pPr>
              <w:pStyle w:val="10"/>
              <w:spacing w:line="23" w:lineRule="atLeast"/>
              <w:ind w:left="0"/>
              <w:jc w:val="center"/>
              <w:rPr>
                <w:rFonts w:hint="eastAsia"/>
                <w:szCs w:val="22"/>
              </w:rPr>
            </w:pPr>
            <w:r>
              <w:rPr>
                <w:rFonts w:hint="eastAsia"/>
                <w:szCs w:val="22"/>
              </w:rPr>
              <w:t>□</w:t>
            </w:r>
            <w:r>
              <w:rPr>
                <w:rFonts w:hint="eastAsia"/>
                <w:szCs w:val="22"/>
                <w:lang w:val="en-US" w:eastAsia="zh-CN"/>
              </w:rPr>
              <w:t>技术负责人</w:t>
            </w:r>
          </w:p>
        </w:tc>
        <w:tc>
          <w:tcPr>
            <w:tcW w:w="5897" w:type="dxa"/>
            <w:tcBorders>
              <w:top w:val="single" w:color="auto" w:sz="4" w:space="0"/>
              <w:left w:val="single" w:color="auto" w:sz="4" w:space="0"/>
              <w:bottom w:val="single" w:color="auto" w:sz="4" w:space="0"/>
              <w:right w:val="single" w:color="auto" w:sz="4" w:space="0"/>
            </w:tcBorders>
            <w:vAlign w:val="center"/>
          </w:tcPr>
          <w:p w14:paraId="6823AAF0">
            <w:pPr>
              <w:pStyle w:val="10"/>
              <w:spacing w:line="23" w:lineRule="atLeast"/>
              <w:ind w:left="0"/>
              <w:rPr>
                <w:rFonts w:hint="eastAsia" w:eastAsia="宋体"/>
                <w:szCs w:val="22"/>
                <w:lang w:eastAsia="zh-CN"/>
              </w:rPr>
            </w:pPr>
            <w:r>
              <w:rPr>
                <w:rFonts w:hint="eastAsia"/>
                <w:szCs w:val="22"/>
                <w:lang w:eastAsia="zh-CN"/>
              </w:rPr>
              <w:t>符合第二章“投标人须知前附表”第1.4.1项规定</w:t>
            </w:r>
          </w:p>
        </w:tc>
      </w:tr>
      <w:tr w14:paraId="1E4B9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6EF5BB8B">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0A9E694F">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09B2964A">
            <w:pPr>
              <w:pStyle w:val="10"/>
              <w:spacing w:line="23" w:lineRule="atLeast"/>
              <w:ind w:left="0"/>
              <w:jc w:val="center"/>
              <w:rPr>
                <w:szCs w:val="22"/>
              </w:rPr>
            </w:pPr>
            <w:r>
              <w:rPr>
                <w:rFonts w:hint="eastAsia"/>
                <w:szCs w:val="22"/>
              </w:rPr>
              <w:t>信誉要求</w:t>
            </w:r>
          </w:p>
        </w:tc>
        <w:tc>
          <w:tcPr>
            <w:tcW w:w="5897" w:type="dxa"/>
            <w:tcBorders>
              <w:top w:val="single" w:color="auto" w:sz="4" w:space="0"/>
              <w:left w:val="single" w:color="auto" w:sz="4" w:space="0"/>
              <w:bottom w:val="single" w:color="auto" w:sz="4" w:space="0"/>
              <w:right w:val="single" w:color="auto" w:sz="4" w:space="0"/>
            </w:tcBorders>
            <w:vAlign w:val="center"/>
          </w:tcPr>
          <w:p w14:paraId="6E663B81">
            <w:pPr>
              <w:pStyle w:val="10"/>
              <w:spacing w:line="23" w:lineRule="atLeast"/>
              <w:ind w:left="0"/>
              <w:rPr>
                <w:rFonts w:hint="eastAsia" w:eastAsia="宋体"/>
                <w:szCs w:val="22"/>
                <w:lang w:eastAsia="zh-CN"/>
              </w:rPr>
            </w:pPr>
            <w:r>
              <w:rPr>
                <w:rFonts w:hint="eastAsia"/>
                <w:szCs w:val="22"/>
                <w:lang w:eastAsia="zh-CN"/>
              </w:rPr>
              <w:t>符合第二章“投标人须知前附表”第1.4.1项规定</w:t>
            </w:r>
          </w:p>
        </w:tc>
      </w:tr>
      <w:tr w14:paraId="72E9E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5EDAF01A">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47D50AE7">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5A9584A3">
            <w:pPr>
              <w:pStyle w:val="10"/>
              <w:spacing w:line="23" w:lineRule="atLeast"/>
              <w:ind w:left="0"/>
              <w:jc w:val="center"/>
              <w:rPr>
                <w:szCs w:val="22"/>
              </w:rPr>
            </w:pPr>
            <w:r>
              <w:rPr>
                <w:rFonts w:hint="eastAsia"/>
                <w:szCs w:val="22"/>
              </w:rPr>
              <w:t>其他要求</w:t>
            </w:r>
          </w:p>
        </w:tc>
        <w:tc>
          <w:tcPr>
            <w:tcW w:w="5897" w:type="dxa"/>
            <w:tcBorders>
              <w:top w:val="single" w:color="auto" w:sz="4" w:space="0"/>
              <w:left w:val="single" w:color="auto" w:sz="4" w:space="0"/>
              <w:bottom w:val="single" w:color="auto" w:sz="4" w:space="0"/>
              <w:right w:val="single" w:color="auto" w:sz="4" w:space="0"/>
            </w:tcBorders>
            <w:vAlign w:val="center"/>
          </w:tcPr>
          <w:p w14:paraId="685B93E9">
            <w:pPr>
              <w:pStyle w:val="10"/>
              <w:spacing w:line="23" w:lineRule="atLeast"/>
              <w:ind w:left="0"/>
              <w:rPr>
                <w:rFonts w:hint="eastAsia" w:eastAsia="宋体"/>
                <w:szCs w:val="22"/>
                <w:lang w:eastAsia="zh-CN"/>
              </w:rPr>
            </w:pPr>
            <w:r>
              <w:rPr>
                <w:rFonts w:hint="eastAsia"/>
                <w:szCs w:val="22"/>
                <w:lang w:eastAsia="zh-CN"/>
              </w:rPr>
              <w:t>符合第二章“投标人须知前附表”第1.4.1项规定</w:t>
            </w:r>
          </w:p>
        </w:tc>
      </w:tr>
      <w:tr w14:paraId="452804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nil"/>
              <w:bottom w:val="single" w:color="auto" w:sz="4" w:space="0"/>
              <w:right w:val="single" w:color="auto" w:sz="4" w:space="0"/>
            </w:tcBorders>
            <w:vAlign w:val="center"/>
          </w:tcPr>
          <w:p w14:paraId="46144304">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3E755B3D">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3C76B78">
            <w:pPr>
              <w:pStyle w:val="10"/>
              <w:spacing w:line="23" w:lineRule="atLeast"/>
              <w:ind w:left="0"/>
              <w:jc w:val="center"/>
              <w:rPr>
                <w:rFonts w:hint="eastAsia"/>
                <w:szCs w:val="22"/>
              </w:rPr>
            </w:pPr>
            <w:r>
              <w:rPr>
                <w:rFonts w:hint="eastAsia"/>
                <w:szCs w:val="22"/>
                <w:lang w:eastAsia="zh-CN"/>
              </w:rPr>
              <w:t>□</w:t>
            </w:r>
            <w:r>
              <w:rPr>
                <w:rFonts w:hint="eastAsia"/>
                <w:szCs w:val="22"/>
              </w:rPr>
              <w:t>联合体投标人</w:t>
            </w:r>
          </w:p>
        </w:tc>
        <w:tc>
          <w:tcPr>
            <w:tcW w:w="5897" w:type="dxa"/>
            <w:tcBorders>
              <w:top w:val="single" w:color="auto" w:sz="4" w:space="0"/>
              <w:left w:val="single" w:color="auto" w:sz="4" w:space="0"/>
              <w:bottom w:val="single" w:color="auto" w:sz="4" w:space="0"/>
              <w:right w:val="single" w:color="auto" w:sz="4" w:space="0"/>
            </w:tcBorders>
            <w:vAlign w:val="center"/>
          </w:tcPr>
          <w:p w14:paraId="49DCC509">
            <w:pPr>
              <w:pStyle w:val="10"/>
              <w:spacing w:line="23" w:lineRule="atLeast"/>
              <w:ind w:left="0"/>
              <w:rPr>
                <w:szCs w:val="22"/>
              </w:rPr>
            </w:pPr>
            <w:r>
              <w:rPr>
                <w:rFonts w:hint="eastAsia"/>
                <w:szCs w:val="22"/>
              </w:rPr>
              <w:t>符合第二章“投标人须知前附表”第1.4.2项规定</w:t>
            </w:r>
          </w:p>
        </w:tc>
      </w:tr>
      <w:tr w14:paraId="6F216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9" w:hRule="atLeast"/>
          <w:jc w:val="center"/>
        </w:trPr>
        <w:tc>
          <w:tcPr>
            <w:tcW w:w="900" w:type="dxa"/>
            <w:vMerge w:val="continue"/>
            <w:tcBorders>
              <w:top w:val="nil"/>
              <w:bottom w:val="single" w:color="auto" w:sz="4" w:space="0"/>
              <w:right w:val="single" w:color="auto" w:sz="4" w:space="0"/>
            </w:tcBorders>
            <w:vAlign w:val="center"/>
          </w:tcPr>
          <w:p w14:paraId="48A4B0E8">
            <w:pPr>
              <w:pStyle w:val="10"/>
              <w:spacing w:line="23" w:lineRule="atLeast"/>
              <w:ind w:left="0"/>
              <w:jc w:val="center"/>
              <w:rPr>
                <w:szCs w:val="22"/>
              </w:rPr>
            </w:pPr>
          </w:p>
        </w:tc>
        <w:tc>
          <w:tcPr>
            <w:tcW w:w="1080" w:type="dxa"/>
            <w:gridSpan w:val="2"/>
            <w:vMerge w:val="continue"/>
            <w:tcBorders>
              <w:top w:val="nil"/>
              <w:bottom w:val="single" w:color="auto" w:sz="4" w:space="0"/>
              <w:right w:val="single" w:color="auto" w:sz="4" w:space="0"/>
            </w:tcBorders>
            <w:vAlign w:val="center"/>
          </w:tcPr>
          <w:p w14:paraId="4412F1E2">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4A69D3E8">
            <w:pPr>
              <w:pStyle w:val="10"/>
              <w:spacing w:line="23" w:lineRule="atLeast"/>
              <w:ind w:left="0"/>
              <w:jc w:val="center"/>
              <w:rPr>
                <w:szCs w:val="22"/>
              </w:rPr>
            </w:pPr>
            <w:r>
              <w:rPr>
                <w:szCs w:val="22"/>
              </w:rPr>
              <w:t>……</w:t>
            </w:r>
          </w:p>
        </w:tc>
        <w:tc>
          <w:tcPr>
            <w:tcW w:w="5897" w:type="dxa"/>
            <w:tcBorders>
              <w:top w:val="single" w:color="auto" w:sz="4" w:space="0"/>
              <w:left w:val="single" w:color="auto" w:sz="4" w:space="0"/>
              <w:bottom w:val="single" w:color="auto" w:sz="4" w:space="0"/>
              <w:right w:val="single" w:color="auto" w:sz="4" w:space="0"/>
            </w:tcBorders>
            <w:vAlign w:val="center"/>
          </w:tcPr>
          <w:p w14:paraId="482C9DC5">
            <w:pPr>
              <w:pStyle w:val="10"/>
              <w:spacing w:line="23" w:lineRule="atLeast"/>
              <w:ind w:left="0"/>
              <w:jc w:val="center"/>
              <w:rPr>
                <w:szCs w:val="22"/>
              </w:rPr>
            </w:pPr>
            <w:r>
              <w:rPr>
                <w:szCs w:val="22"/>
              </w:rPr>
              <w:t>……</w:t>
            </w:r>
          </w:p>
        </w:tc>
      </w:tr>
      <w:tr w14:paraId="79FAD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vAlign w:val="center"/>
          </w:tcPr>
          <w:p w14:paraId="2274EC9E">
            <w:pPr>
              <w:pStyle w:val="10"/>
              <w:spacing w:line="23" w:lineRule="atLeast"/>
              <w:ind w:left="0"/>
              <w:jc w:val="center"/>
              <w:rPr>
                <w:szCs w:val="22"/>
              </w:rPr>
            </w:pPr>
            <w:r>
              <w:rPr>
                <w:szCs w:val="22"/>
              </w:rPr>
              <w:t>2.1.3</w:t>
            </w:r>
          </w:p>
          <w:p w14:paraId="27FC972B">
            <w:pPr>
              <w:pStyle w:val="10"/>
              <w:spacing w:line="23" w:lineRule="atLeast"/>
              <w:ind w:left="0"/>
              <w:jc w:val="center"/>
              <w:rPr>
                <w:szCs w:val="22"/>
              </w:rPr>
            </w:pPr>
          </w:p>
        </w:tc>
        <w:tc>
          <w:tcPr>
            <w:tcW w:w="1080" w:type="dxa"/>
            <w:gridSpan w:val="2"/>
            <w:vMerge w:val="restart"/>
            <w:tcBorders>
              <w:top w:val="single" w:color="auto" w:sz="4" w:space="0"/>
              <w:right w:val="single" w:color="auto" w:sz="4" w:space="0"/>
            </w:tcBorders>
            <w:vAlign w:val="center"/>
          </w:tcPr>
          <w:p w14:paraId="3C9D0EC9">
            <w:pPr>
              <w:pStyle w:val="10"/>
              <w:spacing w:line="23" w:lineRule="atLeast"/>
              <w:ind w:left="0"/>
              <w:jc w:val="center"/>
              <w:rPr>
                <w:szCs w:val="22"/>
              </w:rPr>
            </w:pPr>
            <w:r>
              <w:rPr>
                <w:szCs w:val="22"/>
              </w:rPr>
              <w:t>响应性评审标准</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5953CB6A">
            <w:pPr>
              <w:spacing w:line="360" w:lineRule="auto"/>
              <w:rPr>
                <w:szCs w:val="22"/>
              </w:rPr>
            </w:pPr>
            <w:r>
              <w:rPr>
                <w:rFonts w:hint="eastAsia" w:ascii="宋体" w:hAnsi="宋体"/>
                <w:color w:val="000000" w:themeColor="text1"/>
                <w:szCs w:val="22"/>
                <w14:textFill>
                  <w14:solidFill>
                    <w14:schemeClr w14:val="tx1"/>
                  </w14:solidFill>
                </w14:textFill>
              </w:rPr>
              <w:t>投标其他要求</w:t>
            </w:r>
          </w:p>
        </w:tc>
        <w:tc>
          <w:tcPr>
            <w:tcW w:w="5897" w:type="dxa"/>
            <w:tcBorders>
              <w:top w:val="single" w:color="auto" w:sz="4" w:space="0"/>
              <w:left w:val="single" w:color="auto" w:sz="4" w:space="0"/>
              <w:bottom w:val="single" w:color="auto" w:sz="4" w:space="0"/>
              <w:right w:val="single" w:color="auto" w:sz="4" w:space="0"/>
            </w:tcBorders>
            <w:vAlign w:val="center"/>
          </w:tcPr>
          <w:p w14:paraId="7EAF8635">
            <w:pPr>
              <w:pStyle w:val="34"/>
              <w:spacing w:line="360" w:lineRule="auto"/>
              <w:ind w:firstLine="0"/>
              <w:jc w:val="left"/>
              <w:rPr>
                <w:sz w:val="22"/>
                <w:szCs w:val="22"/>
              </w:rPr>
            </w:pPr>
            <w:r>
              <w:rPr>
                <w:rFonts w:hint="eastAsia" w:ascii="宋体" w:hAnsi="宋体"/>
                <w:color w:val="000000" w:themeColor="text1"/>
                <w:sz w:val="22"/>
                <w:szCs w:val="22"/>
                <w14:textFill>
                  <w14:solidFill>
                    <w14:schemeClr w14:val="tx1"/>
                  </w14:solidFill>
                </w14:textFill>
              </w:rPr>
              <w:t>符合第二章“投标人须知前附表”第</w:t>
            </w:r>
            <w:r>
              <w:rPr>
                <w:rFonts w:ascii="宋体" w:hAnsi="宋体"/>
                <w:color w:val="000000" w:themeColor="text1"/>
                <w:sz w:val="22"/>
                <w:szCs w:val="22"/>
                <w14:textFill>
                  <w14:solidFill>
                    <w14:schemeClr w14:val="tx1"/>
                  </w14:solidFill>
                </w14:textFill>
              </w:rPr>
              <w:t>1.4.</w:t>
            </w:r>
            <w:r>
              <w:rPr>
                <w:rFonts w:hint="eastAsia" w:ascii="宋体" w:hAnsi="宋体"/>
                <w:color w:val="000000" w:themeColor="text1"/>
                <w:sz w:val="22"/>
                <w:szCs w:val="22"/>
                <w14:textFill>
                  <w14:solidFill>
                    <w14:schemeClr w14:val="tx1"/>
                  </w14:solidFill>
                </w14:textFill>
              </w:rPr>
              <w:t>4项规定</w:t>
            </w:r>
          </w:p>
        </w:tc>
      </w:tr>
      <w:tr w14:paraId="435913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right w:val="single" w:color="auto" w:sz="4" w:space="0"/>
            </w:tcBorders>
            <w:vAlign w:val="center"/>
          </w:tcPr>
          <w:p w14:paraId="19C60CDE">
            <w:pPr>
              <w:pStyle w:val="10"/>
              <w:spacing w:line="23" w:lineRule="atLeast"/>
              <w:ind w:left="0"/>
              <w:jc w:val="center"/>
              <w:rPr>
                <w:szCs w:val="22"/>
              </w:rPr>
            </w:pPr>
          </w:p>
        </w:tc>
        <w:tc>
          <w:tcPr>
            <w:tcW w:w="1080" w:type="dxa"/>
            <w:gridSpan w:val="2"/>
            <w:vMerge w:val="continue"/>
            <w:tcBorders>
              <w:top w:val="single" w:color="auto" w:sz="4" w:space="0"/>
              <w:right w:val="single" w:color="auto" w:sz="4" w:space="0"/>
            </w:tcBorders>
            <w:vAlign w:val="center"/>
          </w:tcPr>
          <w:p w14:paraId="7B35345A">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473937C1">
            <w:pPr>
              <w:spacing w:line="360" w:lineRule="auto"/>
              <w:rPr>
                <w:szCs w:val="22"/>
              </w:rPr>
            </w:pPr>
            <w:r>
              <w:rPr>
                <w:rFonts w:hint="eastAsia" w:ascii="宋体" w:hAnsi="宋体"/>
                <w:color w:val="000000" w:themeColor="text1"/>
                <w:szCs w:val="22"/>
                <w14:textFill>
                  <w14:solidFill>
                    <w14:schemeClr w14:val="tx1"/>
                  </w14:solidFill>
                </w14:textFill>
              </w:rPr>
              <w:t>招标范围</w:t>
            </w:r>
          </w:p>
        </w:tc>
        <w:tc>
          <w:tcPr>
            <w:tcW w:w="5897" w:type="dxa"/>
            <w:tcBorders>
              <w:top w:val="single" w:color="auto" w:sz="4" w:space="0"/>
              <w:left w:val="single" w:color="auto" w:sz="4" w:space="0"/>
              <w:bottom w:val="single" w:color="auto" w:sz="4" w:space="0"/>
              <w:right w:val="single" w:color="auto" w:sz="4" w:space="0"/>
            </w:tcBorders>
            <w:vAlign w:val="center"/>
          </w:tcPr>
          <w:p w14:paraId="791CB808">
            <w:pPr>
              <w:spacing w:line="360" w:lineRule="auto"/>
              <w:rPr>
                <w:szCs w:val="22"/>
              </w:rPr>
            </w:pPr>
            <w:r>
              <w:rPr>
                <w:rFonts w:hint="eastAsia" w:ascii="宋体" w:hAnsi="宋体"/>
                <w:color w:val="000000" w:themeColor="text1"/>
                <w:szCs w:val="22"/>
                <w14:textFill>
                  <w14:solidFill>
                    <w14:schemeClr w14:val="tx1"/>
                  </w14:solidFill>
                </w14:textFill>
              </w:rPr>
              <w:t>符合第二章“投标人须知前附表”第1.3.1项规定</w:t>
            </w:r>
          </w:p>
        </w:tc>
      </w:tr>
      <w:tr w14:paraId="49AAE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62A990AF">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2E4F9396">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64724EE1">
            <w:pPr>
              <w:spacing w:line="360" w:lineRule="auto"/>
              <w:rPr>
                <w:szCs w:val="22"/>
              </w:rPr>
            </w:pPr>
            <w:r>
              <w:rPr>
                <w:rFonts w:hint="eastAsia" w:ascii="宋体" w:hAnsi="宋体"/>
                <w:color w:val="000000" w:themeColor="text1"/>
                <w:szCs w:val="22"/>
                <w14:textFill>
                  <w14:solidFill>
                    <w14:schemeClr w14:val="tx1"/>
                  </w14:solidFill>
                </w14:textFill>
              </w:rPr>
              <w:t>计划工期</w:t>
            </w:r>
          </w:p>
        </w:tc>
        <w:tc>
          <w:tcPr>
            <w:tcW w:w="5897" w:type="dxa"/>
            <w:tcBorders>
              <w:top w:val="single" w:color="auto" w:sz="4" w:space="0"/>
              <w:left w:val="single" w:color="auto" w:sz="4" w:space="0"/>
              <w:bottom w:val="single" w:color="auto" w:sz="4" w:space="0"/>
              <w:right w:val="single" w:color="auto" w:sz="4" w:space="0"/>
            </w:tcBorders>
            <w:vAlign w:val="center"/>
          </w:tcPr>
          <w:p w14:paraId="1048FD3C">
            <w:pPr>
              <w:spacing w:line="360" w:lineRule="auto"/>
              <w:rPr>
                <w:szCs w:val="22"/>
              </w:rPr>
            </w:pPr>
            <w:r>
              <w:rPr>
                <w:rFonts w:hint="eastAsia" w:ascii="宋体" w:hAnsi="宋体"/>
                <w:color w:val="000000" w:themeColor="text1"/>
                <w:szCs w:val="22"/>
                <w14:textFill>
                  <w14:solidFill>
                    <w14:schemeClr w14:val="tx1"/>
                  </w14:solidFill>
                </w14:textFill>
              </w:rPr>
              <w:t>符合第二章“投标人须知前附表”第1.3.2项规定</w:t>
            </w:r>
          </w:p>
        </w:tc>
      </w:tr>
      <w:tr w14:paraId="651CF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62DB8B09">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39BE3639">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59190C2A">
            <w:pPr>
              <w:spacing w:line="360" w:lineRule="auto"/>
              <w:rPr>
                <w:szCs w:val="22"/>
              </w:rPr>
            </w:pPr>
            <w:r>
              <w:rPr>
                <w:rFonts w:hint="eastAsia" w:ascii="宋体" w:hAnsi="宋体"/>
                <w:color w:val="000000" w:themeColor="text1"/>
                <w:szCs w:val="22"/>
                <w14:textFill>
                  <w14:solidFill>
                    <w14:schemeClr w14:val="tx1"/>
                  </w14:solidFill>
                </w14:textFill>
              </w:rPr>
              <w:t>质量要求</w:t>
            </w:r>
          </w:p>
        </w:tc>
        <w:tc>
          <w:tcPr>
            <w:tcW w:w="5897" w:type="dxa"/>
            <w:tcBorders>
              <w:top w:val="single" w:color="auto" w:sz="4" w:space="0"/>
              <w:left w:val="single" w:color="auto" w:sz="4" w:space="0"/>
              <w:bottom w:val="single" w:color="auto" w:sz="4" w:space="0"/>
              <w:right w:val="single" w:color="auto" w:sz="4" w:space="0"/>
            </w:tcBorders>
            <w:vAlign w:val="center"/>
          </w:tcPr>
          <w:p w14:paraId="30F490FC">
            <w:pPr>
              <w:pStyle w:val="34"/>
              <w:spacing w:line="360" w:lineRule="auto"/>
              <w:ind w:firstLine="0"/>
              <w:jc w:val="left"/>
              <w:rPr>
                <w:sz w:val="22"/>
                <w:szCs w:val="22"/>
              </w:rPr>
            </w:pPr>
            <w:r>
              <w:rPr>
                <w:rFonts w:hint="eastAsia" w:ascii="宋体" w:hAnsi="宋体"/>
                <w:color w:val="000000" w:themeColor="text1"/>
                <w:sz w:val="22"/>
                <w:szCs w:val="22"/>
                <w14:textFill>
                  <w14:solidFill>
                    <w14:schemeClr w14:val="tx1"/>
                  </w14:solidFill>
                </w14:textFill>
              </w:rPr>
              <w:t>符合第二章“投标人须知前附表”第1.3.3项规定</w:t>
            </w:r>
          </w:p>
        </w:tc>
      </w:tr>
      <w:tr w14:paraId="5C4686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5111F1D6">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1ADEB0DA">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7CB51D55">
            <w:pPr>
              <w:spacing w:line="360" w:lineRule="auto"/>
              <w:rPr>
                <w:szCs w:val="22"/>
              </w:rPr>
            </w:pPr>
            <w:r>
              <w:rPr>
                <w:rFonts w:hint="eastAsia" w:ascii="宋体" w:hAnsi="宋体"/>
                <w:color w:val="000000" w:themeColor="text1"/>
                <w:szCs w:val="22"/>
                <w14:textFill>
                  <w14:solidFill>
                    <w14:schemeClr w14:val="tx1"/>
                  </w14:solidFill>
                </w14:textFill>
              </w:rPr>
              <w:t>投标有效期</w:t>
            </w:r>
          </w:p>
        </w:tc>
        <w:tc>
          <w:tcPr>
            <w:tcW w:w="5897" w:type="dxa"/>
            <w:tcBorders>
              <w:top w:val="single" w:color="auto" w:sz="4" w:space="0"/>
              <w:left w:val="single" w:color="auto" w:sz="4" w:space="0"/>
              <w:bottom w:val="single" w:color="auto" w:sz="4" w:space="0"/>
              <w:right w:val="single" w:color="auto" w:sz="4" w:space="0"/>
            </w:tcBorders>
            <w:vAlign w:val="center"/>
          </w:tcPr>
          <w:p w14:paraId="4B333D50">
            <w:pPr>
              <w:pStyle w:val="34"/>
              <w:spacing w:line="360" w:lineRule="auto"/>
              <w:ind w:firstLine="0"/>
              <w:jc w:val="left"/>
              <w:rPr>
                <w:sz w:val="22"/>
                <w:szCs w:val="22"/>
              </w:rPr>
            </w:pPr>
            <w:r>
              <w:rPr>
                <w:rFonts w:hint="eastAsia" w:ascii="宋体" w:hAnsi="宋体"/>
                <w:color w:val="000000" w:themeColor="text1"/>
                <w:sz w:val="22"/>
                <w:szCs w:val="22"/>
                <w14:textFill>
                  <w14:solidFill>
                    <w14:schemeClr w14:val="tx1"/>
                  </w14:solidFill>
                </w14:textFill>
              </w:rPr>
              <w:t>符合第二章“投标人须知前附表”第3.3.1项规定</w:t>
            </w:r>
          </w:p>
        </w:tc>
      </w:tr>
      <w:tr w14:paraId="68579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258A8A9A">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25B836B6">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6A992B13">
            <w:pPr>
              <w:spacing w:line="360" w:lineRule="auto"/>
              <w:rPr>
                <w:szCs w:val="22"/>
              </w:rPr>
            </w:pPr>
            <w:r>
              <w:rPr>
                <w:rFonts w:hint="eastAsia" w:ascii="宋体" w:hAnsi="宋体"/>
                <w:szCs w:val="22"/>
              </w:rPr>
              <w:t>投标保证金</w:t>
            </w:r>
          </w:p>
        </w:tc>
        <w:tc>
          <w:tcPr>
            <w:tcW w:w="5897" w:type="dxa"/>
            <w:tcBorders>
              <w:top w:val="single" w:color="auto" w:sz="4" w:space="0"/>
              <w:left w:val="single" w:color="auto" w:sz="4" w:space="0"/>
              <w:bottom w:val="single" w:color="auto" w:sz="4" w:space="0"/>
              <w:right w:val="single" w:color="auto" w:sz="4" w:space="0"/>
            </w:tcBorders>
            <w:vAlign w:val="center"/>
          </w:tcPr>
          <w:p w14:paraId="11165D22">
            <w:pPr>
              <w:pStyle w:val="34"/>
              <w:spacing w:line="360" w:lineRule="auto"/>
              <w:ind w:firstLine="0"/>
              <w:jc w:val="left"/>
              <w:rPr>
                <w:sz w:val="22"/>
                <w:szCs w:val="22"/>
              </w:rPr>
            </w:pPr>
            <w:r>
              <w:rPr>
                <w:rFonts w:hint="eastAsia" w:ascii="宋体" w:hAnsi="宋体"/>
                <w:sz w:val="22"/>
                <w:szCs w:val="22"/>
              </w:rPr>
              <w:t>符合第二章“投标人须知前附表”第3.4.1项规定</w:t>
            </w:r>
          </w:p>
        </w:tc>
      </w:tr>
      <w:tr w14:paraId="51605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465D3748">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049A38BC">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64B05CE7">
            <w:pPr>
              <w:spacing w:line="360" w:lineRule="auto"/>
              <w:rPr>
                <w:rFonts w:hint="eastAsia" w:eastAsia="宋体"/>
                <w:szCs w:val="22"/>
                <w:lang w:eastAsia="zh-CN"/>
              </w:rPr>
            </w:pPr>
            <w:r>
              <w:rPr>
                <w:rFonts w:hint="eastAsia" w:ascii="宋体" w:hAnsi="宋体"/>
                <w:color w:val="000000" w:themeColor="text1"/>
                <w:szCs w:val="22"/>
                <w:lang w:eastAsia="zh-CN"/>
                <w14:textFill>
                  <w14:solidFill>
                    <w14:schemeClr w14:val="tx1"/>
                  </w14:solidFill>
                </w14:textFill>
              </w:rPr>
              <w:t>最高投标限价</w:t>
            </w:r>
          </w:p>
        </w:tc>
        <w:tc>
          <w:tcPr>
            <w:tcW w:w="5897" w:type="dxa"/>
            <w:tcBorders>
              <w:top w:val="single" w:color="auto" w:sz="4" w:space="0"/>
              <w:left w:val="single" w:color="auto" w:sz="4" w:space="0"/>
              <w:bottom w:val="single" w:color="auto" w:sz="4" w:space="0"/>
              <w:right w:val="single" w:color="auto" w:sz="4" w:space="0"/>
            </w:tcBorders>
            <w:vAlign w:val="center"/>
          </w:tcPr>
          <w:p w14:paraId="5CE8E3AE">
            <w:pPr>
              <w:pStyle w:val="34"/>
              <w:spacing w:line="360" w:lineRule="auto"/>
              <w:ind w:firstLine="0"/>
              <w:jc w:val="left"/>
              <w:rPr>
                <w:sz w:val="22"/>
                <w:szCs w:val="22"/>
              </w:rPr>
            </w:pPr>
            <w:r>
              <w:rPr>
                <w:rFonts w:hint="eastAsia" w:ascii="宋体" w:hAnsi="宋体"/>
                <w:color w:val="000000" w:themeColor="text1"/>
                <w:sz w:val="22"/>
                <w:szCs w:val="22"/>
                <w14:textFill>
                  <w14:solidFill>
                    <w14:schemeClr w14:val="tx1"/>
                  </w14:solidFill>
                </w14:textFill>
              </w:rPr>
              <w:t>符合第二章“投标人须知前附表”第10.1项规定</w:t>
            </w:r>
          </w:p>
        </w:tc>
      </w:tr>
      <w:tr w14:paraId="39EB8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13E333E8">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1307FF5A">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30B876B7">
            <w:pPr>
              <w:spacing w:line="360" w:lineRule="auto"/>
              <w:rPr>
                <w:szCs w:val="22"/>
              </w:rPr>
            </w:pPr>
            <w:r>
              <w:rPr>
                <w:rFonts w:hint="eastAsia" w:ascii="宋体" w:hAnsi="宋体"/>
                <w:color w:val="000000" w:themeColor="text1"/>
                <w:szCs w:val="22"/>
                <w14:textFill>
                  <w14:solidFill>
                    <w14:schemeClr w14:val="tx1"/>
                  </w14:solidFill>
                </w14:textFill>
              </w:rPr>
              <w:t>投标要求</w:t>
            </w:r>
          </w:p>
        </w:tc>
        <w:tc>
          <w:tcPr>
            <w:tcW w:w="5897" w:type="dxa"/>
            <w:tcBorders>
              <w:top w:val="single" w:color="auto" w:sz="4" w:space="0"/>
              <w:left w:val="single" w:color="auto" w:sz="4" w:space="0"/>
              <w:bottom w:val="single" w:color="auto" w:sz="4" w:space="0"/>
              <w:right w:val="single" w:color="auto" w:sz="4" w:space="0"/>
            </w:tcBorders>
            <w:vAlign w:val="center"/>
          </w:tcPr>
          <w:p w14:paraId="2FAF1BB4">
            <w:pPr>
              <w:pStyle w:val="16"/>
              <w:spacing w:line="360" w:lineRule="auto"/>
              <w:ind w:left="0" w:leftChars="0"/>
              <w:rPr>
                <w:szCs w:val="22"/>
              </w:rPr>
            </w:pPr>
            <w:r>
              <w:rPr>
                <w:rFonts w:hint="eastAsia" w:ascii="宋体" w:hAnsi="宋体"/>
                <w:color w:val="000000" w:themeColor="text1"/>
                <w:szCs w:val="22"/>
                <w14:textFill>
                  <w14:solidFill>
                    <w14:schemeClr w14:val="tx1"/>
                  </w14:solidFill>
                </w14:textFill>
              </w:rPr>
              <w:t>不存在本章第3.1.2项任何一种情形之一</w:t>
            </w:r>
          </w:p>
        </w:tc>
      </w:tr>
      <w:tr w14:paraId="518B2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520B254D">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3B62C4A1">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6EF2F3F3">
            <w:pPr>
              <w:spacing w:line="360" w:lineRule="auto"/>
              <w:rPr>
                <w:szCs w:val="22"/>
              </w:rPr>
            </w:pPr>
            <w:r>
              <w:rPr>
                <w:rFonts w:hint="eastAsia" w:ascii="宋体" w:hAnsi="宋体"/>
                <w:color w:val="000000" w:themeColor="text1"/>
                <w:szCs w:val="22"/>
                <w14:textFill>
                  <w14:solidFill>
                    <w14:schemeClr w14:val="tx1"/>
                  </w14:solidFill>
                </w14:textFill>
              </w:rPr>
              <w:t>权利义务</w:t>
            </w:r>
          </w:p>
        </w:tc>
        <w:tc>
          <w:tcPr>
            <w:tcW w:w="5897" w:type="dxa"/>
            <w:tcBorders>
              <w:top w:val="single" w:color="auto" w:sz="4" w:space="0"/>
              <w:left w:val="single" w:color="auto" w:sz="4" w:space="0"/>
              <w:bottom w:val="single" w:color="auto" w:sz="4" w:space="0"/>
              <w:right w:val="single" w:color="auto" w:sz="4" w:space="0"/>
            </w:tcBorders>
            <w:vAlign w:val="center"/>
          </w:tcPr>
          <w:p w14:paraId="79859275">
            <w:pPr>
              <w:spacing w:line="360" w:lineRule="auto"/>
              <w:rPr>
                <w:szCs w:val="22"/>
              </w:rPr>
            </w:pPr>
            <w:r>
              <w:rPr>
                <w:rFonts w:hint="eastAsia" w:ascii="宋体" w:hAnsi="宋体"/>
                <w:color w:val="000000" w:themeColor="text1"/>
                <w:szCs w:val="22"/>
                <w14:textFill>
                  <w14:solidFill>
                    <w14:schemeClr w14:val="tx1"/>
                  </w14:solidFill>
                </w14:textFill>
              </w:rPr>
              <w:t>符合第四章“合同条款及格式”规定</w:t>
            </w:r>
          </w:p>
        </w:tc>
      </w:tr>
      <w:tr w14:paraId="5BBD1F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5CBAA3F0">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4401437B">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4F392072">
            <w:pPr>
              <w:spacing w:line="360" w:lineRule="auto"/>
              <w:rPr>
                <w:szCs w:val="22"/>
              </w:rPr>
            </w:pPr>
            <w:r>
              <w:rPr>
                <w:rFonts w:hint="eastAsia" w:ascii="宋体" w:hAnsi="宋体"/>
                <w:color w:val="000000" w:themeColor="text1"/>
                <w:szCs w:val="22"/>
                <w14:textFill>
                  <w14:solidFill>
                    <w14:schemeClr w14:val="tx1"/>
                  </w14:solidFill>
                </w14:textFill>
              </w:rPr>
              <w:t>己标价工程量清单</w:t>
            </w:r>
          </w:p>
        </w:tc>
        <w:tc>
          <w:tcPr>
            <w:tcW w:w="5897" w:type="dxa"/>
            <w:tcBorders>
              <w:top w:val="single" w:color="auto" w:sz="4" w:space="0"/>
              <w:left w:val="single" w:color="auto" w:sz="4" w:space="0"/>
              <w:bottom w:val="single" w:color="auto" w:sz="4" w:space="0"/>
              <w:right w:val="single" w:color="auto" w:sz="4" w:space="0"/>
            </w:tcBorders>
            <w:vAlign w:val="center"/>
          </w:tcPr>
          <w:p w14:paraId="5D9E8C2E">
            <w:pPr>
              <w:spacing w:line="360" w:lineRule="auto"/>
              <w:rPr>
                <w:szCs w:val="22"/>
              </w:rPr>
            </w:pPr>
            <w:r>
              <w:rPr>
                <w:rFonts w:hint="eastAsia" w:ascii="宋体" w:hAnsi="宋体"/>
                <w:color w:val="000000" w:themeColor="text1"/>
                <w:szCs w:val="22"/>
                <w14:textFill>
                  <w14:solidFill>
                    <w14:schemeClr w14:val="tx1"/>
                  </w14:solidFill>
                </w14:textFill>
              </w:rPr>
              <w:t>符合第五章工程量清单（另册）“投标报价说明”给出的范围及数量以及“投标报价表编制及报价总说明”中对投标人的要求</w:t>
            </w:r>
          </w:p>
        </w:tc>
      </w:tr>
      <w:tr w14:paraId="0BC8B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67A72ED0">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30927697">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4C3DFD46">
            <w:pPr>
              <w:spacing w:line="360" w:lineRule="auto"/>
              <w:rPr>
                <w:rFonts w:hint="eastAsia" w:ascii="宋体" w:hAnsi="宋体"/>
                <w:color w:val="000000" w:themeColor="text1"/>
                <w:szCs w:val="22"/>
                <w14:textFill>
                  <w14:solidFill>
                    <w14:schemeClr w14:val="tx1"/>
                  </w14:solidFill>
                </w14:textFill>
              </w:rPr>
            </w:pPr>
            <w:r>
              <w:rPr>
                <w:rFonts w:ascii="宋体" w:hAnsi="宋体" w:eastAsia="宋体" w:cs="宋体"/>
                <w:sz w:val="22"/>
                <w:szCs w:val="22"/>
              </w:rPr>
              <w:t>技术标准和要求</w:t>
            </w:r>
          </w:p>
        </w:tc>
        <w:tc>
          <w:tcPr>
            <w:tcW w:w="5897" w:type="dxa"/>
            <w:tcBorders>
              <w:top w:val="single" w:color="auto" w:sz="4" w:space="0"/>
              <w:left w:val="single" w:color="auto" w:sz="4" w:space="0"/>
              <w:bottom w:val="single" w:color="auto" w:sz="4" w:space="0"/>
              <w:right w:val="single" w:color="auto" w:sz="4" w:space="0"/>
            </w:tcBorders>
            <w:vAlign w:val="center"/>
          </w:tcPr>
          <w:p w14:paraId="77EBECE8">
            <w:pPr>
              <w:spacing w:line="360" w:lineRule="auto"/>
              <w:rPr>
                <w:rFonts w:hint="eastAsia" w:ascii="宋体" w:hAnsi="宋体"/>
                <w:color w:val="000000" w:themeColor="text1"/>
                <w:szCs w:val="22"/>
                <w14:textFill>
                  <w14:solidFill>
                    <w14:schemeClr w14:val="tx1"/>
                  </w14:solidFill>
                </w14:textFill>
              </w:rPr>
            </w:pPr>
            <w:r>
              <w:rPr>
                <w:rFonts w:ascii="宋体" w:hAnsi="宋体" w:eastAsia="宋体" w:cs="宋体"/>
                <w:sz w:val="22"/>
                <w:szCs w:val="22"/>
              </w:rPr>
              <w:t>符合第七章“技术标准和要求”规定</w:t>
            </w:r>
          </w:p>
        </w:tc>
      </w:tr>
      <w:tr w14:paraId="71D73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2" w:hRule="atLeast"/>
          <w:jc w:val="center"/>
        </w:trPr>
        <w:tc>
          <w:tcPr>
            <w:tcW w:w="900" w:type="dxa"/>
            <w:vMerge w:val="continue"/>
            <w:tcBorders>
              <w:bottom w:val="single" w:color="auto" w:sz="4" w:space="0"/>
              <w:right w:val="single" w:color="auto" w:sz="4" w:space="0"/>
            </w:tcBorders>
            <w:vAlign w:val="center"/>
          </w:tcPr>
          <w:p w14:paraId="41CFE163">
            <w:pPr>
              <w:pStyle w:val="10"/>
              <w:spacing w:line="23" w:lineRule="atLeast"/>
              <w:ind w:left="0"/>
              <w:jc w:val="center"/>
              <w:rPr>
                <w:szCs w:val="22"/>
              </w:rPr>
            </w:pPr>
          </w:p>
        </w:tc>
        <w:tc>
          <w:tcPr>
            <w:tcW w:w="1080" w:type="dxa"/>
            <w:gridSpan w:val="2"/>
            <w:vMerge w:val="continue"/>
            <w:tcBorders>
              <w:bottom w:val="single" w:color="auto" w:sz="4" w:space="0"/>
              <w:right w:val="single" w:color="auto" w:sz="4" w:space="0"/>
            </w:tcBorders>
            <w:vAlign w:val="center"/>
          </w:tcPr>
          <w:p w14:paraId="0793F730">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7E701EB8">
            <w:pPr>
              <w:pStyle w:val="10"/>
              <w:spacing w:line="23" w:lineRule="atLeast"/>
              <w:ind w:left="0"/>
              <w:jc w:val="center"/>
              <w:rPr>
                <w:szCs w:val="22"/>
              </w:rPr>
            </w:pPr>
            <w:r>
              <w:rPr>
                <w:szCs w:val="22"/>
              </w:rPr>
              <w:t>……</w:t>
            </w:r>
          </w:p>
        </w:tc>
        <w:tc>
          <w:tcPr>
            <w:tcW w:w="5897" w:type="dxa"/>
            <w:tcBorders>
              <w:top w:val="single" w:color="auto" w:sz="4" w:space="0"/>
              <w:left w:val="single" w:color="auto" w:sz="4" w:space="0"/>
              <w:bottom w:val="single" w:color="auto" w:sz="4" w:space="0"/>
              <w:right w:val="single" w:color="auto" w:sz="4" w:space="0"/>
            </w:tcBorders>
            <w:vAlign w:val="center"/>
          </w:tcPr>
          <w:p w14:paraId="48711DD1">
            <w:pPr>
              <w:pStyle w:val="10"/>
              <w:spacing w:line="23" w:lineRule="atLeast"/>
              <w:ind w:left="0"/>
              <w:jc w:val="center"/>
              <w:rPr>
                <w:szCs w:val="22"/>
              </w:rPr>
            </w:pPr>
            <w:r>
              <w:rPr>
                <w:szCs w:val="22"/>
              </w:rPr>
              <w:t>……</w:t>
            </w:r>
          </w:p>
        </w:tc>
      </w:tr>
      <w:tr w14:paraId="7775E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80" w:type="dxa"/>
            <w:gridSpan w:val="3"/>
            <w:tcBorders>
              <w:bottom w:val="single" w:color="auto" w:sz="4" w:space="0"/>
              <w:right w:val="single" w:color="auto" w:sz="4" w:space="0"/>
            </w:tcBorders>
            <w:vAlign w:val="center"/>
          </w:tcPr>
          <w:p w14:paraId="3CC7AEBF">
            <w:pPr>
              <w:pStyle w:val="10"/>
              <w:spacing w:line="23" w:lineRule="atLeast"/>
              <w:ind w:left="0"/>
              <w:jc w:val="center"/>
              <w:rPr>
                <w:b/>
                <w:bCs/>
                <w:szCs w:val="22"/>
              </w:rPr>
            </w:pPr>
            <w:r>
              <w:rPr>
                <w:b/>
                <w:bCs/>
                <w:szCs w:val="22"/>
              </w:rPr>
              <w:t>条款号</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7D3EB2C2">
            <w:pPr>
              <w:pStyle w:val="10"/>
              <w:spacing w:line="23" w:lineRule="atLeast"/>
              <w:ind w:left="0"/>
              <w:jc w:val="center"/>
              <w:rPr>
                <w:b/>
                <w:bCs/>
                <w:szCs w:val="22"/>
              </w:rPr>
            </w:pPr>
            <w:r>
              <w:rPr>
                <w:b/>
                <w:bCs/>
                <w:szCs w:val="22"/>
              </w:rPr>
              <w:t>条款内容</w:t>
            </w:r>
          </w:p>
        </w:tc>
        <w:tc>
          <w:tcPr>
            <w:tcW w:w="5897" w:type="dxa"/>
            <w:tcBorders>
              <w:top w:val="single" w:color="auto" w:sz="4" w:space="0"/>
              <w:left w:val="single" w:color="auto" w:sz="4" w:space="0"/>
              <w:bottom w:val="single" w:color="auto" w:sz="4" w:space="0"/>
              <w:right w:val="single" w:color="auto" w:sz="4" w:space="0"/>
            </w:tcBorders>
            <w:vAlign w:val="center"/>
          </w:tcPr>
          <w:p w14:paraId="247255FA">
            <w:pPr>
              <w:pStyle w:val="10"/>
              <w:spacing w:line="23" w:lineRule="atLeast"/>
              <w:ind w:left="0"/>
              <w:jc w:val="center"/>
              <w:rPr>
                <w:b/>
                <w:bCs/>
                <w:szCs w:val="22"/>
              </w:rPr>
            </w:pPr>
            <w:r>
              <w:rPr>
                <w:b/>
                <w:bCs/>
                <w:szCs w:val="22"/>
              </w:rPr>
              <w:t>编列内容</w:t>
            </w:r>
          </w:p>
        </w:tc>
      </w:tr>
      <w:tr w14:paraId="2228A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0" w:type="dxa"/>
            <w:gridSpan w:val="2"/>
            <w:vMerge w:val="restart"/>
            <w:tcBorders>
              <w:bottom w:val="single" w:color="auto" w:sz="4" w:space="0"/>
              <w:right w:val="single" w:color="auto" w:sz="4" w:space="0"/>
            </w:tcBorders>
            <w:vAlign w:val="center"/>
          </w:tcPr>
          <w:p w14:paraId="3F6B9EF8">
            <w:pPr>
              <w:spacing w:line="360" w:lineRule="auto"/>
              <w:jc w:val="center"/>
              <w:rPr>
                <w:b/>
                <w:bCs/>
                <w:szCs w:val="22"/>
              </w:rPr>
            </w:pPr>
            <w:r>
              <w:rPr>
                <w:rFonts w:hint="eastAsia" w:ascii="宋体" w:hAnsi="宋体"/>
                <w:szCs w:val="22"/>
              </w:rPr>
              <w:t>2.</w:t>
            </w:r>
            <w:r>
              <w:rPr>
                <w:rFonts w:ascii="宋体" w:hAnsi="宋体"/>
                <w:szCs w:val="22"/>
              </w:rPr>
              <w:t>1</w:t>
            </w:r>
            <w:r>
              <w:rPr>
                <w:rFonts w:hint="eastAsia" w:ascii="宋体" w:hAnsi="宋体"/>
                <w:szCs w:val="22"/>
              </w:rPr>
              <w:t>.</w:t>
            </w:r>
            <w:r>
              <w:rPr>
                <w:rFonts w:ascii="宋体" w:hAnsi="宋体"/>
                <w:szCs w:val="22"/>
              </w:rPr>
              <w:t>4</w:t>
            </w:r>
          </w:p>
        </w:tc>
        <w:tc>
          <w:tcPr>
            <w:tcW w:w="990" w:type="dxa"/>
            <w:vMerge w:val="restart"/>
            <w:tcBorders>
              <w:bottom w:val="single" w:color="auto" w:sz="4" w:space="0"/>
              <w:right w:val="single" w:color="auto" w:sz="4" w:space="0"/>
            </w:tcBorders>
            <w:vAlign w:val="center"/>
          </w:tcPr>
          <w:p w14:paraId="6443A8E2">
            <w:pPr>
              <w:spacing w:line="360" w:lineRule="auto"/>
              <w:jc w:val="center"/>
              <w:rPr>
                <w:b/>
                <w:bCs/>
                <w:szCs w:val="22"/>
              </w:rPr>
            </w:pPr>
            <w:r>
              <w:rPr>
                <w:rFonts w:hint="eastAsia" w:ascii="宋体" w:hAnsi="宋体"/>
                <w:szCs w:val="22"/>
              </w:rPr>
              <w:t>投标报价评审标准</w:t>
            </w:r>
          </w:p>
        </w:tc>
        <w:tc>
          <w:tcPr>
            <w:tcW w:w="966" w:type="dxa"/>
            <w:tcBorders>
              <w:top w:val="single" w:color="auto" w:sz="4" w:space="0"/>
              <w:left w:val="single" w:color="auto" w:sz="4" w:space="0"/>
              <w:bottom w:val="single" w:color="auto" w:sz="4" w:space="0"/>
              <w:right w:val="single" w:color="auto" w:sz="4" w:space="0"/>
            </w:tcBorders>
            <w:vAlign w:val="center"/>
          </w:tcPr>
          <w:p w14:paraId="4A382CFF">
            <w:pPr>
              <w:spacing w:line="360" w:lineRule="auto"/>
              <w:jc w:val="center"/>
              <w:rPr>
                <w:b/>
                <w:bCs/>
                <w:szCs w:val="22"/>
              </w:rPr>
            </w:pPr>
            <w:r>
              <w:rPr>
                <w:rFonts w:hint="eastAsia" w:ascii="宋体" w:hAnsi="宋体"/>
                <w:b/>
                <w:szCs w:val="22"/>
              </w:rPr>
              <w:t>2.</w:t>
            </w:r>
            <w:r>
              <w:rPr>
                <w:rFonts w:ascii="宋体" w:hAnsi="宋体"/>
                <w:b/>
                <w:szCs w:val="22"/>
              </w:rPr>
              <w:t>1</w:t>
            </w:r>
            <w:r>
              <w:rPr>
                <w:rFonts w:hint="eastAsia" w:ascii="宋体" w:hAnsi="宋体"/>
                <w:b/>
                <w:szCs w:val="22"/>
              </w:rPr>
              <w:t>.</w:t>
            </w:r>
            <w:r>
              <w:rPr>
                <w:rFonts w:ascii="宋体" w:hAnsi="宋体"/>
                <w:b/>
                <w:szCs w:val="22"/>
              </w:rPr>
              <w:t>4</w:t>
            </w:r>
            <w:r>
              <w:rPr>
                <w:rFonts w:hint="eastAsia" w:ascii="宋体" w:hAnsi="宋体"/>
                <w:b/>
                <w:szCs w:val="22"/>
              </w:rPr>
              <w:t>(</w:t>
            </w:r>
            <w:r>
              <w:rPr>
                <w:rFonts w:ascii="宋体" w:hAnsi="宋体"/>
                <w:b/>
                <w:szCs w:val="22"/>
              </w:rPr>
              <w:t>1</w:t>
            </w:r>
            <w:r>
              <w:rPr>
                <w:rFonts w:hint="eastAsia" w:ascii="宋体" w:hAnsi="宋体"/>
                <w:b/>
                <w:szCs w:val="22"/>
              </w:rPr>
              <w:t>)</w:t>
            </w:r>
          </w:p>
        </w:tc>
        <w:tc>
          <w:tcPr>
            <w:tcW w:w="967" w:type="dxa"/>
            <w:tcBorders>
              <w:top w:val="single" w:color="auto" w:sz="4" w:space="0"/>
              <w:left w:val="single" w:color="auto" w:sz="4" w:space="0"/>
              <w:bottom w:val="single" w:color="auto" w:sz="4" w:space="0"/>
              <w:right w:val="single" w:color="auto" w:sz="4" w:space="0"/>
            </w:tcBorders>
            <w:vAlign w:val="center"/>
          </w:tcPr>
          <w:p w14:paraId="12858736">
            <w:pPr>
              <w:spacing w:line="360" w:lineRule="auto"/>
              <w:jc w:val="center"/>
              <w:rPr>
                <w:b/>
                <w:bCs/>
                <w:szCs w:val="22"/>
              </w:rPr>
            </w:pPr>
            <w:r>
              <w:rPr>
                <w:rFonts w:hint="eastAsia" w:ascii="宋体" w:hAnsi="宋体"/>
                <w:b/>
                <w:spacing w:val="1"/>
                <w:kern w:val="0"/>
                <w:szCs w:val="22"/>
              </w:rPr>
              <w:t>投标报价初步评审</w:t>
            </w:r>
          </w:p>
        </w:tc>
        <w:tc>
          <w:tcPr>
            <w:tcW w:w="5897" w:type="dxa"/>
            <w:tcBorders>
              <w:top w:val="single" w:color="auto" w:sz="4" w:space="0"/>
              <w:left w:val="single" w:color="auto" w:sz="4" w:space="0"/>
              <w:bottom w:val="single" w:color="auto" w:sz="4" w:space="0"/>
              <w:right w:val="single" w:color="auto" w:sz="4" w:space="0"/>
            </w:tcBorders>
            <w:vAlign w:val="center"/>
          </w:tcPr>
          <w:p w14:paraId="3C1C26B2">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评标委员会仅对通过投标文件形式评审、资格评审、响应性评审的投标文件进行投标报价初步评审。</w:t>
            </w:r>
          </w:p>
          <w:p w14:paraId="538EF0DF">
            <w:pPr>
              <w:keepNext w:val="0"/>
              <w:keepLines w:val="0"/>
              <w:suppressLineNumbers w:val="0"/>
              <w:snapToGrid w:val="0"/>
              <w:spacing w:before="0" w:beforeAutospacing="0" w:after="0" w:afterAutospacing="0"/>
              <w:ind w:left="0" w:right="0"/>
              <w:jc w:val="left"/>
              <w:rPr>
                <w:rFonts w:hint="eastAsia" w:ascii="宋体" w:hAnsi="宋体" w:cs="Times New Roman"/>
                <w:b/>
                <w:bCs/>
                <w:i w:val="0"/>
                <w:color w:val="000000"/>
                <w:highlight w:val="none"/>
              </w:rPr>
            </w:pPr>
            <w:r>
              <w:rPr>
                <w:rFonts w:hint="eastAsia" w:ascii="宋体" w:hAnsi="宋体" w:cs="Times New Roman"/>
                <w:b/>
                <w:bCs/>
                <w:i w:val="0"/>
                <w:color w:val="000000"/>
                <w:highlight w:val="none"/>
              </w:rPr>
              <w:t>一、投标人的投标报价文件有下列情形之一的，评标委员会应当否决其投标：</w:t>
            </w:r>
          </w:p>
          <w:p w14:paraId="69B1D173">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（一）投标人投标函中填报的金额、投标报价文件中投标总价扉页的金额（修正前）超过招标文件中公布的最高投标限价的；</w:t>
            </w:r>
          </w:p>
          <w:p w14:paraId="5F079583">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（二）造价人员未在投标报价文件扉页签字或盖章的；</w:t>
            </w:r>
          </w:p>
          <w:p w14:paraId="542B2C74">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（三）投标人委托造价咨询企业编制投标报价文件，但投标文件中未附工程造价咨询委托合同的；</w:t>
            </w:r>
          </w:p>
          <w:p w14:paraId="680A81B9">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四）投标人编制投标报价文件，签字及盖章的注册造价工程师，其注册单位与投标单位不一致的；投标人委托造价咨询企业编制投标报价文件，签字及盖章的注册造价工程师，其注册单位与被委托工程造价咨询企业不一致的；</w:t>
            </w:r>
          </w:p>
          <w:p w14:paraId="7F239FDD">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（五）投标报价文件（包括投标函）中的任何单价、合价或总价，不论大写金额或小写金额不唯一；</w:t>
            </w:r>
          </w:p>
          <w:p w14:paraId="020371B5">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六)投标人遗漏对投标报价有实质性影响的表格，或者因投标人原因导致评标专家使用电子辅助评标软件无法打开计价软件生成的投标报价“CJZ文件”的，经评标委员会复查确认的。对投标报价无实质性影响或对招投标双方权益无影响的表格遗漏情形除外；</w:t>
            </w:r>
          </w:p>
          <w:p w14:paraId="72B09805">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（七）投标报价中分部分项工程项目清单中的项目编码、项目名称、项目特征（与招标人提供的工程量清单中的项目特征的实质性内容一致的除外）、计量单位、工程量与招标人提供的工程量清单不一致的；</w:t>
            </w:r>
          </w:p>
          <w:p w14:paraId="2379537E">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（八）招标文件已明确各单位工程安全生产措施费金额并要求按此金额填报而投标人填报错误或未填报的，或投标人未按相关计价规定正确计取安全生产措施费的；</w:t>
            </w:r>
          </w:p>
          <w:p w14:paraId="357E397D">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（九）招标文件已明确创优质工程奖补偿奖励费金额并要求按此金额填报而投标人填报错误或未填报的；</w:t>
            </w:r>
          </w:p>
          <w:p w14:paraId="2D69C099">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（十）投标报价中暂列金额未按招标工程量清单中列明的金额填写的；</w:t>
            </w:r>
          </w:p>
          <w:p w14:paraId="40311A97">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（十一）投标报价中材料（工程设备）暂估价未按招标工程量清单中列出的单价计入综合单价的；</w:t>
            </w:r>
          </w:p>
          <w:p w14:paraId="326F8ACF">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（十二）投标报价中专业工程暂估价未按招标工程量清单中列明的金额填写的；</w:t>
            </w:r>
          </w:p>
          <w:p w14:paraId="4A547350">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（十三）投标报价中计日工未按招标工程量清单中列明的数量进行报价的；</w:t>
            </w:r>
          </w:p>
          <w:p w14:paraId="2DC2833C">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四）当招标文件中要求投标人对招标人提供材料、和（或）专业分包工程（投标人实施的除外）、和（或）招标人直接发包的专业工程提供相关服务时，投标人未填报总承包服务费的；或当招标文件中明确要求投标人填报总承包服务费费率，投标人未填报总承包服务费费率的；</w:t>
            </w:r>
          </w:p>
          <w:p w14:paraId="564DCED5">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（十五）投标报价中应填报而未填报工程垃圾外运及处置费的；</w:t>
            </w:r>
          </w:p>
          <w:p w14:paraId="0428E2D1">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（十六）未响应招标文件中对投标人投标报价其他实质性要求的。</w:t>
            </w:r>
          </w:p>
          <w:p w14:paraId="4CF1E3FB">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二、评标委员会对清标中发现投标报价存在算术性错误的，应按以下方式修正投标报价：</w:t>
            </w:r>
          </w:p>
          <w:p w14:paraId="3B5B58EC">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（一）当综合单价与工程量（或计算基础金额与费率）的乘积与合价不一致时，以综合单价（或费率）为准修正合价及总价；</w:t>
            </w:r>
          </w:p>
          <w:p w14:paraId="0BCDC98B">
            <w:pPr>
              <w:keepNext w:val="0"/>
              <w:keepLines w:val="0"/>
              <w:suppressLineNumbers w:val="0"/>
              <w:snapToGrid w:val="0"/>
              <w:spacing w:before="0" w:beforeAutospacing="0" w:after="0" w:afterAutospacing="0"/>
              <w:ind w:left="0" w:right="0"/>
              <w:jc w:val="left"/>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（二）当各单项金额相加与其合计金额不一致时，以各单项金额为准修正相应合计金额及总价。</w:t>
            </w:r>
          </w:p>
          <w:p w14:paraId="7B970A4D">
            <w:pPr>
              <w:spacing w:line="360" w:lineRule="auto"/>
              <w:ind w:firstLine="420" w:firstLineChars="0"/>
              <w:rPr>
                <w:b/>
                <w:bCs/>
                <w:szCs w:val="22"/>
              </w:rPr>
            </w:pPr>
            <w:r>
              <w:rPr>
                <w:rFonts w:hint="eastAsia" w:ascii="宋体" w:hAnsi="宋体" w:cs="Times New Roman"/>
                <w:b w:val="0"/>
                <w:bCs w:val="0"/>
                <w:i w:val="0"/>
                <w:color w:val="000000"/>
                <w:highlight w:val="none"/>
              </w:rPr>
              <w:t>评标委员会修正后的价格经投标人书面确认后具有约束力。投标人不接受修正价格或修正后价格高于最高投标限价的，评标委员会应当否决其投标。</w:t>
            </w:r>
          </w:p>
        </w:tc>
      </w:tr>
      <w:tr w14:paraId="52A227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0" w:type="dxa"/>
            <w:gridSpan w:val="2"/>
            <w:vMerge w:val="continue"/>
            <w:tcBorders>
              <w:bottom w:val="single" w:color="auto" w:sz="4" w:space="0"/>
              <w:right w:val="single" w:color="auto" w:sz="4" w:space="0"/>
            </w:tcBorders>
            <w:vAlign w:val="center"/>
          </w:tcPr>
          <w:p w14:paraId="7762C9D0">
            <w:pPr>
              <w:spacing w:line="360" w:lineRule="auto"/>
              <w:ind w:left="376" w:leftChars="171"/>
              <w:jc w:val="center"/>
              <w:rPr>
                <w:b/>
                <w:bCs/>
                <w:szCs w:val="22"/>
              </w:rPr>
            </w:pPr>
          </w:p>
        </w:tc>
        <w:tc>
          <w:tcPr>
            <w:tcW w:w="990" w:type="dxa"/>
            <w:vMerge w:val="continue"/>
            <w:tcBorders>
              <w:bottom w:val="single" w:color="auto" w:sz="4" w:space="0"/>
              <w:right w:val="single" w:color="auto" w:sz="4" w:space="0"/>
            </w:tcBorders>
            <w:vAlign w:val="center"/>
          </w:tcPr>
          <w:p w14:paraId="0FD8F9A6">
            <w:pPr>
              <w:spacing w:line="360" w:lineRule="auto"/>
              <w:ind w:left="376" w:leftChars="171"/>
              <w:jc w:val="center"/>
              <w:rPr>
                <w:b/>
                <w:bCs/>
                <w:szCs w:val="22"/>
              </w:rPr>
            </w:pPr>
          </w:p>
        </w:tc>
        <w:tc>
          <w:tcPr>
            <w:tcW w:w="966" w:type="dxa"/>
            <w:tcBorders>
              <w:top w:val="single" w:color="auto" w:sz="4" w:space="0"/>
              <w:left w:val="single" w:color="auto" w:sz="4" w:space="0"/>
              <w:bottom w:val="single" w:color="auto" w:sz="4" w:space="0"/>
              <w:right w:val="single" w:color="auto" w:sz="4" w:space="0"/>
            </w:tcBorders>
            <w:vAlign w:val="center"/>
          </w:tcPr>
          <w:p w14:paraId="11667026">
            <w:pPr>
              <w:spacing w:line="360" w:lineRule="auto"/>
              <w:jc w:val="center"/>
              <w:rPr>
                <w:b/>
                <w:bCs/>
                <w:szCs w:val="22"/>
              </w:rPr>
            </w:pPr>
            <w:r>
              <w:rPr>
                <w:rFonts w:hint="eastAsia" w:ascii="宋体" w:hAnsi="宋体"/>
                <w:b/>
                <w:szCs w:val="22"/>
              </w:rPr>
              <w:t>2.</w:t>
            </w:r>
            <w:r>
              <w:rPr>
                <w:rFonts w:ascii="宋体" w:hAnsi="宋体"/>
                <w:b/>
                <w:szCs w:val="22"/>
              </w:rPr>
              <w:t>1</w:t>
            </w:r>
            <w:r>
              <w:rPr>
                <w:rFonts w:hint="eastAsia" w:ascii="宋体" w:hAnsi="宋体"/>
                <w:b/>
                <w:szCs w:val="22"/>
              </w:rPr>
              <w:t>.</w:t>
            </w:r>
            <w:r>
              <w:rPr>
                <w:rFonts w:ascii="宋体" w:hAnsi="宋体"/>
                <w:b/>
                <w:szCs w:val="22"/>
              </w:rPr>
              <w:t>4</w:t>
            </w:r>
            <w:r>
              <w:rPr>
                <w:rFonts w:hint="eastAsia" w:ascii="宋体" w:hAnsi="宋体"/>
                <w:b/>
                <w:szCs w:val="22"/>
              </w:rPr>
              <w:t>(</w:t>
            </w:r>
            <w:r>
              <w:rPr>
                <w:rFonts w:ascii="宋体" w:hAnsi="宋体"/>
                <w:b/>
                <w:szCs w:val="22"/>
              </w:rPr>
              <w:t>2</w:t>
            </w:r>
            <w:r>
              <w:rPr>
                <w:rFonts w:hint="eastAsia" w:ascii="宋体" w:hAnsi="宋体"/>
                <w:b/>
                <w:szCs w:val="22"/>
              </w:rPr>
              <w:t>)</w:t>
            </w:r>
          </w:p>
        </w:tc>
        <w:tc>
          <w:tcPr>
            <w:tcW w:w="967" w:type="dxa"/>
            <w:tcBorders>
              <w:top w:val="single" w:color="auto" w:sz="4" w:space="0"/>
              <w:left w:val="single" w:color="auto" w:sz="4" w:space="0"/>
              <w:bottom w:val="single" w:color="auto" w:sz="4" w:space="0"/>
              <w:right w:val="single" w:color="auto" w:sz="4" w:space="0"/>
            </w:tcBorders>
            <w:vAlign w:val="center"/>
          </w:tcPr>
          <w:p w14:paraId="311D3029">
            <w:pPr>
              <w:spacing w:line="360" w:lineRule="auto"/>
              <w:ind w:left="7" w:leftChars="3"/>
              <w:jc w:val="center"/>
              <w:rPr>
                <w:b/>
                <w:bCs/>
                <w:szCs w:val="22"/>
              </w:rPr>
            </w:pPr>
            <w:r>
              <w:rPr>
                <w:rFonts w:hint="eastAsia" w:ascii="宋体" w:hAnsi="宋体"/>
                <w:b/>
                <w:color w:val="000000"/>
                <w:szCs w:val="22"/>
              </w:rPr>
              <w:t>投标报价详细评审</w:t>
            </w:r>
          </w:p>
        </w:tc>
        <w:tc>
          <w:tcPr>
            <w:tcW w:w="5897" w:type="dxa"/>
            <w:tcBorders>
              <w:top w:val="single" w:color="auto" w:sz="4" w:space="0"/>
              <w:left w:val="single" w:color="auto" w:sz="4" w:space="0"/>
              <w:bottom w:val="single" w:color="auto" w:sz="4" w:space="0"/>
              <w:right w:val="single" w:color="auto" w:sz="4" w:space="0"/>
            </w:tcBorders>
            <w:vAlign w:val="center"/>
          </w:tcPr>
          <w:p w14:paraId="4440967B">
            <w:pPr>
              <w:spacing w:line="360" w:lineRule="auto"/>
              <w:ind w:firstLine="442" w:firstLineChars="200"/>
              <w:rPr>
                <w:rFonts w:hint="eastAsia" w:ascii="宋体" w:hAnsi="宋体" w:cs="MingLiU"/>
                <w:b/>
                <w:color w:val="000000"/>
                <w:szCs w:val="22"/>
              </w:rPr>
            </w:pPr>
            <w:r>
              <w:rPr>
                <w:rFonts w:hint="eastAsia" w:ascii="宋体" w:hAnsi="宋体" w:cs="MingLiU"/>
                <w:b/>
                <w:color w:val="000000"/>
                <w:szCs w:val="22"/>
              </w:rPr>
              <w:t>评标委员会</w:t>
            </w:r>
            <w:r>
              <w:rPr>
                <w:rFonts w:ascii="宋体" w:hAnsi="宋体" w:cs="MingLiU"/>
                <w:b/>
                <w:color w:val="000000"/>
                <w:szCs w:val="22"/>
              </w:rPr>
              <w:t>只对</w:t>
            </w:r>
            <w:r>
              <w:rPr>
                <w:rFonts w:hint="eastAsia" w:ascii="宋体" w:hAnsi="宋体" w:cs="MingLiU"/>
                <w:b/>
                <w:color w:val="000000"/>
                <w:szCs w:val="22"/>
              </w:rPr>
              <w:t>经过初步评审未被否决投标的投标报价</w:t>
            </w:r>
            <w:r>
              <w:rPr>
                <w:rFonts w:ascii="宋体" w:hAnsi="宋体" w:cs="MingLiU"/>
                <w:b/>
                <w:color w:val="000000"/>
                <w:szCs w:val="22"/>
              </w:rPr>
              <w:t>进行</w:t>
            </w:r>
            <w:r>
              <w:rPr>
                <w:rFonts w:hint="eastAsia" w:ascii="宋体" w:hAnsi="宋体" w:cs="MingLiU"/>
                <w:b/>
                <w:color w:val="000000"/>
                <w:szCs w:val="22"/>
              </w:rPr>
              <w:t>详细</w:t>
            </w:r>
            <w:r>
              <w:rPr>
                <w:rFonts w:ascii="宋体" w:hAnsi="宋体" w:cs="MingLiU"/>
                <w:b/>
                <w:color w:val="000000"/>
                <w:szCs w:val="22"/>
              </w:rPr>
              <w:t>评审。</w:t>
            </w:r>
          </w:p>
          <w:p w14:paraId="3EF6691C">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投标报价详细评审的数据为通过投标报价初步评审的全部投标人修正后的投标报价数据（以下投标报价均指修正后的投标报价）</w:t>
            </w:r>
          </w:p>
          <w:p w14:paraId="36E402B8">
            <w:pPr>
              <w:spacing w:line="360" w:lineRule="auto"/>
              <w:ind w:firstLine="440" w:firstLineChars="200"/>
              <w:rPr>
                <w:rFonts w:hint="eastAsia" w:ascii="宋体" w:hAnsi="宋体" w:eastAsia="宋体"/>
                <w:b/>
                <w:color w:val="000000"/>
                <w:kern w:val="18"/>
                <w:szCs w:val="22"/>
                <w:lang w:eastAsia="zh-CN"/>
              </w:rPr>
            </w:pPr>
            <w:r>
              <w:rPr>
                <w:rFonts w:hint="eastAsia"/>
              </w:rPr>
              <w:t>○</w:t>
            </w:r>
            <w:r>
              <w:rPr>
                <w:rFonts w:hint="eastAsia" w:ascii="宋体" w:hAnsi="宋体"/>
                <w:b/>
                <w:color w:val="000000"/>
                <w:kern w:val="18"/>
                <w:szCs w:val="22"/>
                <w:lang w:val="en-US" w:eastAsia="zh-CN"/>
              </w:rPr>
              <w:t>一、</w:t>
            </w:r>
            <w:r>
              <w:rPr>
                <w:rFonts w:hint="eastAsia" w:ascii="宋体" w:hAnsi="宋体"/>
                <w:b/>
                <w:color w:val="000000"/>
                <w:kern w:val="18"/>
                <w:szCs w:val="22"/>
              </w:rPr>
              <w:t>单价遗漏的评审</w:t>
            </w:r>
            <w:r>
              <w:rPr>
                <w:rFonts w:hint="eastAsia" w:ascii="宋体" w:hAnsi="宋体"/>
                <w:b/>
                <w:color w:val="FF0000"/>
                <w:kern w:val="18"/>
                <w:szCs w:val="22"/>
                <w:lang w:eastAsia="zh-CN"/>
              </w:rPr>
              <w:t>（招标清单</w:t>
            </w:r>
            <w:r>
              <w:rPr>
                <w:rFonts w:hint="eastAsia" w:ascii="宋体" w:hAnsi="宋体"/>
                <w:b/>
                <w:color w:val="FF0000"/>
                <w:kern w:val="18"/>
                <w:szCs w:val="22"/>
                <w:lang w:val="en-US" w:eastAsia="zh-CN"/>
              </w:rPr>
              <w:t>以PDF格式上传的适用</w:t>
            </w:r>
            <w:r>
              <w:rPr>
                <w:rFonts w:hint="eastAsia" w:ascii="宋体" w:hAnsi="宋体"/>
                <w:b/>
                <w:color w:val="FF0000"/>
                <w:kern w:val="18"/>
                <w:szCs w:val="22"/>
                <w:lang w:eastAsia="zh-CN"/>
              </w:rPr>
              <w:t>）</w:t>
            </w:r>
          </w:p>
          <w:p w14:paraId="1F1C8F91">
            <w:pPr>
              <w:ind w:firstLine="440" w:firstLineChars="200"/>
            </w:pPr>
            <w:r>
              <w:rPr>
                <w:rFonts w:hint="eastAsia"/>
              </w:rPr>
              <w:t>（1）单价遗漏项目的确定</w:t>
            </w:r>
          </w:p>
          <w:p w14:paraId="3841BD87">
            <w:pPr>
              <w:ind w:firstLine="440" w:firstLineChars="200"/>
              <w:rPr>
                <w:rFonts w:hint="eastAsia" w:ascii="宋体" w:hAnsi="宋体" w:cs="MingLiU"/>
                <w:color w:val="000000"/>
                <w:szCs w:val="22"/>
              </w:rPr>
            </w:pPr>
            <w:r>
              <w:rPr>
                <w:rFonts w:hint="eastAsia" w:ascii="宋体" w:hAnsi="宋体" w:cs="MingLiU"/>
                <w:color w:val="000000"/>
                <w:szCs w:val="22"/>
              </w:rPr>
              <w:t>单价遗漏指分部分项工程量清单项目的单价遗漏。</w:t>
            </w:r>
          </w:p>
          <w:p w14:paraId="71DF9A08">
            <w:pPr>
              <w:ind w:firstLine="440" w:firstLineChars="200"/>
              <w:rPr>
                <w:rFonts w:hint="eastAsia" w:ascii="宋体" w:hAnsi="宋体" w:cs="MingLiU"/>
                <w:color w:val="000000"/>
                <w:szCs w:val="22"/>
              </w:rPr>
            </w:pPr>
            <w:r>
              <w:rPr>
                <w:rFonts w:hint="eastAsia" w:ascii="宋体" w:hAnsi="宋体" w:cs="MingLiU"/>
                <w:color w:val="000000"/>
                <w:szCs w:val="22"/>
              </w:rPr>
              <w:t>投标人对招标工程量清单中的分部分项工程量清单项目的单价未填报或填报为零的，视为单价遗漏。</w:t>
            </w:r>
          </w:p>
          <w:p w14:paraId="6A5AB498">
            <w:pPr>
              <w:ind w:firstLine="440" w:firstLineChars="200"/>
              <w:rPr>
                <w:rFonts w:hint="eastAsia" w:ascii="宋体" w:hAnsi="宋体" w:cs="MingLiU"/>
                <w:color w:val="000000"/>
                <w:szCs w:val="22"/>
              </w:rPr>
            </w:pPr>
            <w:r>
              <w:rPr>
                <w:rFonts w:hint="eastAsia" w:ascii="宋体" w:hAnsi="宋体" w:cs="MingLiU"/>
                <w:color w:val="000000"/>
                <w:szCs w:val="22"/>
              </w:rPr>
              <w:t>（2）单价遗漏项目金额计算</w:t>
            </w:r>
          </w:p>
          <w:p w14:paraId="0FA0CCA8">
            <w:pPr>
              <w:ind w:firstLine="440" w:firstLineChars="200"/>
              <w:rPr>
                <w:rFonts w:hint="eastAsia" w:ascii="宋体" w:hAnsi="宋体" w:cs="MingLiU"/>
                <w:color w:val="000000"/>
                <w:szCs w:val="22"/>
              </w:rPr>
            </w:pPr>
            <w:r>
              <w:rPr>
                <w:rFonts w:hint="eastAsia" w:ascii="宋体" w:hAnsi="宋体" w:cs="MingLiU"/>
                <w:color w:val="000000"/>
                <w:szCs w:val="22"/>
              </w:rPr>
              <w:t>投标人单价遗漏项目的金额按照</w:t>
            </w:r>
            <w:r>
              <w:rPr>
                <w:rFonts w:hint="eastAsia" w:ascii="宋体" w:hAnsi="宋体" w:cs="MingLiU"/>
                <w:color w:val="000000"/>
                <w:szCs w:val="22"/>
                <w:lang w:eastAsia="zh-CN"/>
              </w:rPr>
              <w:t>最高投标限价</w:t>
            </w:r>
            <w:r>
              <w:rPr>
                <w:rFonts w:hint="eastAsia" w:ascii="宋体" w:hAnsi="宋体" w:cs="MingLiU"/>
                <w:color w:val="000000"/>
                <w:szCs w:val="22"/>
              </w:rPr>
              <w:t>相应项目的价格计算，即：投标人单价遗漏项目的金额=∑（投标人单价遗漏项目的工程量×</w:t>
            </w:r>
            <w:r>
              <w:rPr>
                <w:rFonts w:hint="eastAsia" w:ascii="宋体" w:hAnsi="宋体" w:cs="MingLiU"/>
                <w:color w:val="000000"/>
                <w:szCs w:val="22"/>
                <w:lang w:eastAsia="zh-CN"/>
              </w:rPr>
              <w:t>最高投标限价</w:t>
            </w:r>
            <w:r>
              <w:rPr>
                <w:rFonts w:hint="eastAsia" w:ascii="宋体" w:hAnsi="宋体" w:cs="MingLiU"/>
                <w:color w:val="000000"/>
                <w:szCs w:val="22"/>
              </w:rPr>
              <w:t>相应项目的综合单价）</w:t>
            </w:r>
          </w:p>
          <w:p w14:paraId="43EA7913">
            <w:pPr>
              <w:ind w:firstLine="440" w:firstLineChars="200"/>
              <w:rPr>
                <w:rFonts w:hint="eastAsia" w:ascii="宋体" w:hAnsi="宋体" w:eastAsia="宋体" w:cs="MingLiU"/>
                <w:color w:val="000000"/>
                <w:szCs w:val="22"/>
                <w:lang w:val="en-US" w:eastAsia="zh-CN"/>
              </w:rPr>
            </w:pPr>
            <w:r>
              <w:rPr>
                <w:rFonts w:hint="eastAsia" w:ascii="宋体" w:hAnsi="宋体" w:cs="MingLiU"/>
                <w:color w:val="000000"/>
                <w:szCs w:val="22"/>
              </w:rPr>
              <w:t>（3）单价遗漏的处理：</w:t>
            </w:r>
          </w:p>
          <w:p w14:paraId="2F950985">
            <w:pPr>
              <w:ind w:firstLine="440" w:firstLineChars="200"/>
            </w:pPr>
            <w:r>
              <w:rPr>
                <w:rFonts w:hint="eastAsia"/>
              </w:rPr>
              <w:t>○投标人单价遗漏项目的金额超过其投标总价（修正后）的</w:t>
            </w:r>
            <w:r>
              <w:rPr>
                <w:rFonts w:hint="eastAsia"/>
                <w:lang w:val="en-US" w:eastAsia="zh-CN"/>
              </w:rPr>
              <w:t xml:space="preserve"> </w:t>
            </w:r>
            <w:r>
              <w:rPr>
                <w:rFonts w:hint="eastAsia"/>
                <w:u w:val="single"/>
              </w:rPr>
              <w:t xml:space="preserve">   </w:t>
            </w:r>
            <w:r>
              <w:rPr>
                <w:rFonts w:hint="eastAsia"/>
                <w:color w:val="FF0000"/>
              </w:rPr>
              <w:t>(1～3%)</w:t>
            </w:r>
            <w:r>
              <w:rPr>
                <w:rFonts w:hint="eastAsia"/>
              </w:rPr>
              <w:t>时（</w:t>
            </w:r>
            <w:r>
              <w:rPr>
                <w:rFonts w:hint="eastAsia"/>
                <w:color w:val="FF0000"/>
              </w:rPr>
              <w:t>具体偏差由招标人在招标文件中明确）</w:t>
            </w:r>
            <w:r>
              <w:rPr>
                <w:rFonts w:hint="eastAsia"/>
              </w:rPr>
              <w:t>，评标委员会应否决其投标。</w:t>
            </w:r>
          </w:p>
          <w:p w14:paraId="06B5297C">
            <w:pPr>
              <w:numPr>
                <w:ilvl w:val="-1"/>
                <w:numId w:val="0"/>
              </w:numPr>
              <w:spacing w:line="360" w:lineRule="auto"/>
              <w:ind w:firstLine="440" w:firstLineChars="200"/>
              <w:rPr>
                <w:rFonts w:hint="default" w:ascii="宋体" w:hAnsi="宋体" w:eastAsia="宋体" w:cs="MingLiU"/>
                <w:color w:val="000000"/>
                <w:szCs w:val="22"/>
                <w:lang w:val="en-US" w:eastAsia="zh-CN"/>
              </w:rPr>
            </w:pPr>
            <w:r>
              <w:rPr>
                <w:rFonts w:hint="eastAsia"/>
              </w:rPr>
              <w:t>○投标人单价遗漏项目视为投标人向招标人承诺单价遗漏项目免费，或视为其费用已分摊在工程量清单其他相关子目的单价（价格）之中。如中标，中标人应完成该项目，但该项目不得另行计价。</w:t>
            </w:r>
          </w:p>
          <w:p w14:paraId="096D2135">
            <w:pPr>
              <w:numPr>
                <w:ilvl w:val="-1"/>
                <w:numId w:val="0"/>
              </w:numPr>
              <w:spacing w:line="360" w:lineRule="auto"/>
              <w:ind w:firstLine="440" w:firstLineChars="200"/>
              <w:rPr>
                <w:rFonts w:hint="eastAsia" w:ascii="宋体" w:hAnsi="宋体"/>
                <w:b/>
                <w:color w:val="000000"/>
                <w:kern w:val="18"/>
                <w:szCs w:val="22"/>
              </w:rPr>
            </w:pPr>
            <w:r>
              <w:rPr>
                <w:rFonts w:hint="eastAsia"/>
              </w:rPr>
              <w:t>○</w:t>
            </w:r>
            <w:r>
              <w:rPr>
                <w:rFonts w:hint="eastAsia" w:ascii="宋体" w:hAnsi="宋体"/>
                <w:b/>
                <w:color w:val="000000"/>
                <w:kern w:val="18"/>
                <w:szCs w:val="22"/>
              </w:rPr>
              <w:t>一、单价遗漏的评审</w:t>
            </w:r>
            <w:r>
              <w:rPr>
                <w:rFonts w:hint="eastAsia" w:ascii="宋体" w:hAnsi="宋体"/>
                <w:b w:val="0"/>
                <w:color w:val="FF0000"/>
                <w:szCs w:val="21"/>
                <w:lang w:eastAsia="zh-CN"/>
              </w:rPr>
              <w:t>（</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r>
              <w:rPr>
                <w:rFonts w:hint="eastAsia" w:ascii="宋体" w:hAnsi="宋体"/>
                <w:b w:val="0"/>
                <w:color w:val="FF0000"/>
                <w:szCs w:val="21"/>
                <w:lang w:eastAsia="zh-CN"/>
              </w:rPr>
              <w:t>）</w:t>
            </w:r>
          </w:p>
          <w:p w14:paraId="64905FD5">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（1）单价遗漏项目的确定</w:t>
            </w:r>
          </w:p>
          <w:p w14:paraId="7645C2A8">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单价遗漏指分部分项工程项目清单的单价遗漏。</w:t>
            </w:r>
          </w:p>
          <w:p w14:paraId="40C80413">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投标人对招标工程量清单中的分部分项工程项目清单的单价未填报或填报为零的，视为单价遗漏。</w:t>
            </w:r>
          </w:p>
          <w:p w14:paraId="31E604EB">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（2）单价遗漏项目金额计算</w:t>
            </w:r>
          </w:p>
          <w:p w14:paraId="229BE5E8">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投标人单价遗漏项目的金额按照最高投标限价相应项目的价格计算，即：</w:t>
            </w:r>
          </w:p>
          <w:p w14:paraId="2AA3B21C">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投标人单价遗漏项目的金额=∑（投标人单价遗漏项目的工程量×最高投标限价相应项目的综合单价）</w:t>
            </w:r>
          </w:p>
          <w:p w14:paraId="1380990D">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（3）单价遗漏的处理：</w:t>
            </w:r>
          </w:p>
          <w:p w14:paraId="2D11BC5B">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当投标人单价遗漏项目的金额超过其投标总价（修正后）的</w:t>
            </w:r>
            <w:r>
              <w:rPr>
                <w:rFonts w:hint="eastAsia" w:ascii="宋体" w:hAnsi="宋体" w:cs="MingLiU"/>
                <w:color w:val="000000"/>
                <w:szCs w:val="22"/>
                <w:u w:val="single"/>
              </w:rPr>
              <w:t xml:space="preserve">    </w:t>
            </w:r>
            <w:r>
              <w:rPr>
                <w:rFonts w:hint="eastAsia" w:ascii="宋体" w:hAnsi="宋体" w:cs="MingLiU"/>
                <w:color w:val="FF0000"/>
                <w:szCs w:val="22"/>
              </w:rPr>
              <w:t>(1%～3%)</w:t>
            </w:r>
            <w:r>
              <w:rPr>
                <w:rFonts w:hint="eastAsia" w:ascii="宋体" w:hAnsi="宋体" w:cs="MingLiU"/>
                <w:color w:val="000000"/>
                <w:szCs w:val="22"/>
              </w:rPr>
              <w:t>时</w:t>
            </w:r>
            <w:r>
              <w:rPr>
                <w:rFonts w:hint="eastAsia" w:ascii="宋体" w:hAnsi="宋体" w:cs="MingLiU"/>
                <w:color w:val="FF0000"/>
                <w:szCs w:val="22"/>
              </w:rPr>
              <w:t>（具体偏差由招标人在招标文件中明确）</w:t>
            </w:r>
            <w:r>
              <w:rPr>
                <w:rFonts w:hint="eastAsia" w:ascii="宋体" w:hAnsi="宋体" w:cs="MingLiU"/>
                <w:color w:val="000000"/>
                <w:szCs w:val="22"/>
              </w:rPr>
              <w:t>，评标委员会应当否决其投标。</w:t>
            </w:r>
          </w:p>
          <w:p w14:paraId="25E1E46C">
            <w:pPr>
              <w:spacing w:line="360" w:lineRule="auto"/>
              <w:ind w:firstLine="440" w:firstLineChars="200"/>
              <w:rPr>
                <w:rFonts w:hint="eastAsia" w:ascii="宋体" w:hAnsi="宋体" w:cs="MingLiU"/>
                <w:color w:val="000000"/>
                <w:szCs w:val="22"/>
              </w:rPr>
            </w:pPr>
            <w:r>
              <w:rPr>
                <w:rFonts w:hint="eastAsia" w:ascii="宋体" w:hAnsi="宋体" w:cs="MingLiU"/>
                <w:color w:val="000000"/>
                <w:szCs w:val="22"/>
              </w:rPr>
              <w:t>当投标人单价遗漏项目的金额未超过其投标总价（修正后）的</w:t>
            </w:r>
            <w:r>
              <w:rPr>
                <w:rFonts w:hint="eastAsia" w:ascii="宋体" w:hAnsi="宋体" w:cs="MingLiU"/>
                <w:color w:val="000000"/>
                <w:szCs w:val="22"/>
                <w:u w:val="single"/>
              </w:rPr>
              <w:t xml:space="preserve">    </w:t>
            </w:r>
            <w:r>
              <w:rPr>
                <w:rFonts w:hint="eastAsia" w:ascii="宋体" w:hAnsi="宋体" w:cs="MingLiU"/>
                <w:color w:val="FF0000"/>
                <w:szCs w:val="22"/>
              </w:rPr>
              <w:t>(1%～3%)</w:t>
            </w:r>
            <w:r>
              <w:rPr>
                <w:rFonts w:hint="eastAsia" w:ascii="宋体" w:hAnsi="宋体" w:cs="MingLiU"/>
                <w:color w:val="000000"/>
                <w:szCs w:val="22"/>
              </w:rPr>
              <w:t>时（</w:t>
            </w:r>
            <w:r>
              <w:rPr>
                <w:rFonts w:hint="eastAsia" w:ascii="宋体" w:hAnsi="宋体" w:cs="MingLiU"/>
                <w:color w:val="FF0000"/>
                <w:szCs w:val="22"/>
              </w:rPr>
              <w:t>具体偏差由招标人在招标文件中明确）</w:t>
            </w:r>
            <w:r>
              <w:rPr>
                <w:rFonts w:hint="eastAsia" w:ascii="宋体" w:hAnsi="宋体" w:cs="MingLiU"/>
                <w:color w:val="000000"/>
                <w:szCs w:val="22"/>
              </w:rPr>
              <w:t>，视为投标人向招标人承诺单价遗漏项目不计费，或视为其费用已分摊在工程量清单其他相关子目的单价（价格）之中。</w:t>
            </w:r>
          </w:p>
          <w:p w14:paraId="7FD974C4">
            <w:pPr>
              <w:spacing w:line="360" w:lineRule="auto"/>
              <w:ind w:firstLine="442" w:firstLineChars="200"/>
              <w:rPr>
                <w:rFonts w:hint="eastAsia" w:ascii="宋体" w:hAnsi="宋体" w:cs="MingLiU"/>
                <w:b/>
                <w:color w:val="000000"/>
                <w:szCs w:val="22"/>
              </w:rPr>
            </w:pPr>
            <w:r>
              <w:rPr>
                <w:rFonts w:hint="eastAsia" w:ascii="宋体" w:hAnsi="宋体" w:cs="MingLiU"/>
                <w:b/>
                <w:color w:val="000000"/>
                <w:szCs w:val="22"/>
              </w:rPr>
              <w:t>二、综合单价评审</w:t>
            </w:r>
          </w:p>
          <w:p w14:paraId="3EF3CFA2">
            <w:pPr>
              <w:spacing w:line="360" w:lineRule="auto"/>
              <w:ind w:firstLine="440" w:firstLineChars="200"/>
              <w:rPr>
                <w:rFonts w:hint="eastAsia"/>
                <w:color w:val="auto"/>
                <w:szCs w:val="22"/>
                <w:highlight w:val="none"/>
              </w:rPr>
            </w:pPr>
            <w:r>
              <w:rPr>
                <w:rFonts w:hint="eastAsia"/>
                <w:color w:val="auto"/>
                <w:szCs w:val="22"/>
                <w:highlight w:val="none"/>
              </w:rPr>
              <w:t>招标人应在招标文件中附所需要评审的主要材料（工程设备）表，并明确品种、规格、质量档次等必需信息。</w:t>
            </w:r>
          </w:p>
          <w:p w14:paraId="552BB8F0">
            <w:pPr>
              <w:spacing w:line="360" w:lineRule="auto"/>
              <w:ind w:firstLine="440" w:firstLineChars="200"/>
              <w:rPr>
                <w:rFonts w:hint="eastAsia"/>
                <w:color w:val="auto"/>
                <w:szCs w:val="22"/>
                <w:highlight w:val="none"/>
              </w:rPr>
            </w:pPr>
            <w:r>
              <w:rPr>
                <w:rFonts w:hint="eastAsia"/>
                <w:color w:val="auto"/>
                <w:szCs w:val="22"/>
                <w:highlight w:val="none"/>
              </w:rPr>
              <w:t>（1）综合单价中的主要材料（工程设备）消耗量明显不合理时，评标委员会应向投标人提出询问。</w:t>
            </w:r>
          </w:p>
          <w:p w14:paraId="7CBD864E">
            <w:pPr>
              <w:spacing w:line="360" w:lineRule="auto"/>
              <w:ind w:firstLine="440" w:firstLineChars="200"/>
              <w:rPr>
                <w:rFonts w:hint="eastAsia"/>
                <w:color w:val="auto"/>
                <w:szCs w:val="22"/>
                <w:highlight w:val="none"/>
              </w:rPr>
            </w:pPr>
            <w:r>
              <w:rPr>
                <w:rFonts w:hint="eastAsia"/>
                <w:color w:val="auto"/>
                <w:szCs w:val="22"/>
                <w:highlight w:val="none"/>
              </w:rPr>
              <w:t>（2）综合单价中的主要材料（工程设备）单价明显不合理时，评标委员会应向投标人提出询问。</w:t>
            </w:r>
          </w:p>
          <w:p w14:paraId="69FB49B0">
            <w:pPr>
              <w:spacing w:line="360" w:lineRule="auto"/>
              <w:ind w:firstLine="440" w:firstLineChars="200"/>
              <w:rPr>
                <w:rFonts w:hint="eastAsia"/>
                <w:color w:val="auto"/>
                <w:szCs w:val="22"/>
                <w:highlight w:val="none"/>
              </w:rPr>
            </w:pPr>
            <w:r>
              <w:rPr>
                <w:rFonts w:hint="eastAsia"/>
                <w:color w:val="auto"/>
                <w:szCs w:val="22"/>
                <w:highlight w:val="none"/>
              </w:rPr>
              <w:t>投标人对评标委员会提出的询问不能说明理由或评标委员会经评审认为其理由不成立的，评标委员会应否决其投标。</w:t>
            </w:r>
          </w:p>
          <w:p w14:paraId="6C6C8E7A">
            <w:pPr>
              <w:spacing w:line="360" w:lineRule="auto"/>
              <w:ind w:firstLine="440" w:firstLineChars="200"/>
              <w:rPr>
                <w:rFonts w:hint="eastAsia" w:ascii="宋体" w:hAnsi="宋体" w:cs="MingLiU"/>
                <w:b/>
                <w:color w:val="000000"/>
                <w:szCs w:val="22"/>
              </w:rPr>
            </w:pPr>
            <w:r>
              <w:rPr>
                <w:rFonts w:hint="eastAsia"/>
                <w:color w:val="auto"/>
                <w:szCs w:val="22"/>
                <w:highlight w:val="none"/>
              </w:rPr>
              <w:t>□</w:t>
            </w:r>
            <w:r>
              <w:rPr>
                <w:rFonts w:hint="eastAsia" w:ascii="宋体" w:hAnsi="宋体" w:cs="MingLiU"/>
                <w:b/>
                <w:color w:val="000000"/>
                <w:szCs w:val="22"/>
              </w:rPr>
              <w:t>三、不平衡报价评审</w:t>
            </w:r>
            <w:r>
              <w:rPr>
                <w:rFonts w:hint="eastAsia" w:ascii="宋体" w:hAnsi="宋体"/>
                <w:b w:val="0"/>
                <w:color w:val="FF0000"/>
                <w:szCs w:val="21"/>
                <w:lang w:eastAsia="zh-CN"/>
              </w:rPr>
              <w:t>（</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r>
              <w:rPr>
                <w:rFonts w:hint="eastAsia" w:ascii="宋体" w:hAnsi="宋体"/>
                <w:b w:val="0"/>
                <w:color w:val="FF0000"/>
                <w:szCs w:val="21"/>
                <w:lang w:eastAsia="zh-CN"/>
              </w:rPr>
              <w:t>）</w:t>
            </w:r>
          </w:p>
          <w:p w14:paraId="0B424223">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kern w:val="0"/>
                <w:szCs w:val="21"/>
                <w:highlight w:val="none"/>
              </w:rPr>
            </w:pPr>
            <w:r>
              <w:rPr>
                <w:rFonts w:hint="eastAsia" w:ascii="宋体" w:hAnsi="宋体" w:cs="MingLiU"/>
                <w:b w:val="0"/>
                <w:bCs w:val="0"/>
                <w:i w:val="0"/>
                <w:color w:val="000000"/>
                <w:kern w:val="0"/>
                <w:szCs w:val="21"/>
                <w:highlight w:val="none"/>
              </w:rPr>
              <w:t>不平衡报价项目包含分部分项工程项目清单综合单价项目和措施项目。</w:t>
            </w:r>
          </w:p>
          <w:p w14:paraId="5FC329EE">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1. 分部分项工程项目清单综合单价项目不平衡报价的确定：</w:t>
            </w:r>
          </w:p>
          <w:p w14:paraId="2577F7E5">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（1）当投标人的某分部分项工程项目清单综合单价低于或高于最高投标限价相应项目综合单价</w:t>
            </w:r>
            <w:r>
              <w:rPr>
                <w:rFonts w:hint="eastAsia" w:ascii="宋体" w:hAnsi="宋体" w:cs="MingLiU"/>
                <w:b w:val="0"/>
                <w:bCs w:val="0"/>
                <w:i w:val="0"/>
                <w:color w:val="000000"/>
                <w:highlight w:val="none"/>
                <w:u w:val="single"/>
              </w:rPr>
              <w:t xml:space="preserve">         </w:t>
            </w:r>
            <w:r>
              <w:rPr>
                <w:rFonts w:hint="eastAsia" w:ascii="宋体" w:hAnsi="宋体" w:cs="MingLiU"/>
                <w:b w:val="0"/>
                <w:bCs w:val="0"/>
                <w:i w:val="0"/>
                <w:color w:val="FF0000"/>
                <w:highlight w:val="none"/>
              </w:rPr>
              <w:t>(15%～25%)</w:t>
            </w:r>
            <w:r>
              <w:rPr>
                <w:rFonts w:hint="eastAsia" w:ascii="宋体" w:hAnsi="宋体" w:cs="MingLiU"/>
                <w:b w:val="0"/>
                <w:bCs w:val="0"/>
                <w:i w:val="0"/>
                <w:color w:val="000000"/>
                <w:highlight w:val="none"/>
              </w:rPr>
              <w:t>时</w:t>
            </w:r>
            <w:r>
              <w:rPr>
                <w:rFonts w:hint="eastAsia" w:ascii="宋体" w:hAnsi="宋体" w:cs="MingLiU"/>
                <w:b w:val="0"/>
                <w:bCs w:val="0"/>
                <w:i w:val="0"/>
                <w:color w:val="FF0000"/>
                <w:highlight w:val="none"/>
              </w:rPr>
              <w:t>（具体偏差幅度由招标人在招标文件中明确）</w:t>
            </w:r>
            <w:r>
              <w:rPr>
                <w:rFonts w:hint="eastAsia" w:ascii="宋体" w:hAnsi="宋体" w:cs="MingLiU"/>
                <w:b w:val="0"/>
                <w:bCs w:val="0"/>
                <w:i w:val="0"/>
                <w:color w:val="000000"/>
                <w:highlight w:val="none"/>
              </w:rPr>
              <w:t>，该项目的报价视为不平衡报价。</w:t>
            </w:r>
          </w:p>
          <w:p w14:paraId="26814C13">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2）当综合单价项目的报价与投标人采取的施工方式、方法（如土石方的开挖方式、运输距离，回填土石方的取得方式及运距等类似项目）相关联时，若投标人该类项目的综合单价低于或高于最高投标限价相应项目综合单价</w:t>
            </w:r>
            <w:r>
              <w:rPr>
                <w:rFonts w:hint="eastAsia" w:ascii="宋体" w:hAnsi="宋体" w:cs="MingLiU"/>
                <w:b w:val="0"/>
                <w:bCs w:val="0"/>
                <w:i w:val="0"/>
                <w:color w:val="000000"/>
                <w:highlight w:val="none"/>
                <w:u w:val="single"/>
              </w:rPr>
              <w:t xml:space="preserve">      </w:t>
            </w:r>
            <w:r>
              <w:rPr>
                <w:rFonts w:hint="eastAsia" w:ascii="宋体" w:hAnsi="宋体" w:cs="MingLiU"/>
                <w:b w:val="0"/>
                <w:bCs w:val="0"/>
                <w:i w:val="0"/>
                <w:color w:val="FF0000"/>
                <w:highlight w:val="none"/>
              </w:rPr>
              <w:t>(20%～30%)</w:t>
            </w:r>
            <w:r>
              <w:rPr>
                <w:rFonts w:hint="eastAsia" w:ascii="宋体" w:hAnsi="宋体" w:cs="MingLiU"/>
                <w:b w:val="0"/>
                <w:bCs w:val="0"/>
                <w:i w:val="0"/>
                <w:color w:val="000000"/>
                <w:highlight w:val="none"/>
              </w:rPr>
              <w:t>时</w:t>
            </w:r>
            <w:r>
              <w:rPr>
                <w:rFonts w:hint="eastAsia" w:ascii="宋体" w:hAnsi="宋体" w:cs="MingLiU"/>
                <w:b w:val="0"/>
                <w:bCs w:val="0"/>
                <w:i w:val="0"/>
                <w:color w:val="FF0000"/>
                <w:highlight w:val="none"/>
              </w:rPr>
              <w:t>（具体偏差由招标人在招标文件中明确）</w:t>
            </w:r>
            <w:r>
              <w:rPr>
                <w:rFonts w:hint="eastAsia" w:ascii="宋体" w:hAnsi="宋体" w:cs="MingLiU"/>
                <w:b w:val="0"/>
                <w:bCs w:val="0"/>
                <w:i w:val="0"/>
                <w:color w:val="000000"/>
                <w:highlight w:val="none"/>
              </w:rPr>
              <w:t>，投标人应在投标报价中对该类综合单价组成作出专门说明，并在施工组织设计中编制相应的施工方式、方法。该类项目的报价是否视为不平衡报价按下列方式确定。</w:t>
            </w:r>
          </w:p>
          <w:p w14:paraId="50612510">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①投标人在投标报价中未作出说明或其说明明显不合理的，视为不平衡报价；</w:t>
            </w:r>
          </w:p>
          <w:p w14:paraId="4CC3D08A">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②投标人在其施工组织设计中未编制相应的施工方式、方法的，视为不平衡报价；</w:t>
            </w:r>
          </w:p>
          <w:p w14:paraId="20442283">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kern w:val="0"/>
                <w:szCs w:val="21"/>
                <w:highlight w:val="none"/>
              </w:rPr>
            </w:pPr>
            <w:r>
              <w:rPr>
                <w:rFonts w:hint="eastAsia" w:ascii="宋体" w:hAnsi="宋体" w:cs="MingLiU"/>
                <w:b w:val="0"/>
                <w:bCs w:val="0"/>
                <w:i w:val="0"/>
                <w:color w:val="000000"/>
                <w:kern w:val="0"/>
                <w:szCs w:val="21"/>
                <w:highlight w:val="none"/>
              </w:rPr>
              <w:t>③综合单价的组成与其施工组织设计内容不对应或</w:t>
            </w:r>
            <w:r>
              <w:rPr>
                <w:rFonts w:hint="eastAsia" w:ascii="宋体" w:hAnsi="宋体" w:cs="Times New Roman"/>
                <w:b w:val="0"/>
                <w:bCs w:val="0"/>
                <w:i w:val="0"/>
                <w:color w:val="000000"/>
                <w:highlight w:val="none"/>
              </w:rPr>
              <w:t>评标委员会</w:t>
            </w:r>
            <w:r>
              <w:rPr>
                <w:rFonts w:hint="eastAsia" w:ascii="宋体" w:hAnsi="宋体" w:cs="MingLiU"/>
                <w:b w:val="0"/>
                <w:bCs w:val="0"/>
                <w:i w:val="0"/>
                <w:color w:val="000000"/>
                <w:kern w:val="0"/>
                <w:szCs w:val="21"/>
                <w:highlight w:val="none"/>
              </w:rPr>
              <w:t>经评审认为其综合单价组成不合理的，视为不平衡报价。</w:t>
            </w:r>
          </w:p>
          <w:p w14:paraId="3C455DCC">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2.措施项目不平衡报价的确定</w:t>
            </w:r>
          </w:p>
          <w:p w14:paraId="13552147">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当投标人措施项目（安全生产措施费除外）总价低于或高于最高投标限价相应价格</w:t>
            </w:r>
            <w:r>
              <w:rPr>
                <w:rFonts w:hint="eastAsia" w:ascii="宋体" w:hAnsi="宋体" w:cs="MingLiU"/>
                <w:b w:val="0"/>
                <w:bCs w:val="0"/>
                <w:i w:val="0"/>
                <w:color w:val="000000"/>
                <w:highlight w:val="none"/>
                <w:u w:val="single"/>
              </w:rPr>
              <w:t xml:space="preserve">        </w:t>
            </w:r>
            <w:r>
              <w:rPr>
                <w:rFonts w:hint="eastAsia" w:ascii="宋体" w:hAnsi="宋体" w:cs="MingLiU"/>
                <w:b w:val="0"/>
                <w:bCs w:val="0"/>
                <w:i w:val="0"/>
                <w:color w:val="FF0000"/>
                <w:highlight w:val="none"/>
              </w:rPr>
              <w:t>(25%～35%)</w:t>
            </w:r>
            <w:r>
              <w:rPr>
                <w:rFonts w:hint="eastAsia" w:ascii="宋体" w:hAnsi="宋体" w:cs="MingLiU"/>
                <w:b w:val="0"/>
                <w:bCs w:val="0"/>
                <w:i w:val="0"/>
                <w:color w:val="000000"/>
                <w:highlight w:val="none"/>
              </w:rPr>
              <w:t>时</w:t>
            </w:r>
            <w:r>
              <w:rPr>
                <w:rFonts w:hint="eastAsia" w:ascii="宋体" w:hAnsi="宋体" w:cs="MingLiU"/>
                <w:b w:val="0"/>
                <w:bCs w:val="0"/>
                <w:i w:val="0"/>
                <w:color w:val="FF0000"/>
                <w:highlight w:val="none"/>
              </w:rPr>
              <w:t>（对于措施项目费用占工程总造价比例较大的工程项目，上述偏差幅度可适当放宽，具体偏差由招标人在招标文件中明确）</w:t>
            </w:r>
            <w:r>
              <w:rPr>
                <w:rFonts w:hint="eastAsia" w:ascii="宋体" w:hAnsi="宋体" w:cs="MingLiU"/>
                <w:b w:val="0"/>
                <w:bCs w:val="0"/>
                <w:i w:val="0"/>
                <w:color w:val="000000"/>
                <w:highlight w:val="none"/>
              </w:rPr>
              <w:t>，该措施项目报价视为不平衡报价。</w:t>
            </w:r>
          </w:p>
          <w:p w14:paraId="55FDDE81">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3、不平衡报价项目金额计算：</w:t>
            </w:r>
          </w:p>
          <w:p w14:paraId="1F9AA5B8">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00000"/>
                <w:highlight w:val="none"/>
              </w:rPr>
            </w:pPr>
            <w:r>
              <w:rPr>
                <w:rFonts w:hint="eastAsia" w:ascii="宋体" w:hAnsi="宋体" w:cs="MingLiU"/>
                <w:b w:val="0"/>
                <w:bCs w:val="0"/>
                <w:i w:val="0"/>
                <w:color w:val="000000"/>
                <w:highlight w:val="none"/>
              </w:rPr>
              <w:t>投标人不平衡报价项目的金额=∑（确定为不平衡报价的分部分项工程项目清单的最高投标限价相应综合单价×相应工程量）+确定为不平衡报价的措施项目的最高投标限价相应总价（安全生产措施费除外）</w:t>
            </w:r>
          </w:p>
          <w:p w14:paraId="601FD938">
            <w:pPr>
              <w:ind w:firstLine="440" w:firstLineChars="200"/>
              <w:jc w:val="left"/>
              <w:rPr>
                <w:rFonts w:hint="eastAsia" w:ascii="宋体" w:hAnsi="宋体" w:cs="MingLiU"/>
                <w:color w:val="000000"/>
                <w:sz w:val="22"/>
                <w:szCs w:val="22"/>
              </w:rPr>
            </w:pPr>
            <w:r>
              <w:rPr>
                <w:rFonts w:hint="eastAsia" w:ascii="宋体" w:hAnsi="宋体" w:cs="MingLiU"/>
                <w:b w:val="0"/>
                <w:bCs w:val="0"/>
                <w:i w:val="0"/>
                <w:color w:val="000000"/>
                <w:highlight w:val="none"/>
              </w:rPr>
              <w:t>注：不平衡报价项目金额既有正值也有负值时，不平衡报价项目金额不品迭计算，均以绝对值相加计算。</w:t>
            </w:r>
          </w:p>
          <w:p w14:paraId="1E36B88D">
            <w:pPr>
              <w:ind w:firstLine="442" w:firstLineChars="200"/>
              <w:jc w:val="left"/>
              <w:rPr>
                <w:rFonts w:hint="eastAsia" w:ascii="宋体" w:hAnsi="宋体" w:cs="MingLiU"/>
                <w:b/>
                <w:bCs/>
                <w:color w:val="000000"/>
                <w:sz w:val="22"/>
                <w:szCs w:val="22"/>
              </w:rPr>
            </w:pPr>
            <w:r>
              <w:rPr>
                <w:rFonts w:hint="eastAsia" w:ascii="宋体" w:hAnsi="宋体" w:cs="MingLiU"/>
                <w:b/>
                <w:bCs/>
                <w:color w:val="000000"/>
                <w:sz w:val="22"/>
                <w:szCs w:val="22"/>
              </w:rPr>
              <w:t>4、不平衡报价的处理：</w:t>
            </w:r>
          </w:p>
          <w:p w14:paraId="0BD57555">
            <w:pPr>
              <w:spacing w:line="360" w:lineRule="auto"/>
              <w:ind w:firstLine="440" w:firstLineChars="200"/>
              <w:jc w:val="left"/>
              <w:rPr>
                <w:rFonts w:hint="eastAsia" w:ascii="宋体" w:hAnsi="宋体" w:cs="MingLiU"/>
                <w:color w:val="000000"/>
                <w:kern w:val="0"/>
                <w:szCs w:val="22"/>
              </w:rPr>
            </w:pPr>
            <w:r>
              <w:rPr>
                <w:rFonts w:hint="eastAsia" w:ascii="宋体" w:hAnsi="宋体" w:cs="MingLiU"/>
                <w:color w:val="000000"/>
                <w:kern w:val="0"/>
                <w:szCs w:val="22"/>
              </w:rPr>
              <w:t>①当投标人不平衡报价项目的金额超过</w:t>
            </w:r>
            <w:r>
              <w:rPr>
                <w:rFonts w:hint="eastAsia" w:ascii="宋体" w:hAnsi="宋体" w:cs="MingLiU"/>
                <w:color w:val="000000"/>
                <w:kern w:val="0"/>
                <w:szCs w:val="22"/>
                <w:lang w:eastAsia="zh-CN"/>
              </w:rPr>
              <w:t>最高投标限价</w:t>
            </w:r>
            <w:r>
              <w:rPr>
                <w:rFonts w:hint="eastAsia" w:ascii="宋体" w:hAnsi="宋体" w:cs="MingLiU"/>
                <w:color w:val="000000"/>
                <w:kern w:val="0"/>
                <w:szCs w:val="22"/>
              </w:rPr>
              <w:t>的</w:t>
            </w:r>
            <w:r>
              <w:rPr>
                <w:rFonts w:hint="eastAsia" w:ascii="宋体" w:hAnsi="宋体" w:cs="MingLiU"/>
                <w:color w:val="000000"/>
                <w:kern w:val="0"/>
                <w:szCs w:val="22"/>
                <w:u w:val="single"/>
              </w:rPr>
              <w:t xml:space="preserve"> </w:t>
            </w:r>
            <w:r>
              <w:rPr>
                <w:rFonts w:hint="eastAsia" w:ascii="宋体" w:hAnsi="宋体" w:cs="MingLiU"/>
                <w:color w:val="000000"/>
                <w:kern w:val="0"/>
                <w:szCs w:val="22"/>
                <w:u w:val="single"/>
                <w:lang w:val="en-US" w:eastAsia="zh-CN"/>
              </w:rPr>
              <w:t xml:space="preserve">   </w:t>
            </w:r>
            <w:r>
              <w:rPr>
                <w:rFonts w:hint="eastAsia" w:ascii="宋体" w:hAnsi="宋体" w:cs="MingLiU"/>
                <w:color w:val="000000"/>
                <w:szCs w:val="22"/>
                <w:u w:val="none"/>
              </w:rPr>
              <w:t>%</w:t>
            </w:r>
            <w:r>
              <w:rPr>
                <w:rFonts w:hint="eastAsia" w:ascii="宋体" w:hAnsi="宋体" w:cs="MingLiU"/>
                <w:color w:val="FF0000"/>
                <w:kern w:val="0"/>
                <w:szCs w:val="21"/>
              </w:rPr>
              <w:t>(10</w:t>
            </w:r>
            <w:r>
              <w:rPr>
                <w:rFonts w:hint="eastAsia" w:ascii="宋体" w:hAnsi="宋体" w:cs="MingLiU"/>
                <w:color w:val="FF0000"/>
                <w:kern w:val="0"/>
                <w:szCs w:val="21"/>
                <w:lang w:val="en-US" w:eastAsia="zh-CN"/>
              </w:rPr>
              <w:t>%</w:t>
            </w:r>
            <w:r>
              <w:rPr>
                <w:rFonts w:hint="eastAsia" w:ascii="宋体" w:hAnsi="宋体" w:cs="MingLiU"/>
                <w:color w:val="FF0000"/>
                <w:kern w:val="0"/>
                <w:szCs w:val="21"/>
              </w:rPr>
              <w:t>～20%)</w:t>
            </w:r>
            <w:r>
              <w:rPr>
                <w:rFonts w:hint="eastAsia" w:ascii="宋体" w:hAnsi="宋体" w:cs="MingLiU"/>
                <w:color w:val="000000"/>
                <w:kern w:val="0"/>
                <w:szCs w:val="22"/>
              </w:rPr>
              <w:t>时，</w:t>
            </w:r>
            <w:r>
              <w:rPr>
                <w:rFonts w:hint="eastAsia" w:ascii="宋体" w:hAnsi="宋体"/>
                <w:color w:val="000000"/>
                <w:szCs w:val="22"/>
              </w:rPr>
              <w:t>评标委员会</w:t>
            </w:r>
            <w:r>
              <w:rPr>
                <w:rFonts w:hint="eastAsia" w:ascii="宋体" w:hAnsi="宋体" w:cs="MingLiU"/>
                <w:color w:val="000000"/>
                <w:szCs w:val="22"/>
              </w:rPr>
              <w:t>应否决其投标</w:t>
            </w:r>
            <w:r>
              <w:rPr>
                <w:rFonts w:hint="eastAsia" w:ascii="宋体" w:hAnsi="宋体" w:cs="MingLiU"/>
                <w:color w:val="000000"/>
                <w:kern w:val="0"/>
                <w:szCs w:val="22"/>
              </w:rPr>
              <w:t>。</w:t>
            </w:r>
          </w:p>
          <w:p w14:paraId="3783CB3B">
            <w:pPr>
              <w:spacing w:line="360" w:lineRule="auto"/>
              <w:ind w:firstLine="440" w:firstLineChars="200"/>
              <w:rPr>
                <w:b/>
                <w:bCs/>
                <w:szCs w:val="22"/>
              </w:rPr>
            </w:pPr>
            <w:r>
              <w:rPr>
                <w:rFonts w:hint="eastAsia" w:ascii="宋体" w:hAnsi="宋体" w:cs="MingLiU"/>
                <w:color w:val="000000"/>
                <w:kern w:val="0"/>
                <w:szCs w:val="22"/>
              </w:rPr>
              <w:t>②当投标人不平衡报价项目的金额未超过</w:t>
            </w:r>
            <w:r>
              <w:rPr>
                <w:rFonts w:hint="eastAsia" w:ascii="宋体" w:hAnsi="宋体" w:cs="MingLiU"/>
                <w:color w:val="000000"/>
                <w:kern w:val="0"/>
                <w:szCs w:val="22"/>
                <w:lang w:eastAsia="zh-CN"/>
              </w:rPr>
              <w:t>最高投标限价</w:t>
            </w:r>
            <w:r>
              <w:rPr>
                <w:rFonts w:hint="eastAsia" w:ascii="宋体" w:hAnsi="宋体" w:cs="MingLiU"/>
                <w:color w:val="000000"/>
                <w:kern w:val="0"/>
                <w:szCs w:val="22"/>
              </w:rPr>
              <w:t>的</w:t>
            </w:r>
            <w:r>
              <w:rPr>
                <w:rFonts w:hint="eastAsia" w:ascii="宋体" w:hAnsi="宋体" w:cs="MingLiU"/>
                <w:color w:val="000000"/>
                <w:kern w:val="0"/>
                <w:szCs w:val="22"/>
                <w:u w:val="single"/>
              </w:rPr>
              <w:t xml:space="preserve"> </w:t>
            </w:r>
            <w:r>
              <w:rPr>
                <w:rFonts w:hint="eastAsia" w:ascii="宋体" w:hAnsi="宋体" w:cs="MingLiU"/>
                <w:color w:val="000000"/>
                <w:kern w:val="0"/>
                <w:szCs w:val="22"/>
                <w:u w:val="single"/>
                <w:lang w:val="en-US" w:eastAsia="zh-CN"/>
              </w:rPr>
              <w:t xml:space="preserve">   </w:t>
            </w:r>
            <w:r>
              <w:rPr>
                <w:rFonts w:hint="eastAsia" w:ascii="宋体" w:hAnsi="宋体" w:cs="MingLiU"/>
                <w:color w:val="000000"/>
                <w:szCs w:val="22"/>
                <w:u w:val="none"/>
              </w:rPr>
              <w:t>%</w:t>
            </w:r>
            <w:r>
              <w:rPr>
                <w:rFonts w:hint="eastAsia" w:ascii="宋体" w:hAnsi="宋体" w:cs="MingLiU"/>
                <w:color w:val="FF0000"/>
              </w:rPr>
              <w:t>(10</w:t>
            </w:r>
            <w:r>
              <w:rPr>
                <w:rFonts w:hint="eastAsia" w:ascii="宋体" w:hAnsi="宋体" w:cs="MingLiU"/>
                <w:color w:val="FF0000"/>
                <w:lang w:val="en-US" w:eastAsia="zh-CN"/>
              </w:rPr>
              <w:t>%</w:t>
            </w:r>
            <w:r>
              <w:rPr>
                <w:rFonts w:hint="eastAsia" w:ascii="宋体" w:hAnsi="宋体" w:cs="MingLiU"/>
                <w:color w:val="FF0000"/>
              </w:rPr>
              <w:t>～20%)</w:t>
            </w:r>
            <w:r>
              <w:rPr>
                <w:rFonts w:hint="eastAsia" w:ascii="宋体" w:hAnsi="宋体" w:cs="MingLiU"/>
                <w:color w:val="000000"/>
                <w:kern w:val="0"/>
                <w:szCs w:val="22"/>
              </w:rPr>
              <w:t>时，</w:t>
            </w:r>
            <w:r>
              <w:rPr>
                <w:rFonts w:hint="eastAsia" w:ascii="宋体" w:hAnsi="宋体"/>
                <w:color w:val="000000"/>
                <w:szCs w:val="22"/>
              </w:rPr>
              <w:t>评标委员会</w:t>
            </w:r>
            <w:r>
              <w:rPr>
                <w:rFonts w:hint="eastAsia" w:ascii="宋体" w:hAnsi="宋体" w:cs="MingLiU"/>
                <w:color w:val="000000"/>
                <w:szCs w:val="22"/>
              </w:rPr>
              <w:t>应在评标报告中记录，提醒招标人在签订合同时注意，并在施工过程中加强风险防范</w:t>
            </w:r>
            <w:r>
              <w:rPr>
                <w:rFonts w:hint="eastAsia" w:ascii="宋体" w:hAnsi="宋体" w:cs="MingLiU"/>
                <w:color w:val="000000"/>
                <w:kern w:val="0"/>
                <w:szCs w:val="22"/>
              </w:rPr>
              <w:t>。</w:t>
            </w:r>
          </w:p>
        </w:tc>
      </w:tr>
      <w:tr w14:paraId="6F4D8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0" w:type="dxa"/>
            <w:gridSpan w:val="2"/>
            <w:vMerge w:val="continue"/>
            <w:tcBorders>
              <w:bottom w:val="single" w:color="auto" w:sz="4" w:space="0"/>
              <w:right w:val="single" w:color="auto" w:sz="4" w:space="0"/>
            </w:tcBorders>
            <w:vAlign w:val="center"/>
          </w:tcPr>
          <w:p w14:paraId="3C31182E">
            <w:pPr>
              <w:spacing w:line="360" w:lineRule="auto"/>
              <w:ind w:left="376" w:leftChars="171"/>
              <w:jc w:val="center"/>
              <w:rPr>
                <w:b/>
                <w:bCs/>
                <w:szCs w:val="22"/>
              </w:rPr>
            </w:pPr>
          </w:p>
        </w:tc>
        <w:tc>
          <w:tcPr>
            <w:tcW w:w="990" w:type="dxa"/>
            <w:vMerge w:val="continue"/>
            <w:tcBorders>
              <w:bottom w:val="single" w:color="auto" w:sz="4" w:space="0"/>
              <w:right w:val="single" w:color="auto" w:sz="4" w:space="0"/>
            </w:tcBorders>
            <w:vAlign w:val="center"/>
          </w:tcPr>
          <w:p w14:paraId="71E9F719">
            <w:pPr>
              <w:spacing w:line="360" w:lineRule="auto"/>
              <w:ind w:left="376" w:leftChars="171"/>
              <w:jc w:val="center"/>
              <w:rPr>
                <w:b/>
                <w:bCs/>
                <w:szCs w:val="22"/>
              </w:rPr>
            </w:pPr>
          </w:p>
        </w:tc>
        <w:tc>
          <w:tcPr>
            <w:tcW w:w="966" w:type="dxa"/>
            <w:tcBorders>
              <w:top w:val="single" w:color="auto" w:sz="4" w:space="0"/>
              <w:left w:val="single" w:color="auto" w:sz="4" w:space="0"/>
              <w:bottom w:val="single" w:color="auto" w:sz="4" w:space="0"/>
              <w:right w:val="single" w:color="auto" w:sz="4" w:space="0"/>
            </w:tcBorders>
            <w:vAlign w:val="center"/>
          </w:tcPr>
          <w:p w14:paraId="75D62DBD">
            <w:pPr>
              <w:spacing w:line="360" w:lineRule="auto"/>
              <w:jc w:val="center"/>
              <w:rPr>
                <w:b/>
                <w:bCs/>
                <w:szCs w:val="22"/>
              </w:rPr>
            </w:pPr>
            <w:r>
              <w:rPr>
                <w:rFonts w:hint="eastAsia" w:ascii="宋体" w:hAnsi="宋体"/>
                <w:b/>
                <w:szCs w:val="22"/>
              </w:rPr>
              <w:t>2.</w:t>
            </w:r>
            <w:r>
              <w:rPr>
                <w:rFonts w:ascii="宋体" w:hAnsi="宋体"/>
                <w:b/>
                <w:szCs w:val="22"/>
              </w:rPr>
              <w:t>1</w:t>
            </w:r>
            <w:r>
              <w:rPr>
                <w:rFonts w:hint="eastAsia" w:ascii="宋体" w:hAnsi="宋体"/>
                <w:b/>
                <w:szCs w:val="22"/>
              </w:rPr>
              <w:t>.</w:t>
            </w:r>
            <w:r>
              <w:rPr>
                <w:rFonts w:ascii="宋体" w:hAnsi="宋体"/>
                <w:b/>
                <w:szCs w:val="22"/>
              </w:rPr>
              <w:t>4</w:t>
            </w:r>
            <w:r>
              <w:rPr>
                <w:rFonts w:hint="eastAsia" w:ascii="宋体" w:hAnsi="宋体"/>
                <w:b/>
                <w:szCs w:val="22"/>
              </w:rPr>
              <w:t>(</w:t>
            </w:r>
            <w:r>
              <w:rPr>
                <w:rFonts w:ascii="宋体" w:hAnsi="宋体"/>
                <w:b/>
                <w:szCs w:val="22"/>
              </w:rPr>
              <w:t>3</w:t>
            </w:r>
            <w:r>
              <w:rPr>
                <w:rFonts w:hint="eastAsia" w:ascii="宋体" w:hAnsi="宋体"/>
                <w:b/>
                <w:szCs w:val="22"/>
              </w:rPr>
              <w:t>)</w:t>
            </w:r>
          </w:p>
        </w:tc>
        <w:tc>
          <w:tcPr>
            <w:tcW w:w="967" w:type="dxa"/>
            <w:tcBorders>
              <w:top w:val="single" w:color="auto" w:sz="4" w:space="0"/>
              <w:left w:val="single" w:color="auto" w:sz="4" w:space="0"/>
              <w:bottom w:val="single" w:color="auto" w:sz="4" w:space="0"/>
              <w:right w:val="single" w:color="auto" w:sz="4" w:space="0"/>
            </w:tcBorders>
            <w:vAlign w:val="center"/>
          </w:tcPr>
          <w:p w14:paraId="5FAD7AD8">
            <w:pPr>
              <w:spacing w:line="360" w:lineRule="auto"/>
              <w:ind w:left="-18" w:leftChars="-8"/>
              <w:jc w:val="center"/>
              <w:rPr>
                <w:b/>
                <w:bCs/>
                <w:szCs w:val="22"/>
              </w:rPr>
            </w:pPr>
            <w:r>
              <w:rPr>
                <w:rFonts w:hint="eastAsia" w:ascii="宋体" w:hAnsi="宋体" w:cs="MingLiU"/>
                <w:b/>
                <w:kern w:val="0"/>
                <w:szCs w:val="22"/>
              </w:rPr>
              <w:t>低于成本评审</w:t>
            </w:r>
          </w:p>
        </w:tc>
        <w:tc>
          <w:tcPr>
            <w:tcW w:w="5897" w:type="dxa"/>
            <w:tcBorders>
              <w:top w:val="single" w:color="auto" w:sz="4" w:space="0"/>
              <w:left w:val="single" w:color="auto" w:sz="4" w:space="0"/>
              <w:bottom w:val="single" w:color="auto" w:sz="4" w:space="0"/>
              <w:right w:val="single" w:color="auto" w:sz="4" w:space="0"/>
            </w:tcBorders>
            <w:vAlign w:val="center"/>
          </w:tcPr>
          <w:p w14:paraId="519F302B">
            <w:pPr>
              <w:keepNext w:val="0"/>
              <w:keepLines w:val="0"/>
              <w:suppressLineNumbers w:val="0"/>
              <w:snapToGrid w:val="0"/>
              <w:spacing w:before="0" w:beforeAutospacing="0" w:after="0" w:afterAutospacing="0"/>
              <w:ind w:left="0" w:right="0"/>
              <w:jc w:val="left"/>
              <w:rPr>
                <w:rFonts w:hint="eastAsia" w:ascii="宋体" w:hAnsi="宋体" w:cs="宋体"/>
                <w:b/>
                <w:bCs/>
                <w:i w:val="0"/>
                <w:color w:val="08090C"/>
                <w:highlight w:val="none"/>
              </w:rPr>
            </w:pPr>
            <w:bookmarkStart w:id="163" w:name="OLE_LINK1"/>
            <w:r>
              <w:rPr>
                <w:rFonts w:hint="eastAsia" w:ascii="宋体" w:hAnsi="宋体" w:cs="宋体"/>
                <w:b/>
                <w:bCs/>
                <w:i w:val="0"/>
                <w:color w:val="08090C"/>
                <w:highlight w:val="none"/>
              </w:rPr>
              <w:t>评标委员会只对通过报价详细评审后的投标报价进行低于成本评审。</w:t>
            </w:r>
          </w:p>
          <w:p w14:paraId="77BEA2BB">
            <w:pPr>
              <w:keepNext w:val="0"/>
              <w:keepLines w:val="0"/>
              <w:suppressLineNumbers w:val="0"/>
              <w:snapToGrid w:val="0"/>
              <w:spacing w:before="0" w:beforeAutospacing="0" w:after="0" w:afterAutospacing="0"/>
              <w:ind w:left="0" w:right="0"/>
              <w:jc w:val="left"/>
              <w:rPr>
                <w:rFonts w:hint="eastAsia" w:ascii="宋体" w:hAnsi="宋体" w:cs="宋体"/>
                <w:b/>
                <w:bCs/>
                <w:i w:val="0"/>
                <w:color w:val="08090C"/>
                <w:highlight w:val="none"/>
              </w:rPr>
            </w:pPr>
            <w:r>
              <w:rPr>
                <w:rFonts w:hint="eastAsia" w:ascii="宋体" w:hAnsi="宋体" w:cs="宋体"/>
                <w:b/>
                <w:bCs/>
                <w:i w:val="0"/>
                <w:color w:val="08090C"/>
                <w:highlight w:val="none"/>
              </w:rPr>
              <w:t>一、低于成本评审的前提条件</w:t>
            </w:r>
          </w:p>
          <w:p w14:paraId="2A34A23F">
            <w:pPr>
              <w:keepNext w:val="0"/>
              <w:keepLines w:val="0"/>
              <w:suppressLineNumbers w:val="0"/>
              <w:snapToGrid w:val="0"/>
              <w:spacing w:before="0" w:beforeAutospacing="0" w:after="0" w:afterAutospacing="0"/>
              <w:ind w:left="0" w:right="0" w:firstLine="440" w:firstLineChars="20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当投标人投标报价中的评审价（评审价=算术修正后的投标总价-安全生产措施费-专业工程暂估价-暂列金额-创优质工程奖补偿奖励费，下同）满足下列情形之一时，评标委员会必须对投标人的投标报价是否低于成本进行评审：</w:t>
            </w:r>
          </w:p>
          <w:p w14:paraId="166C6010">
            <w:pPr>
              <w:keepNext w:val="0"/>
              <w:keepLines w:val="0"/>
              <w:suppressLineNumbers w:val="0"/>
              <w:snapToGrid w:val="0"/>
              <w:spacing w:before="0" w:beforeAutospacing="0" w:after="0" w:afterAutospacing="0"/>
              <w:ind w:left="0" w:right="0"/>
              <w:jc w:val="left"/>
              <w:rPr>
                <w:rFonts w:hint="eastAsia" w:ascii="宋体" w:hAnsi="宋体" w:cs="MingLiU"/>
                <w:b w:val="0"/>
                <w:bCs w:val="0"/>
                <w:i w:val="0"/>
                <w:color w:val="08090C"/>
                <w:highlight w:val="none"/>
              </w:rPr>
            </w:pPr>
            <w:r>
              <w:rPr>
                <w:rFonts w:hint="eastAsia" w:ascii="宋体" w:hAnsi="宋体" w:cs="宋体"/>
                <w:b w:val="0"/>
                <w:bCs w:val="0"/>
                <w:i w:val="0"/>
                <w:color w:val="08090C"/>
                <w:highlight w:val="none"/>
              </w:rPr>
              <w:t>（1）投标人的评审价金额与最高投标限价相应金额（最高投标限价相应金额=最高投标限价-安全生产措施费</w:t>
            </w:r>
            <w:r>
              <w:rPr>
                <w:rFonts w:hint="eastAsia" w:ascii="宋体" w:hAnsi="宋体" w:cs="MingLiU"/>
                <w:b w:val="0"/>
                <w:bCs w:val="0"/>
                <w:i w:val="0"/>
                <w:color w:val="08090C"/>
                <w:highlight w:val="none"/>
              </w:rPr>
              <w:t>-专业工程暂估价-暂列金额-创优质工程奖补偿奖励费，下同）的比值（比值＝投标报价中的评审价金额÷</w:t>
            </w:r>
            <w:r>
              <w:rPr>
                <w:rFonts w:hint="eastAsia" w:ascii="宋体" w:hAnsi="宋体" w:cs="宋体"/>
                <w:b w:val="0"/>
                <w:bCs w:val="0"/>
                <w:i w:val="0"/>
                <w:color w:val="08090C"/>
                <w:highlight w:val="none"/>
              </w:rPr>
              <w:t>最高投标限价</w:t>
            </w:r>
            <w:r>
              <w:rPr>
                <w:rFonts w:hint="eastAsia" w:ascii="宋体" w:hAnsi="宋体" w:cs="MingLiU"/>
                <w:b w:val="0"/>
                <w:bCs w:val="0"/>
                <w:i w:val="0"/>
                <w:color w:val="08090C"/>
                <w:highlight w:val="none"/>
              </w:rPr>
              <w:t>相应金额，四舍五入后保留两位小数）的百分数小于或等于85%。</w:t>
            </w:r>
          </w:p>
          <w:p w14:paraId="22E6524D">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2）投标报价中的评审价金额与最高投标限价相应金额的比值（比值＝投标报价中的评审价金额÷最高投标限价相应金额，四舍五入后保留两位小数）的百分数小于或等于90%时，且与所有投标人（指投标文件全部内容经过详细评审而未被否决的投标人）的评审价金额算术平均值的比值（四舍五入后保留两位小数）的百分数小于或等于95%。</w:t>
            </w:r>
          </w:p>
          <w:p w14:paraId="6B1E2C35">
            <w:pPr>
              <w:keepNext w:val="0"/>
              <w:keepLines w:val="0"/>
              <w:suppressLineNumbers w:val="0"/>
              <w:snapToGrid w:val="0"/>
              <w:spacing w:before="0" w:beforeAutospacing="0" w:after="0" w:afterAutospacing="0"/>
              <w:ind w:left="0" w:right="0" w:firstLine="0" w:firstLineChars="0"/>
              <w:jc w:val="left"/>
              <w:rPr>
                <w:rFonts w:hint="eastAsia" w:ascii="宋体" w:hAnsi="宋体" w:cs="宋体"/>
                <w:b w:val="0"/>
                <w:bCs w:val="0"/>
                <w:i w:val="0"/>
                <w:color w:val="08090C"/>
                <w:highlight w:val="none"/>
              </w:rPr>
            </w:pPr>
            <w:r>
              <w:rPr>
                <w:rFonts w:hint="eastAsia" w:ascii="宋体" w:hAnsi="宋体" w:cs="宋体"/>
                <w:b/>
                <w:bCs/>
                <w:i w:val="0"/>
                <w:color w:val="08090C"/>
                <w:highlight w:val="none"/>
              </w:rPr>
              <w:t>二、低于成本评审的程序</w:t>
            </w:r>
          </w:p>
          <w:p w14:paraId="5918CC8B">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（1）评审及询问：</w:t>
            </w:r>
          </w:p>
          <w:p w14:paraId="67944739">
            <w:pPr>
              <w:keepNext w:val="0"/>
              <w:keepLines w:val="0"/>
              <w:suppressLineNumbers w:val="0"/>
              <w:snapToGrid w:val="0"/>
              <w:spacing w:before="0" w:beforeAutospacing="0" w:after="0" w:afterAutospacing="0"/>
              <w:ind w:left="0" w:right="0" w:firstLine="440" w:firstLineChars="20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评标委员会应对满足评审条件的投标报价（包括低价说明内容）进行分析，并可根据分析情况和评审需要向投标人提出询问。</w:t>
            </w:r>
          </w:p>
          <w:p w14:paraId="3B00F1FA">
            <w:pPr>
              <w:keepNext w:val="0"/>
              <w:keepLines w:val="0"/>
              <w:suppressLineNumbers w:val="0"/>
              <w:snapToGrid w:val="0"/>
              <w:spacing w:before="0" w:beforeAutospacing="0" w:after="0" w:afterAutospacing="0"/>
              <w:ind w:left="0" w:right="0" w:firstLine="440" w:firstLineChars="20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评标委员会对投标人的询问必须以书面形式进行，投标人对询问的答复、澄清、解释均采用书面形式，并由投标人的法定代表人或其授权的代理人签字或签章。</w:t>
            </w:r>
          </w:p>
          <w:p w14:paraId="666DE467">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评标委员会只能对投标报价中的相关问题向投标人提出询问并要求作出必要的澄清或说明，但澄清或说明不得超出投标文件的范围或改变投标文件的实质性内容。</w:t>
            </w:r>
          </w:p>
          <w:p w14:paraId="150D71CB">
            <w:pPr>
              <w:keepNext w:val="0"/>
              <w:keepLines w:val="0"/>
              <w:suppressLineNumbers w:val="0"/>
              <w:snapToGrid w:val="0"/>
              <w:spacing w:before="0" w:beforeAutospacing="0" w:after="0" w:afterAutospacing="0"/>
              <w:ind w:left="0" w:right="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（2）评估及判断：</w:t>
            </w:r>
          </w:p>
          <w:p w14:paraId="46A42B2E">
            <w:pPr>
              <w:keepNext w:val="0"/>
              <w:keepLines w:val="0"/>
              <w:suppressLineNumbers w:val="0"/>
              <w:snapToGrid w:val="0"/>
              <w:spacing w:before="0" w:beforeAutospacing="0" w:after="0" w:afterAutospacing="0"/>
              <w:ind w:left="0" w:right="0" w:firstLine="440" w:firstLineChars="20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 xml:space="preserve">评标委员会通过对投标报价（包括低价说明内容）及投标人的答复进行分析、论证，评估，并按照下列方式判断投标人是否低于成本报价竞标。  </w:t>
            </w:r>
          </w:p>
          <w:p w14:paraId="4F0EED7A">
            <w:pPr>
              <w:keepNext w:val="0"/>
              <w:keepLines w:val="0"/>
              <w:suppressLineNumbers w:val="0"/>
              <w:snapToGrid w:val="0"/>
              <w:spacing w:before="0" w:beforeAutospacing="0" w:after="0" w:afterAutospacing="0"/>
              <w:ind w:left="0" w:right="0" w:firstLine="440" w:firstLineChars="20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①评标委员会经过对投标报价（包括低价说明内容）的分析、论证、评估，认为其投标报价不合理、不可行的，应认定该投标人以低于成本报价竞标；</w:t>
            </w:r>
          </w:p>
          <w:p w14:paraId="1FC4AF36">
            <w:pPr>
              <w:keepNext w:val="0"/>
              <w:keepLines w:val="0"/>
              <w:suppressLineNumbers w:val="0"/>
              <w:snapToGrid w:val="0"/>
              <w:spacing w:before="0" w:beforeAutospacing="0" w:after="0" w:afterAutospacing="0"/>
              <w:ind w:left="0" w:right="0" w:firstLine="440" w:firstLineChars="20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②投标人对评标委员会提出的询问不能说明理由或评标委员会经评审认为其理由不能成立的，应认定该投标人以低于成本报价竞标。</w:t>
            </w:r>
          </w:p>
          <w:p w14:paraId="35B49921">
            <w:pPr>
              <w:keepNext w:val="0"/>
              <w:keepLines w:val="0"/>
              <w:suppressLineNumbers w:val="0"/>
              <w:snapToGrid w:val="0"/>
              <w:spacing w:before="0" w:beforeAutospacing="0" w:after="0" w:afterAutospacing="0"/>
              <w:ind w:left="0" w:right="0" w:firstLine="440" w:firstLineChars="200"/>
              <w:jc w:val="left"/>
              <w:rPr>
                <w:rFonts w:hint="eastAsia" w:ascii="宋体" w:hAnsi="宋体" w:cs="宋体"/>
                <w:b w:val="0"/>
                <w:bCs w:val="0"/>
                <w:i w:val="0"/>
                <w:color w:val="08090C"/>
                <w:highlight w:val="none"/>
              </w:rPr>
            </w:pPr>
            <w:r>
              <w:rPr>
                <w:rFonts w:hint="eastAsia" w:ascii="宋体" w:hAnsi="宋体" w:cs="宋体"/>
                <w:b w:val="0"/>
                <w:bCs w:val="0"/>
                <w:i w:val="0"/>
                <w:color w:val="08090C"/>
                <w:highlight w:val="none"/>
              </w:rPr>
              <w:t>③投标人对评标委员会提出的询问拒绝回复，或回复没有法定代表人或其授权的代理人签字或签章的，应认定该投标人以低于成本报价竞标。</w:t>
            </w:r>
          </w:p>
          <w:p w14:paraId="2A389F89">
            <w:pPr>
              <w:keepNext w:val="0"/>
              <w:keepLines w:val="0"/>
              <w:suppressLineNumbers w:val="0"/>
              <w:snapToGrid w:val="0"/>
              <w:spacing w:before="0" w:beforeAutospacing="0" w:after="0" w:afterAutospacing="0"/>
              <w:ind w:left="0" w:right="0"/>
              <w:jc w:val="left"/>
              <w:rPr>
                <w:rFonts w:hint="eastAsia" w:ascii="宋体" w:hAnsi="宋体" w:cs="宋体"/>
                <w:b/>
                <w:bCs/>
                <w:i w:val="0"/>
                <w:color w:val="08090C"/>
                <w:highlight w:val="none"/>
              </w:rPr>
            </w:pPr>
            <w:r>
              <w:rPr>
                <w:rFonts w:hint="eastAsia" w:ascii="宋体" w:hAnsi="宋体" w:cs="宋体"/>
                <w:b/>
                <w:bCs/>
                <w:i w:val="0"/>
                <w:color w:val="08090C"/>
                <w:highlight w:val="none"/>
              </w:rPr>
              <w:t>三、被判定为低于成本竞标的投标报价，评标委员会应否决其投标。</w:t>
            </w:r>
          </w:p>
          <w:p w14:paraId="5A9B9CC8">
            <w:pPr>
              <w:snapToGrid w:val="0"/>
              <w:spacing w:line="240" w:lineRule="auto"/>
              <w:rPr>
                <w:rFonts w:hint="eastAsia" w:ascii="宋体" w:hAnsi="宋体" w:cs="宋体"/>
                <w:b/>
                <w:bCs/>
                <w:i w:val="0"/>
                <w:color w:val="08090C"/>
                <w:highlight w:val="none"/>
              </w:rPr>
            </w:pPr>
            <w:r>
              <w:rPr>
                <w:rFonts w:hint="eastAsia" w:ascii="宋体" w:hAnsi="宋体" w:cs="宋体"/>
                <w:b/>
                <w:bCs/>
                <w:i w:val="0"/>
                <w:color w:val="08090C"/>
                <w:highlight w:val="none"/>
              </w:rPr>
              <w:t>四、对满足低于成本评审条件的投标报价，评标委员会经评审认为其不低于成本的，应当书面说明理由，评标委员会成员应当签字并承担相应法律责任。</w:t>
            </w:r>
          </w:p>
          <w:p w14:paraId="61C1E97C">
            <w:pPr>
              <w:snapToGrid w:val="0"/>
              <w:spacing w:line="240" w:lineRule="auto"/>
              <w:ind w:firstLine="0" w:firstLineChars="0"/>
              <w:rPr>
                <w:b/>
                <w:bCs/>
                <w:szCs w:val="22"/>
              </w:rPr>
            </w:pPr>
            <w:r>
              <w:rPr>
                <w:rFonts w:hint="eastAsia" w:ascii="宋体" w:hAnsi="宋体" w:cs="宋体"/>
                <w:b/>
                <w:bCs/>
                <w:i w:val="0"/>
                <w:color w:val="08090C"/>
                <w:highlight w:val="none"/>
              </w:rPr>
              <w:t>五、</w:t>
            </w:r>
            <w:bookmarkEnd w:id="163"/>
            <w:r>
              <w:rPr>
                <w:rFonts w:hint="eastAsia" w:ascii="宋体" w:hAnsi="宋体" w:cs="宋体"/>
                <w:b/>
                <w:bCs/>
                <w:i w:val="0"/>
                <w:color w:val="08090C"/>
                <w:highlight w:val="none"/>
                <w:lang w:val="en-US" w:eastAsia="zh-CN"/>
              </w:rPr>
              <w:t>当评标委员会的评审意见发生分歧时，以超过半数成员的意见作为判定的依据。</w:t>
            </w:r>
          </w:p>
        </w:tc>
      </w:tr>
      <w:tr w14:paraId="1A226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80" w:type="dxa"/>
            <w:gridSpan w:val="3"/>
            <w:tcBorders>
              <w:bottom w:val="single" w:color="auto" w:sz="4" w:space="0"/>
              <w:right w:val="single" w:color="auto" w:sz="4" w:space="0"/>
            </w:tcBorders>
            <w:vAlign w:val="center"/>
          </w:tcPr>
          <w:p w14:paraId="187D1B14">
            <w:pPr>
              <w:pStyle w:val="10"/>
              <w:spacing w:line="23" w:lineRule="atLeast"/>
              <w:ind w:left="0"/>
              <w:jc w:val="center"/>
              <w:rPr>
                <w:szCs w:val="22"/>
              </w:rPr>
            </w:pPr>
            <w:r>
              <w:rPr>
                <w:szCs w:val="22"/>
              </w:rPr>
              <w:t>2.2.1</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51B5F729">
            <w:pPr>
              <w:pStyle w:val="10"/>
              <w:spacing w:line="23" w:lineRule="atLeast"/>
              <w:ind w:left="0"/>
              <w:jc w:val="center"/>
              <w:rPr>
                <w:szCs w:val="22"/>
              </w:rPr>
            </w:pPr>
            <w:r>
              <w:rPr>
                <w:szCs w:val="22"/>
              </w:rPr>
              <w:t>分值构成</w:t>
            </w:r>
          </w:p>
          <w:p w14:paraId="4A7F3C25">
            <w:pPr>
              <w:pStyle w:val="10"/>
              <w:spacing w:line="23" w:lineRule="atLeast"/>
              <w:ind w:left="0"/>
              <w:jc w:val="center"/>
              <w:rPr>
                <w:szCs w:val="22"/>
              </w:rPr>
            </w:pPr>
            <w:r>
              <w:rPr>
                <w:szCs w:val="22"/>
              </w:rPr>
              <w:t>(总分100分)</w:t>
            </w:r>
          </w:p>
        </w:tc>
        <w:tc>
          <w:tcPr>
            <w:tcW w:w="5897" w:type="dxa"/>
            <w:tcBorders>
              <w:top w:val="single" w:color="auto" w:sz="4" w:space="0"/>
              <w:left w:val="single" w:color="auto" w:sz="4" w:space="0"/>
              <w:bottom w:val="single" w:color="auto" w:sz="4" w:space="0"/>
              <w:right w:val="single" w:color="auto" w:sz="4" w:space="0"/>
            </w:tcBorders>
            <w:vAlign w:val="center"/>
          </w:tcPr>
          <w:p w14:paraId="152CD5C9">
            <w:pPr>
              <w:pStyle w:val="10"/>
              <w:spacing w:line="23" w:lineRule="atLeast"/>
              <w:ind w:left="0"/>
              <w:rPr>
                <w:szCs w:val="22"/>
              </w:rPr>
            </w:pPr>
            <w:r>
              <w:rPr>
                <w:szCs w:val="22"/>
              </w:rPr>
              <w:t>施工组织设计：</w:t>
            </w:r>
            <w:r>
              <w:rPr>
                <w:szCs w:val="22"/>
                <w:u w:val="single"/>
              </w:rPr>
              <w:t xml:space="preserve">       </w:t>
            </w:r>
            <w:r>
              <w:rPr>
                <w:szCs w:val="22"/>
              </w:rPr>
              <w:t>分</w:t>
            </w:r>
            <w:r>
              <w:rPr>
                <w:rFonts w:hint="eastAsia"/>
                <w:color w:val="FF0000"/>
                <w:szCs w:val="22"/>
              </w:rPr>
              <w:t>（5-20）</w:t>
            </w:r>
          </w:p>
          <w:p w14:paraId="683B6D30">
            <w:pPr>
              <w:pStyle w:val="10"/>
              <w:spacing w:line="23" w:lineRule="atLeast"/>
              <w:ind w:left="0"/>
              <w:rPr>
                <w:szCs w:val="22"/>
              </w:rPr>
            </w:pPr>
            <w:r>
              <w:rPr>
                <w:szCs w:val="22"/>
              </w:rPr>
              <w:t>项目管理机构：</w:t>
            </w:r>
            <w:r>
              <w:rPr>
                <w:szCs w:val="22"/>
                <w:u w:val="single"/>
              </w:rPr>
              <w:t xml:space="preserve">      </w:t>
            </w:r>
            <w:r>
              <w:rPr>
                <w:szCs w:val="22"/>
              </w:rPr>
              <w:t xml:space="preserve"> 分</w:t>
            </w:r>
            <w:r>
              <w:rPr>
                <w:rFonts w:hint="eastAsia"/>
                <w:color w:val="FF0000"/>
                <w:szCs w:val="22"/>
              </w:rPr>
              <w:t>（5-</w:t>
            </w:r>
            <w:r>
              <w:rPr>
                <w:rFonts w:hint="eastAsia"/>
                <w:color w:val="FF0000"/>
                <w:szCs w:val="22"/>
                <w:lang w:val="en-US" w:eastAsia="zh-CN"/>
              </w:rPr>
              <w:t>15</w:t>
            </w:r>
            <w:r>
              <w:rPr>
                <w:rFonts w:hint="eastAsia"/>
                <w:color w:val="FF0000"/>
                <w:szCs w:val="22"/>
              </w:rPr>
              <w:t>）</w:t>
            </w:r>
          </w:p>
          <w:p w14:paraId="1D62CFB5">
            <w:pPr>
              <w:pStyle w:val="10"/>
              <w:spacing w:line="23" w:lineRule="atLeast"/>
              <w:ind w:left="0"/>
              <w:rPr>
                <w:szCs w:val="22"/>
              </w:rPr>
            </w:pPr>
            <w:r>
              <w:rPr>
                <w:szCs w:val="22"/>
              </w:rPr>
              <w:t>投标报价：</w:t>
            </w:r>
            <w:r>
              <w:rPr>
                <w:szCs w:val="22"/>
                <w:u w:val="single"/>
              </w:rPr>
              <w:t xml:space="preserve">           </w:t>
            </w:r>
            <w:r>
              <w:rPr>
                <w:szCs w:val="22"/>
              </w:rPr>
              <w:t>分</w:t>
            </w:r>
            <w:r>
              <w:rPr>
                <w:rFonts w:hint="eastAsia"/>
                <w:color w:val="FF0000"/>
                <w:szCs w:val="22"/>
              </w:rPr>
              <w:t>（不低于60分）</w:t>
            </w:r>
          </w:p>
          <w:p w14:paraId="690BD116">
            <w:pPr>
              <w:pStyle w:val="10"/>
              <w:spacing w:line="23" w:lineRule="atLeast"/>
              <w:ind w:left="0"/>
              <w:rPr>
                <w:szCs w:val="22"/>
              </w:rPr>
            </w:pPr>
            <w:r>
              <w:rPr>
                <w:szCs w:val="22"/>
              </w:rPr>
              <w:t>其他评分因素：</w:t>
            </w:r>
            <w:r>
              <w:rPr>
                <w:szCs w:val="22"/>
                <w:u w:val="single"/>
              </w:rPr>
              <w:t xml:space="preserve">       </w:t>
            </w:r>
            <w:r>
              <w:rPr>
                <w:szCs w:val="22"/>
              </w:rPr>
              <w:t>分</w:t>
            </w:r>
            <w:r>
              <w:rPr>
                <w:rFonts w:hint="eastAsia"/>
                <w:color w:val="FF0000"/>
                <w:szCs w:val="22"/>
              </w:rPr>
              <w:t>（0-1</w:t>
            </w:r>
            <w:r>
              <w:rPr>
                <w:rFonts w:hint="eastAsia"/>
                <w:color w:val="FF0000"/>
                <w:szCs w:val="22"/>
                <w:lang w:val="en-US" w:eastAsia="zh-CN"/>
              </w:rPr>
              <w:t>5</w:t>
            </w:r>
            <w:r>
              <w:rPr>
                <w:rFonts w:hint="eastAsia"/>
                <w:color w:val="FF0000"/>
                <w:szCs w:val="22"/>
              </w:rPr>
              <w:t>）</w:t>
            </w:r>
          </w:p>
        </w:tc>
      </w:tr>
      <w:tr w14:paraId="03AEE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80" w:type="dxa"/>
            <w:gridSpan w:val="3"/>
            <w:tcBorders>
              <w:top w:val="single" w:color="auto" w:sz="4" w:space="0"/>
              <w:bottom w:val="single" w:color="auto" w:sz="4" w:space="0"/>
              <w:right w:val="single" w:color="auto" w:sz="4" w:space="0"/>
            </w:tcBorders>
            <w:vAlign w:val="center"/>
          </w:tcPr>
          <w:p w14:paraId="02F9F40F">
            <w:pPr>
              <w:pStyle w:val="10"/>
              <w:spacing w:line="23" w:lineRule="atLeast"/>
              <w:ind w:left="0"/>
              <w:jc w:val="center"/>
              <w:rPr>
                <w:szCs w:val="22"/>
              </w:rPr>
            </w:pPr>
            <w:r>
              <w:rPr>
                <w:szCs w:val="22"/>
              </w:rPr>
              <w:t>2.2.2</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30BCC7A5">
            <w:pPr>
              <w:pStyle w:val="10"/>
              <w:spacing w:line="23" w:lineRule="atLeast"/>
              <w:ind w:left="0"/>
              <w:jc w:val="center"/>
              <w:rPr>
                <w:szCs w:val="22"/>
              </w:rPr>
            </w:pPr>
            <w:r>
              <w:rPr>
                <w:szCs w:val="22"/>
              </w:rPr>
              <w:t>评标基准价计算</w:t>
            </w:r>
            <w:r>
              <w:rPr>
                <w:rFonts w:hint="eastAsia"/>
                <w:szCs w:val="22"/>
              </w:rPr>
              <w:t>方法</w:t>
            </w:r>
          </w:p>
        </w:tc>
        <w:tc>
          <w:tcPr>
            <w:tcW w:w="5897" w:type="dxa"/>
            <w:tcBorders>
              <w:top w:val="single" w:color="auto" w:sz="4" w:space="0"/>
              <w:left w:val="single" w:color="auto" w:sz="4" w:space="0"/>
              <w:bottom w:val="single" w:color="auto" w:sz="4" w:space="0"/>
              <w:right w:val="single" w:color="auto" w:sz="4" w:space="0"/>
            </w:tcBorders>
            <w:vAlign w:val="center"/>
          </w:tcPr>
          <w:p w14:paraId="368FF944">
            <w:pPr>
              <w:pStyle w:val="10"/>
              <w:spacing w:line="23" w:lineRule="atLeast"/>
              <w:ind w:left="0"/>
              <w:rPr>
                <w:szCs w:val="22"/>
              </w:rPr>
            </w:pPr>
            <w:r>
              <w:rPr>
                <w:szCs w:val="22"/>
              </w:rPr>
              <w:t>采用下列</w:t>
            </w:r>
            <w:r>
              <w:rPr>
                <w:szCs w:val="22"/>
                <w:u w:val="single"/>
              </w:rPr>
              <w:t xml:space="preserve">   </w:t>
            </w:r>
            <w:r>
              <w:rPr>
                <w:szCs w:val="22"/>
              </w:rPr>
              <w:t xml:space="preserve">方式： </w:t>
            </w:r>
          </w:p>
          <w:p w14:paraId="4E6D0831">
            <w:pPr>
              <w:pStyle w:val="10"/>
              <w:spacing w:line="23" w:lineRule="atLeast"/>
              <w:ind w:left="0"/>
              <w:rPr>
                <w:szCs w:val="22"/>
              </w:rPr>
            </w:pPr>
            <w:r>
              <w:rPr>
                <w:b/>
                <w:bCs/>
                <w:szCs w:val="22"/>
              </w:rPr>
              <w:t>A方式：</w:t>
            </w:r>
            <w:r>
              <w:rPr>
                <w:szCs w:val="22"/>
              </w:rPr>
              <w:t>采用</w:t>
            </w:r>
            <w:r>
              <w:rPr>
                <w:rFonts w:hint="eastAsia"/>
                <w:szCs w:val="22"/>
              </w:rPr>
              <w:t>合格投标人</w:t>
            </w:r>
            <w:r>
              <w:rPr>
                <w:szCs w:val="22"/>
              </w:rPr>
              <w:t>报价（经初步评审合格且不低于成本的投标报价；报价有修正的，以修正后的价格为准）中最低报价</w:t>
            </w:r>
            <w:r>
              <w:rPr>
                <w:rFonts w:hint="eastAsia"/>
                <w:szCs w:val="22"/>
              </w:rPr>
              <w:t>的评审价</w:t>
            </w:r>
            <w:r>
              <w:rPr>
                <w:szCs w:val="22"/>
              </w:rPr>
              <w:t>为评标基准价，计算公式为：</w:t>
            </w:r>
          </w:p>
          <w:p w14:paraId="1BC94279">
            <w:pPr>
              <w:pStyle w:val="10"/>
              <w:spacing w:line="23" w:lineRule="atLeast"/>
              <w:ind w:left="0"/>
              <w:rPr>
                <w:szCs w:val="22"/>
              </w:rPr>
            </w:pPr>
            <w:r>
              <w:rPr>
                <w:szCs w:val="22"/>
              </w:rPr>
              <w:t>S（评标基准价）=</w:t>
            </w:r>
            <w:r>
              <w:rPr>
                <w:rFonts w:hint="eastAsia"/>
                <w:szCs w:val="22"/>
                <w:lang w:eastAsia="zh-CN"/>
              </w:rPr>
              <w:t>a</w:t>
            </w:r>
            <w:r>
              <w:rPr>
                <w:rFonts w:hint="eastAsia"/>
                <w:szCs w:val="22"/>
                <w:vertAlign w:val="subscript"/>
                <w:lang w:eastAsia="zh-CN"/>
              </w:rPr>
              <w:t>min</w:t>
            </w:r>
            <w:r>
              <w:rPr>
                <w:szCs w:val="22"/>
              </w:rPr>
              <w:t>，a</w:t>
            </w:r>
            <w:r>
              <w:rPr>
                <w:szCs w:val="22"/>
                <w:vertAlign w:val="subscript"/>
              </w:rPr>
              <w:t>min</w:t>
            </w:r>
            <w:r>
              <w:rPr>
                <w:szCs w:val="22"/>
              </w:rPr>
              <w:t>为有效的最低投标报价的评审价。</w:t>
            </w:r>
          </w:p>
          <w:p w14:paraId="5841AF24">
            <w:pPr>
              <w:pStyle w:val="10"/>
              <w:spacing w:line="23" w:lineRule="atLeast"/>
              <w:ind w:left="0"/>
              <w:rPr>
                <w:szCs w:val="22"/>
              </w:rPr>
            </w:pPr>
            <w:r>
              <w:rPr>
                <w:b/>
                <w:bCs/>
                <w:szCs w:val="22"/>
              </w:rPr>
              <w:t>B方式：</w:t>
            </w:r>
            <w:r>
              <w:rPr>
                <w:szCs w:val="22"/>
              </w:rPr>
              <w:t>采用</w:t>
            </w:r>
            <w:r>
              <w:rPr>
                <w:rFonts w:hint="eastAsia"/>
                <w:szCs w:val="22"/>
              </w:rPr>
              <w:t>合格投标人</w:t>
            </w:r>
            <w:r>
              <w:rPr>
                <w:szCs w:val="22"/>
              </w:rPr>
              <w:t>报价（经初步评审合格且不低于成本的投标报价；报价有修正的，以修正后的价格为准）</w:t>
            </w:r>
            <w:r>
              <w:rPr>
                <w:rFonts w:hint="eastAsia"/>
                <w:szCs w:val="22"/>
              </w:rPr>
              <w:t>的评审价的</w:t>
            </w:r>
            <w:r>
              <w:rPr>
                <w:szCs w:val="22"/>
              </w:rPr>
              <w:t>算术平均值为评标基准价，计算公式为：</w:t>
            </w:r>
          </w:p>
          <w:p w14:paraId="2D6E68B7">
            <w:pPr>
              <w:pStyle w:val="10"/>
              <w:spacing w:line="23" w:lineRule="atLeast"/>
              <w:ind w:left="0"/>
              <w:rPr>
                <w:szCs w:val="22"/>
              </w:rPr>
            </w:pPr>
            <w:r>
              <w:rPr>
                <w:szCs w:val="22"/>
              </w:rPr>
              <w:t>S（评标基准价）=（a</w:t>
            </w:r>
            <w:r>
              <w:rPr>
                <w:szCs w:val="22"/>
                <w:vertAlign w:val="subscript"/>
              </w:rPr>
              <w:t>1</w:t>
            </w:r>
            <w:r>
              <w:rPr>
                <w:szCs w:val="22"/>
              </w:rPr>
              <w:t xml:space="preserve"> +……+a</w:t>
            </w:r>
            <w:r>
              <w:rPr>
                <w:szCs w:val="22"/>
                <w:vertAlign w:val="subscript"/>
              </w:rPr>
              <w:t>n</w:t>
            </w:r>
            <w:r>
              <w:rPr>
                <w:szCs w:val="22"/>
              </w:rPr>
              <w:t>）/n，a 为有效的投标报价的评审价。</w:t>
            </w:r>
          </w:p>
          <w:p w14:paraId="2ADBBD98">
            <w:pPr>
              <w:pStyle w:val="10"/>
              <w:spacing w:line="23" w:lineRule="atLeast"/>
              <w:ind w:left="0"/>
              <w:rPr>
                <w:rFonts w:hint="default"/>
                <w:szCs w:val="22"/>
                <w:lang w:val="en-US" w:eastAsia="zh-CN"/>
              </w:rPr>
            </w:pPr>
            <w:r>
              <w:rPr>
                <w:rFonts w:hint="eastAsia"/>
                <w:b/>
                <w:bCs/>
                <w:szCs w:val="22"/>
                <w:lang w:val="en-US" w:eastAsia="zh-CN"/>
              </w:rPr>
              <w:t>C</w:t>
            </w:r>
            <w:r>
              <w:rPr>
                <w:rFonts w:hint="eastAsia"/>
                <w:szCs w:val="22"/>
                <w:lang w:val="en-US" w:eastAsia="zh-CN"/>
              </w:rPr>
              <w:t>方式：</w:t>
            </w:r>
            <w:r>
              <w:rPr>
                <w:szCs w:val="22"/>
                <w:u w:val="single"/>
              </w:rPr>
              <w:t xml:space="preserve">                 </w:t>
            </w:r>
            <w:r>
              <w:rPr>
                <w:szCs w:val="22"/>
              </w:rPr>
              <w:t>（招标人合理设定的其他方式）。</w:t>
            </w:r>
          </w:p>
        </w:tc>
      </w:tr>
      <w:tr w14:paraId="26C54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80" w:type="dxa"/>
            <w:gridSpan w:val="3"/>
            <w:tcBorders>
              <w:top w:val="nil"/>
              <w:bottom w:val="single" w:color="auto" w:sz="4" w:space="0"/>
              <w:right w:val="single" w:color="auto" w:sz="4" w:space="0"/>
            </w:tcBorders>
            <w:vAlign w:val="center"/>
          </w:tcPr>
          <w:p w14:paraId="17817295">
            <w:pPr>
              <w:pStyle w:val="10"/>
              <w:spacing w:line="23" w:lineRule="atLeast"/>
              <w:ind w:left="0"/>
              <w:jc w:val="center"/>
              <w:rPr>
                <w:b/>
                <w:bCs/>
                <w:szCs w:val="22"/>
              </w:rPr>
            </w:pPr>
            <w:r>
              <w:rPr>
                <w:b/>
                <w:bCs/>
                <w:szCs w:val="22"/>
              </w:rPr>
              <w:t>条款号</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34E6D5AE">
            <w:pPr>
              <w:pStyle w:val="10"/>
              <w:spacing w:line="23" w:lineRule="atLeast"/>
              <w:ind w:left="0"/>
              <w:jc w:val="center"/>
              <w:rPr>
                <w:b/>
                <w:bCs/>
                <w:szCs w:val="22"/>
              </w:rPr>
            </w:pPr>
            <w:r>
              <w:rPr>
                <w:b/>
                <w:bCs/>
                <w:szCs w:val="22"/>
              </w:rPr>
              <w:t>评分因素</w:t>
            </w:r>
          </w:p>
        </w:tc>
        <w:tc>
          <w:tcPr>
            <w:tcW w:w="5897" w:type="dxa"/>
            <w:tcBorders>
              <w:top w:val="single" w:color="auto" w:sz="4" w:space="0"/>
              <w:left w:val="single" w:color="auto" w:sz="4" w:space="0"/>
              <w:bottom w:val="single" w:color="auto" w:sz="4" w:space="0"/>
              <w:right w:val="single" w:color="auto" w:sz="4" w:space="0"/>
            </w:tcBorders>
            <w:vAlign w:val="center"/>
          </w:tcPr>
          <w:p w14:paraId="7F3D55A9">
            <w:pPr>
              <w:pStyle w:val="10"/>
              <w:spacing w:line="23" w:lineRule="atLeast"/>
              <w:ind w:left="0"/>
              <w:jc w:val="center"/>
              <w:rPr>
                <w:b/>
                <w:bCs/>
                <w:szCs w:val="22"/>
              </w:rPr>
            </w:pPr>
            <w:r>
              <w:rPr>
                <w:b/>
                <w:bCs/>
                <w:szCs w:val="22"/>
              </w:rPr>
              <w:t>评分标准</w:t>
            </w:r>
          </w:p>
        </w:tc>
      </w:tr>
      <w:tr w14:paraId="71F4F9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vAlign w:val="center"/>
          </w:tcPr>
          <w:p w14:paraId="36E1015B">
            <w:pPr>
              <w:pStyle w:val="10"/>
              <w:spacing w:line="23" w:lineRule="atLeast"/>
              <w:ind w:left="0"/>
              <w:jc w:val="center"/>
              <w:rPr>
                <w:szCs w:val="22"/>
              </w:rPr>
            </w:pPr>
            <w:r>
              <w:rPr>
                <w:szCs w:val="22"/>
              </w:rPr>
              <w:t>2.2.</w:t>
            </w:r>
            <w:r>
              <w:rPr>
                <w:rFonts w:hint="eastAsia"/>
                <w:szCs w:val="22"/>
                <w:lang w:val="en-US" w:eastAsia="zh-CN"/>
              </w:rPr>
              <w:t>3</w:t>
            </w:r>
            <w:r>
              <w:rPr>
                <w:rFonts w:hint="eastAsia"/>
                <w:szCs w:val="22"/>
              </w:rPr>
              <w:t>（</w:t>
            </w:r>
            <w:r>
              <w:rPr>
                <w:szCs w:val="22"/>
              </w:rPr>
              <w:t>1</w:t>
            </w:r>
            <w:r>
              <w:rPr>
                <w:rFonts w:hint="eastAsia"/>
                <w:szCs w:val="22"/>
              </w:rPr>
              <w:t>）</w:t>
            </w:r>
          </w:p>
        </w:tc>
        <w:tc>
          <w:tcPr>
            <w:tcW w:w="1080" w:type="dxa"/>
            <w:gridSpan w:val="2"/>
            <w:vMerge w:val="restart"/>
            <w:tcBorders>
              <w:top w:val="single" w:color="auto" w:sz="4" w:space="0"/>
              <w:right w:val="single" w:color="auto" w:sz="4" w:space="0"/>
            </w:tcBorders>
            <w:vAlign w:val="center"/>
          </w:tcPr>
          <w:p w14:paraId="6D1A8BE7">
            <w:pPr>
              <w:pStyle w:val="10"/>
              <w:spacing w:line="23" w:lineRule="atLeast"/>
              <w:ind w:left="0"/>
              <w:jc w:val="center"/>
              <w:rPr>
                <w:szCs w:val="22"/>
              </w:rPr>
            </w:pPr>
            <w:r>
              <w:rPr>
                <w:szCs w:val="22"/>
              </w:rPr>
              <w:t>施工组织设计评分标准</w:t>
            </w:r>
          </w:p>
          <w:p w14:paraId="08C3461F">
            <w:pPr>
              <w:pStyle w:val="10"/>
              <w:spacing w:line="23" w:lineRule="atLeast"/>
              <w:ind w:left="0"/>
              <w:jc w:val="center"/>
              <w:rPr>
                <w:szCs w:val="22"/>
              </w:rPr>
            </w:pPr>
            <w:r>
              <w:rPr>
                <w:rFonts w:hint="eastAsia"/>
                <w:szCs w:val="22"/>
              </w:rPr>
              <w:t>（  分）</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294F129">
            <w:pPr>
              <w:pStyle w:val="10"/>
              <w:spacing w:line="23" w:lineRule="atLeast"/>
              <w:ind w:left="0"/>
              <w:jc w:val="center"/>
              <w:rPr>
                <w:szCs w:val="22"/>
              </w:rPr>
            </w:pPr>
            <w:r>
              <w:rPr>
                <w:rFonts w:hint="eastAsia"/>
                <w:szCs w:val="22"/>
              </w:rPr>
              <w:t xml:space="preserve">□施工方案与技术措施内容（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56DCCA91">
            <w:pPr>
              <w:pStyle w:val="10"/>
              <w:spacing w:line="23" w:lineRule="atLeast"/>
              <w:ind w:left="0"/>
              <w:jc w:val="center"/>
              <w:rPr>
                <w:szCs w:val="22"/>
              </w:rPr>
            </w:pPr>
            <w:r>
              <w:rPr>
                <w:szCs w:val="22"/>
              </w:rPr>
              <w:t>……</w:t>
            </w:r>
          </w:p>
        </w:tc>
      </w:tr>
      <w:tr w14:paraId="44F3F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2F251471">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1387131B">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760FA0D6">
            <w:pPr>
              <w:pStyle w:val="10"/>
              <w:spacing w:line="23" w:lineRule="atLeast"/>
              <w:ind w:left="0"/>
              <w:jc w:val="center"/>
              <w:rPr>
                <w:szCs w:val="22"/>
              </w:rPr>
            </w:pPr>
            <w:r>
              <w:rPr>
                <w:rFonts w:hint="eastAsia"/>
                <w:szCs w:val="22"/>
              </w:rPr>
              <w:t xml:space="preserve">□质量、安全、进度、环境保护管理体系与措施（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585946A3">
            <w:pPr>
              <w:pStyle w:val="10"/>
              <w:spacing w:line="23" w:lineRule="atLeast"/>
              <w:ind w:left="0"/>
              <w:jc w:val="center"/>
              <w:rPr>
                <w:szCs w:val="22"/>
              </w:rPr>
            </w:pPr>
            <w:r>
              <w:rPr>
                <w:szCs w:val="22"/>
              </w:rPr>
              <w:t>……</w:t>
            </w:r>
          </w:p>
        </w:tc>
      </w:tr>
      <w:tr w14:paraId="7944B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3B7B46E4">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728CC417">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1F15FF4A">
            <w:pPr>
              <w:pStyle w:val="10"/>
              <w:spacing w:line="23" w:lineRule="atLeast"/>
              <w:ind w:left="0"/>
              <w:jc w:val="center"/>
              <w:rPr>
                <w:szCs w:val="22"/>
              </w:rPr>
            </w:pPr>
            <w:r>
              <w:rPr>
                <w:rFonts w:hint="eastAsia"/>
                <w:szCs w:val="22"/>
              </w:rPr>
              <w:t xml:space="preserve">□资源配备计划（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1C7B81CB">
            <w:pPr>
              <w:pStyle w:val="10"/>
              <w:spacing w:line="23" w:lineRule="atLeast"/>
              <w:ind w:left="0"/>
              <w:jc w:val="center"/>
              <w:rPr>
                <w:szCs w:val="22"/>
              </w:rPr>
            </w:pPr>
            <w:r>
              <w:rPr>
                <w:szCs w:val="22"/>
              </w:rPr>
              <w:t>……</w:t>
            </w:r>
          </w:p>
        </w:tc>
      </w:tr>
      <w:tr w14:paraId="0594A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2BB606E5">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76F78FEA">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1874699">
            <w:pPr>
              <w:pStyle w:val="10"/>
              <w:spacing w:line="23" w:lineRule="atLeast"/>
              <w:ind w:left="0"/>
              <w:jc w:val="center"/>
              <w:rPr>
                <w:szCs w:val="22"/>
              </w:rPr>
            </w:pPr>
            <w:r>
              <w:rPr>
                <w:rFonts w:hint="eastAsia"/>
                <w:szCs w:val="22"/>
              </w:rPr>
              <w:t xml:space="preserve">□施工重点、难点分析（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09651E64">
            <w:pPr>
              <w:pStyle w:val="10"/>
              <w:spacing w:line="23" w:lineRule="atLeast"/>
              <w:ind w:left="0"/>
              <w:jc w:val="center"/>
              <w:rPr>
                <w:szCs w:val="22"/>
              </w:rPr>
            </w:pPr>
            <w:r>
              <w:rPr>
                <w:szCs w:val="22"/>
              </w:rPr>
              <w:t>……</w:t>
            </w:r>
          </w:p>
        </w:tc>
      </w:tr>
      <w:tr w14:paraId="6F854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66B3453B">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53F70C91">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1BC79166">
            <w:pPr>
              <w:pStyle w:val="10"/>
              <w:spacing w:line="23" w:lineRule="atLeast"/>
              <w:ind w:left="0"/>
              <w:jc w:val="center"/>
              <w:rPr>
                <w:szCs w:val="22"/>
              </w:rPr>
            </w:pPr>
            <w:r>
              <w:rPr>
                <w:rFonts w:hint="eastAsia"/>
                <w:szCs w:val="22"/>
              </w:rPr>
              <w:t xml:space="preserve">□新技术、新材料、新工艺应用情况与措施（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6CF666DE">
            <w:pPr>
              <w:pStyle w:val="10"/>
              <w:spacing w:line="23" w:lineRule="atLeast"/>
              <w:ind w:left="0"/>
              <w:jc w:val="center"/>
              <w:rPr>
                <w:szCs w:val="22"/>
              </w:rPr>
            </w:pPr>
            <w:r>
              <w:rPr>
                <w:szCs w:val="22"/>
              </w:rPr>
              <w:t>……</w:t>
            </w:r>
          </w:p>
        </w:tc>
      </w:tr>
      <w:tr w14:paraId="4B062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367BFE1E">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2F17C715">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E04E08">
            <w:pPr>
              <w:pStyle w:val="10"/>
              <w:spacing w:line="23" w:lineRule="atLeast"/>
              <w:ind w:left="0" w:leftChars="0"/>
              <w:jc w:val="center"/>
              <w:rPr>
                <w:rFonts w:hint="eastAsia" w:ascii="宋体" w:hAnsi="宋体" w:eastAsia="宋体" w:cstheme="minorBidi"/>
                <w:kern w:val="2"/>
                <w:sz w:val="22"/>
                <w:szCs w:val="22"/>
                <w:lang w:val="en-US" w:eastAsia="zh-CN" w:bidi="ar-SA"/>
              </w:rPr>
            </w:pPr>
            <w:r>
              <w:rPr>
                <w:szCs w:val="22"/>
              </w:rPr>
              <w:t>……</w:t>
            </w:r>
          </w:p>
        </w:tc>
        <w:tc>
          <w:tcPr>
            <w:tcW w:w="5897" w:type="dxa"/>
            <w:tcBorders>
              <w:top w:val="single" w:color="auto" w:sz="4" w:space="0"/>
              <w:left w:val="single" w:color="auto" w:sz="4" w:space="0"/>
              <w:bottom w:val="single" w:color="auto" w:sz="4" w:space="0"/>
              <w:right w:val="single" w:color="auto" w:sz="4" w:space="0"/>
            </w:tcBorders>
            <w:shd w:val="clear" w:color="auto" w:fill="auto"/>
            <w:vAlign w:val="center"/>
          </w:tcPr>
          <w:p w14:paraId="41EDFE87">
            <w:pPr>
              <w:pStyle w:val="10"/>
              <w:spacing w:line="23" w:lineRule="atLeast"/>
              <w:ind w:left="0" w:leftChars="0"/>
              <w:jc w:val="center"/>
              <w:rPr>
                <w:rFonts w:ascii="宋体" w:hAnsi="宋体" w:eastAsia="宋体" w:cstheme="minorBidi"/>
                <w:kern w:val="2"/>
                <w:sz w:val="22"/>
                <w:szCs w:val="22"/>
                <w:lang w:val="en-US" w:eastAsia="zh-CN" w:bidi="ar-SA"/>
              </w:rPr>
            </w:pPr>
            <w:r>
              <w:rPr>
                <w:szCs w:val="22"/>
              </w:rPr>
              <w:t>……</w:t>
            </w:r>
          </w:p>
        </w:tc>
      </w:tr>
      <w:tr w14:paraId="0AAAA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900" w:type="dxa"/>
            <w:vMerge w:val="continue"/>
            <w:tcBorders>
              <w:bottom w:val="single" w:color="auto" w:sz="4" w:space="0"/>
              <w:right w:val="single" w:color="auto" w:sz="4" w:space="0"/>
            </w:tcBorders>
            <w:vAlign w:val="center"/>
          </w:tcPr>
          <w:p w14:paraId="2F567255">
            <w:pPr>
              <w:pStyle w:val="10"/>
              <w:spacing w:line="23" w:lineRule="atLeast"/>
              <w:ind w:left="0"/>
              <w:jc w:val="center"/>
              <w:rPr>
                <w:szCs w:val="22"/>
              </w:rPr>
            </w:pPr>
          </w:p>
        </w:tc>
        <w:tc>
          <w:tcPr>
            <w:tcW w:w="1080" w:type="dxa"/>
            <w:gridSpan w:val="2"/>
            <w:vMerge w:val="continue"/>
            <w:tcBorders>
              <w:bottom w:val="single" w:color="auto" w:sz="4" w:space="0"/>
              <w:right w:val="single" w:color="auto" w:sz="4" w:space="0"/>
            </w:tcBorders>
            <w:vAlign w:val="center"/>
          </w:tcPr>
          <w:p w14:paraId="3D16B794">
            <w:pPr>
              <w:pStyle w:val="10"/>
              <w:spacing w:line="23" w:lineRule="atLeast"/>
              <w:ind w:left="0"/>
              <w:jc w:val="center"/>
              <w:rPr>
                <w:szCs w:val="22"/>
              </w:rPr>
            </w:pPr>
          </w:p>
        </w:tc>
        <w:tc>
          <w:tcPr>
            <w:tcW w:w="7830" w:type="dxa"/>
            <w:gridSpan w:val="3"/>
            <w:tcBorders>
              <w:top w:val="single" w:color="auto" w:sz="4" w:space="0"/>
              <w:left w:val="single" w:color="auto" w:sz="4" w:space="0"/>
              <w:bottom w:val="single" w:color="auto" w:sz="4" w:space="0"/>
              <w:right w:val="single" w:color="auto" w:sz="4" w:space="0"/>
            </w:tcBorders>
            <w:vAlign w:val="center"/>
          </w:tcPr>
          <w:p w14:paraId="467C81DA">
            <w:pPr>
              <w:jc w:val="both"/>
              <w:rPr>
                <w:rFonts w:hint="eastAsia"/>
                <w:color w:val="FF0000"/>
                <w:sz w:val="22"/>
                <w:szCs w:val="22"/>
              </w:rPr>
            </w:pPr>
            <w:r>
              <w:rPr>
                <w:rFonts w:hint="eastAsia"/>
                <w:color w:val="FF0000"/>
                <w:sz w:val="22"/>
                <w:szCs w:val="22"/>
              </w:rPr>
              <w:t>注：</w:t>
            </w:r>
            <w:r>
              <w:rPr>
                <w:rFonts w:hint="eastAsia"/>
                <w:color w:val="FF0000"/>
                <w:sz w:val="22"/>
                <w:szCs w:val="22"/>
                <w:lang w:val="en-US" w:eastAsia="zh-CN"/>
              </w:rPr>
              <w:t>1、</w:t>
            </w:r>
            <w:r>
              <w:rPr>
                <w:rFonts w:hint="eastAsia"/>
                <w:color w:val="FF0000"/>
                <w:sz w:val="22"/>
                <w:szCs w:val="22"/>
              </w:rPr>
              <w:t>组织勘察、设计等单位在“安全管理体系与措施”中列出危大工程清单，施工单位在投标时补充完善危大工程清单并明确相应的安全管理措施。</w:t>
            </w:r>
          </w:p>
          <w:p w14:paraId="2964C16D">
            <w:pPr>
              <w:keepNext w:val="0"/>
              <w:keepLines w:val="0"/>
              <w:pageBreakBefore w:val="0"/>
              <w:widowControl w:val="0"/>
              <w:kinsoku/>
              <w:wordWrap/>
              <w:overflowPunct/>
              <w:topLinePunct w:val="0"/>
              <w:autoSpaceDE/>
              <w:autoSpaceDN/>
              <w:bidi w:val="0"/>
              <w:adjustRightInd/>
              <w:snapToGrid/>
              <w:ind w:right="0" w:rightChars="0"/>
              <w:jc w:val="both"/>
              <w:textAlignment w:val="auto"/>
              <w:rPr>
                <w:rFonts w:hint="default" w:ascii="宋体" w:hAnsi="宋体" w:eastAsia="宋体" w:cs="Times New Roman"/>
                <w:color w:val="FF0000"/>
                <w:sz w:val="22"/>
                <w:szCs w:val="22"/>
                <w:lang w:val="en-US" w:eastAsia="zh-CN" w:bidi="ar-SA"/>
              </w:rPr>
            </w:pPr>
            <w:r>
              <w:rPr>
                <w:rFonts w:hint="eastAsia" w:ascii="宋体" w:hAnsi="宋体" w:cs="Times New Roman"/>
                <w:color w:val="FF0000"/>
                <w:sz w:val="22"/>
                <w:szCs w:val="22"/>
                <w:lang w:val="en-US" w:eastAsia="zh-CN" w:bidi="ar-SA"/>
              </w:rPr>
              <w:t>（以下暗标需选择）</w:t>
            </w:r>
          </w:p>
          <w:p w14:paraId="1D9B6E56">
            <w:pPr>
              <w:spacing w:line="240" w:lineRule="auto"/>
              <w:jc w:val="both"/>
              <w:rPr>
                <w:rFonts w:hint="eastAsia" w:ascii="宋体" w:hAnsi="宋体" w:eastAsia="宋体" w:cs="宋体"/>
                <w:sz w:val="21"/>
                <w:szCs w:val="21"/>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2、监理大纲投标文件篇幅控制在</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页以内，每超过1页扣</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分，扣完为止。</w:t>
            </w:r>
          </w:p>
          <w:p w14:paraId="17E6C3B3">
            <w:pPr>
              <w:spacing w:line="240" w:lineRule="auto"/>
              <w:jc w:val="both"/>
              <w:rPr>
                <w:rFonts w:hint="eastAsia" w:ascii="宋体" w:hAnsi="宋体" w:eastAsia="宋体" w:cs="宋体"/>
                <w:sz w:val="21"/>
                <w:szCs w:val="21"/>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3、监理大纲投标文件不符合投标人须知6.3.1要求的，记0分。</w:t>
            </w:r>
          </w:p>
          <w:p w14:paraId="550F846F">
            <w:pPr>
              <w:spacing w:line="240" w:lineRule="auto"/>
              <w:jc w:val="both"/>
              <w:rPr>
                <w:rFonts w:hint="eastAsia" w:ascii="宋体" w:hAnsi="宋体" w:eastAsia="宋体" w:cs="宋体"/>
                <w:sz w:val="21"/>
                <w:szCs w:val="21"/>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4、监理大纲采用暗标方式进行评审的，主观评审部分不允许回退修改分数。</w:t>
            </w:r>
          </w:p>
          <w:p w14:paraId="6276C041">
            <w:pPr>
              <w:jc w:val="both"/>
              <w:rPr>
                <w:rFonts w:hint="eastAsia" w:ascii="宋体" w:hAnsi="宋体" w:eastAsia="宋体" w:cs="宋体"/>
                <w:sz w:val="21"/>
                <w:szCs w:val="21"/>
              </w:rPr>
            </w:pPr>
            <w:r>
              <w:rPr>
                <w:rFonts w:hint="eastAsia" w:ascii="宋体" w:hAnsi="宋体" w:eastAsia="宋体" w:cs="Times New Roman"/>
                <w:sz w:val="22"/>
                <w:szCs w:val="22"/>
                <w:lang w:val="en-US" w:eastAsia="en-US" w:bidi="ar-SA"/>
              </w:rPr>
              <w:t>□</w:t>
            </w:r>
            <w:r>
              <w:rPr>
                <w:rFonts w:hint="eastAsia" w:ascii="宋体" w:hAnsi="宋体" w:eastAsia="宋体" w:cs="宋体"/>
                <w:sz w:val="21"/>
                <w:szCs w:val="21"/>
              </w:rPr>
              <w:t>5、暗标编码和暗标记录由电子交易系统生成，在评标委员会全体成员均完成暗标部分评审并对评审结果进行汇总和签章确认后，电子交易系统向评标委员会公布暗标记录。</w:t>
            </w:r>
          </w:p>
          <w:p w14:paraId="0AD14F5A">
            <w:pPr>
              <w:jc w:val="both"/>
              <w:rPr>
                <w:rFonts w:hint="eastAsia" w:ascii="宋体" w:hAnsi="宋体" w:eastAsia="宋体" w:cs="宋体"/>
                <w:sz w:val="21"/>
                <w:szCs w:val="21"/>
              </w:rPr>
            </w:pPr>
            <w:r>
              <w:rPr>
                <w:rFonts w:hint="eastAsia" w:ascii="宋体" w:hAnsi="宋体" w:eastAsia="宋体" w:cs="宋体"/>
                <w:sz w:val="21"/>
                <w:szCs w:val="21"/>
              </w:rPr>
              <w:t xml:space="preserve">评分标准设置原则：按照各投标单位方案优劣分为“优、良、一般、差、无”5等，“优”得最高分，“无”得0分。 </w:t>
            </w:r>
          </w:p>
        </w:tc>
      </w:tr>
      <w:tr w14:paraId="718C4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6" w:hRule="atLeast"/>
          <w:jc w:val="center"/>
        </w:trPr>
        <w:tc>
          <w:tcPr>
            <w:tcW w:w="900" w:type="dxa"/>
            <w:vMerge w:val="restart"/>
            <w:tcBorders>
              <w:right w:val="single" w:color="auto" w:sz="4" w:space="0"/>
            </w:tcBorders>
            <w:vAlign w:val="center"/>
          </w:tcPr>
          <w:p w14:paraId="58A26D70">
            <w:pPr>
              <w:pStyle w:val="10"/>
              <w:spacing w:line="23" w:lineRule="atLeast"/>
              <w:ind w:left="0"/>
              <w:jc w:val="center"/>
              <w:rPr>
                <w:rFonts w:hint="eastAsia" w:eastAsia="宋体"/>
                <w:szCs w:val="22"/>
                <w:lang w:eastAsia="zh-CN"/>
              </w:rPr>
            </w:pPr>
            <w:r>
              <w:rPr>
                <w:szCs w:val="22"/>
              </w:rPr>
              <w:t>2.2.</w:t>
            </w:r>
            <w:r>
              <w:rPr>
                <w:rFonts w:hint="eastAsia"/>
                <w:szCs w:val="22"/>
                <w:lang w:val="en-US" w:eastAsia="zh-CN"/>
              </w:rPr>
              <w:t>3</w:t>
            </w:r>
          </w:p>
          <w:p w14:paraId="7172AA19">
            <w:pPr>
              <w:pStyle w:val="10"/>
              <w:spacing w:line="23" w:lineRule="atLeast"/>
              <w:ind w:left="0"/>
              <w:jc w:val="center"/>
              <w:rPr>
                <w:szCs w:val="22"/>
              </w:rPr>
            </w:pPr>
            <w:r>
              <w:rPr>
                <w:rFonts w:hint="eastAsia"/>
                <w:szCs w:val="22"/>
              </w:rPr>
              <w:t>（</w:t>
            </w:r>
            <w:r>
              <w:rPr>
                <w:szCs w:val="22"/>
              </w:rPr>
              <w:t>2</w:t>
            </w:r>
            <w:r>
              <w:rPr>
                <w:rFonts w:hint="eastAsia"/>
                <w:szCs w:val="22"/>
              </w:rPr>
              <w:t>）</w:t>
            </w:r>
          </w:p>
        </w:tc>
        <w:tc>
          <w:tcPr>
            <w:tcW w:w="1080" w:type="dxa"/>
            <w:gridSpan w:val="2"/>
            <w:vMerge w:val="restart"/>
            <w:tcBorders>
              <w:right w:val="single" w:color="auto" w:sz="4" w:space="0"/>
            </w:tcBorders>
            <w:vAlign w:val="center"/>
          </w:tcPr>
          <w:p w14:paraId="691AED95">
            <w:pPr>
              <w:pStyle w:val="10"/>
              <w:spacing w:line="23" w:lineRule="atLeast"/>
              <w:ind w:left="0"/>
              <w:jc w:val="center"/>
              <w:rPr>
                <w:szCs w:val="22"/>
              </w:rPr>
            </w:pPr>
            <w:r>
              <w:rPr>
                <w:szCs w:val="22"/>
              </w:rPr>
              <w:t>项目管理机构评分标准</w:t>
            </w:r>
            <w:r>
              <w:rPr>
                <w:rFonts w:hint="eastAsia"/>
                <w:szCs w:val="22"/>
              </w:rPr>
              <w:t>（  分）</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6807BDA">
            <w:pPr>
              <w:pStyle w:val="10"/>
              <w:spacing w:line="23" w:lineRule="atLeast"/>
              <w:ind w:left="0"/>
              <w:jc w:val="center"/>
              <w:rPr>
                <w:szCs w:val="22"/>
              </w:rPr>
            </w:pPr>
            <w:r>
              <w:rPr>
                <w:rFonts w:hint="eastAsia"/>
                <w:szCs w:val="22"/>
              </w:rPr>
              <w:t>□</w:t>
            </w:r>
            <w:r>
              <w:rPr>
                <w:szCs w:val="22"/>
              </w:rPr>
              <w:t>项目经理任职资格与业绩</w:t>
            </w:r>
            <w:r>
              <w:rPr>
                <w:rFonts w:hint="eastAsia"/>
                <w:szCs w:val="22"/>
              </w:rPr>
              <w:t xml:space="preserve">（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52546561">
            <w:pPr>
              <w:pStyle w:val="10"/>
              <w:spacing w:line="23" w:lineRule="atLeast"/>
              <w:ind w:left="0"/>
              <w:jc w:val="center"/>
              <w:rPr>
                <w:szCs w:val="22"/>
              </w:rPr>
            </w:pPr>
            <w:r>
              <w:rPr>
                <w:szCs w:val="22"/>
              </w:rPr>
              <w:t>……</w:t>
            </w:r>
          </w:p>
        </w:tc>
      </w:tr>
      <w:tr w14:paraId="7F777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7" w:hRule="atLeast"/>
          <w:jc w:val="center"/>
        </w:trPr>
        <w:tc>
          <w:tcPr>
            <w:tcW w:w="900" w:type="dxa"/>
            <w:vMerge w:val="continue"/>
            <w:tcBorders>
              <w:right w:val="single" w:color="auto" w:sz="4" w:space="0"/>
            </w:tcBorders>
            <w:vAlign w:val="center"/>
          </w:tcPr>
          <w:p w14:paraId="3FEBEDB0">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3FB6A864">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0ABE60B4">
            <w:pPr>
              <w:pStyle w:val="10"/>
              <w:spacing w:line="23" w:lineRule="atLeast"/>
              <w:ind w:left="0"/>
              <w:jc w:val="center"/>
              <w:rPr>
                <w:szCs w:val="22"/>
              </w:rPr>
            </w:pPr>
            <w:r>
              <w:rPr>
                <w:rFonts w:hint="eastAsia"/>
                <w:szCs w:val="22"/>
              </w:rPr>
              <w:t>□</w:t>
            </w:r>
            <w:r>
              <w:rPr>
                <w:szCs w:val="22"/>
              </w:rPr>
              <w:t>其他主要人员</w:t>
            </w:r>
            <w:r>
              <w:rPr>
                <w:rFonts w:hint="eastAsia"/>
                <w:szCs w:val="22"/>
              </w:rPr>
              <w:t xml:space="preserve">（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1A9CE36A">
            <w:pPr>
              <w:pStyle w:val="10"/>
              <w:spacing w:line="23" w:lineRule="atLeast"/>
              <w:ind w:left="0"/>
              <w:jc w:val="center"/>
              <w:rPr>
                <w:szCs w:val="22"/>
              </w:rPr>
            </w:pPr>
            <w:r>
              <w:rPr>
                <w:szCs w:val="22"/>
              </w:rPr>
              <w:t>……</w:t>
            </w:r>
          </w:p>
        </w:tc>
      </w:tr>
      <w:tr w14:paraId="25003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jc w:val="center"/>
        </w:trPr>
        <w:tc>
          <w:tcPr>
            <w:tcW w:w="900" w:type="dxa"/>
            <w:vMerge w:val="continue"/>
            <w:tcBorders>
              <w:right w:val="single" w:color="auto" w:sz="4" w:space="0"/>
            </w:tcBorders>
            <w:vAlign w:val="center"/>
          </w:tcPr>
          <w:p w14:paraId="52B3FA30">
            <w:pPr>
              <w:pStyle w:val="10"/>
              <w:spacing w:line="23" w:lineRule="atLeast"/>
              <w:ind w:left="0"/>
              <w:jc w:val="center"/>
              <w:rPr>
                <w:szCs w:val="22"/>
              </w:rPr>
            </w:pPr>
          </w:p>
        </w:tc>
        <w:tc>
          <w:tcPr>
            <w:tcW w:w="1080" w:type="dxa"/>
            <w:gridSpan w:val="2"/>
            <w:vMerge w:val="continue"/>
            <w:tcBorders>
              <w:right w:val="single" w:color="auto" w:sz="4" w:space="0"/>
            </w:tcBorders>
            <w:vAlign w:val="center"/>
          </w:tcPr>
          <w:p w14:paraId="2836F3B9">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395C73FA">
            <w:pPr>
              <w:pStyle w:val="10"/>
              <w:spacing w:line="23" w:lineRule="atLeast"/>
              <w:ind w:left="0"/>
              <w:jc w:val="center"/>
              <w:rPr>
                <w:szCs w:val="22"/>
              </w:rPr>
            </w:pPr>
            <w:r>
              <w:rPr>
                <w:szCs w:val="22"/>
              </w:rPr>
              <w:t>……</w:t>
            </w:r>
          </w:p>
        </w:tc>
        <w:tc>
          <w:tcPr>
            <w:tcW w:w="5897" w:type="dxa"/>
            <w:tcBorders>
              <w:top w:val="single" w:color="auto" w:sz="4" w:space="0"/>
              <w:left w:val="single" w:color="auto" w:sz="4" w:space="0"/>
              <w:bottom w:val="single" w:color="auto" w:sz="4" w:space="0"/>
              <w:right w:val="single" w:color="auto" w:sz="4" w:space="0"/>
            </w:tcBorders>
            <w:vAlign w:val="center"/>
          </w:tcPr>
          <w:p w14:paraId="304AD2C3">
            <w:pPr>
              <w:pStyle w:val="10"/>
              <w:spacing w:line="23" w:lineRule="atLeast"/>
              <w:ind w:left="0"/>
              <w:jc w:val="center"/>
              <w:rPr>
                <w:szCs w:val="22"/>
              </w:rPr>
            </w:pPr>
            <w:r>
              <w:rPr>
                <w:szCs w:val="22"/>
              </w:rPr>
              <w:t>……</w:t>
            </w:r>
          </w:p>
        </w:tc>
      </w:tr>
      <w:tr w14:paraId="687F7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jc w:val="center"/>
        </w:trPr>
        <w:tc>
          <w:tcPr>
            <w:tcW w:w="900" w:type="dxa"/>
            <w:vMerge w:val="continue"/>
            <w:tcBorders>
              <w:bottom w:val="single" w:color="auto" w:sz="4" w:space="0"/>
              <w:right w:val="single" w:color="auto" w:sz="4" w:space="0"/>
            </w:tcBorders>
            <w:vAlign w:val="center"/>
          </w:tcPr>
          <w:p w14:paraId="12F342B6">
            <w:pPr>
              <w:pStyle w:val="10"/>
              <w:spacing w:line="23" w:lineRule="atLeast"/>
              <w:ind w:left="0"/>
              <w:jc w:val="center"/>
              <w:rPr>
                <w:szCs w:val="22"/>
              </w:rPr>
            </w:pPr>
          </w:p>
        </w:tc>
        <w:tc>
          <w:tcPr>
            <w:tcW w:w="1080" w:type="dxa"/>
            <w:gridSpan w:val="2"/>
            <w:vMerge w:val="continue"/>
            <w:tcBorders>
              <w:bottom w:val="single" w:color="auto" w:sz="4" w:space="0"/>
              <w:right w:val="single" w:color="auto" w:sz="4" w:space="0"/>
            </w:tcBorders>
            <w:vAlign w:val="center"/>
          </w:tcPr>
          <w:p w14:paraId="3A6847AB">
            <w:pPr>
              <w:pStyle w:val="10"/>
              <w:spacing w:line="23" w:lineRule="atLeast"/>
              <w:ind w:left="0"/>
              <w:jc w:val="center"/>
              <w:rPr>
                <w:szCs w:val="22"/>
              </w:rPr>
            </w:pPr>
          </w:p>
        </w:tc>
        <w:tc>
          <w:tcPr>
            <w:tcW w:w="7830" w:type="dxa"/>
            <w:gridSpan w:val="3"/>
            <w:tcBorders>
              <w:top w:val="single" w:color="auto" w:sz="4" w:space="0"/>
              <w:left w:val="single" w:color="auto" w:sz="4" w:space="0"/>
              <w:bottom w:val="single" w:color="auto" w:sz="4" w:space="0"/>
              <w:right w:val="single" w:color="auto" w:sz="4" w:space="0"/>
            </w:tcBorders>
            <w:vAlign w:val="center"/>
          </w:tcPr>
          <w:p w14:paraId="37D8B772">
            <w:pPr>
              <w:pStyle w:val="10"/>
              <w:keepNext w:val="0"/>
              <w:keepLines w:val="0"/>
              <w:pageBreakBefore w:val="0"/>
              <w:widowControl w:val="0"/>
              <w:kinsoku/>
              <w:wordWrap/>
              <w:overflowPunct/>
              <w:topLinePunct w:val="0"/>
              <w:autoSpaceDE/>
              <w:autoSpaceDN/>
              <w:bidi w:val="0"/>
              <w:adjustRightInd/>
              <w:snapToGrid/>
              <w:spacing w:before="0" w:after="0" w:line="240" w:lineRule="auto"/>
              <w:ind w:left="0"/>
              <w:jc w:val="left"/>
              <w:textAlignment w:val="auto"/>
              <w:rPr>
                <w:rFonts w:hint="eastAsia"/>
                <w:color w:val="FF0000"/>
                <w:szCs w:val="22"/>
              </w:rPr>
            </w:pPr>
            <w:r>
              <w:rPr>
                <w:rFonts w:hint="eastAsia"/>
                <w:color w:val="FF0000"/>
                <w:szCs w:val="22"/>
              </w:rPr>
              <w:t xml:space="preserve">评分标准： </w:t>
            </w:r>
          </w:p>
          <w:p w14:paraId="25FF5992">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0" w:firstLineChars="0"/>
              <w:jc w:val="left"/>
              <w:textAlignment w:val="auto"/>
              <w:rPr>
                <w:rFonts w:hint="eastAsia"/>
                <w:color w:val="FF0000"/>
                <w:szCs w:val="22"/>
              </w:rPr>
            </w:pPr>
            <w:r>
              <w:rPr>
                <w:rFonts w:hint="eastAsia"/>
                <w:color w:val="FF0000"/>
                <w:szCs w:val="22"/>
              </w:rPr>
              <w:t xml:space="preserve">项目经理具有本项目相关专业职称的，可设置加分项（职称证书所要求的专业必须对应本项目所属的专业资质类别）。人员类似业绩可设置加分项。 </w:t>
            </w:r>
          </w:p>
          <w:p w14:paraId="6F228E18">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0" w:firstLineChars="0"/>
              <w:jc w:val="left"/>
              <w:textAlignment w:val="auto"/>
              <w:rPr>
                <w:rFonts w:hint="eastAsia"/>
                <w:color w:val="FF0000"/>
                <w:szCs w:val="22"/>
              </w:rPr>
            </w:pPr>
            <w:r>
              <w:rPr>
                <w:rFonts w:hint="eastAsia"/>
                <w:color w:val="FF0000"/>
                <w:szCs w:val="22"/>
              </w:rPr>
              <w:t xml:space="preserve">技术负责人具有职称证书的可设置加分项，职称证书所要求的专业必须对应本项目所属工作的专业资质类别。人员类似业绩可设置加分项。 </w:t>
            </w:r>
          </w:p>
          <w:p w14:paraId="0FDBA6EC">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0" w:firstLineChars="0"/>
              <w:jc w:val="left"/>
              <w:textAlignment w:val="auto"/>
              <w:rPr>
                <w:rFonts w:hint="eastAsia"/>
                <w:color w:val="FF0000"/>
                <w:szCs w:val="22"/>
              </w:rPr>
            </w:pPr>
            <w:r>
              <w:rPr>
                <w:rFonts w:hint="eastAsia"/>
                <w:color w:val="FF0000"/>
                <w:szCs w:val="22"/>
              </w:rPr>
              <w:t xml:space="preserve">按照项目班子其他配备情况分为“优、良、一般、差、无”5等，“优”得最高分，“无”得0分。 </w:t>
            </w:r>
          </w:p>
          <w:p w14:paraId="400C5B72">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0" w:firstLineChars="0"/>
              <w:jc w:val="left"/>
              <w:textAlignment w:val="auto"/>
              <w:rPr>
                <w:rFonts w:hint="eastAsia"/>
                <w:color w:val="FF0000"/>
                <w:szCs w:val="22"/>
              </w:rPr>
            </w:pPr>
            <w:r>
              <w:rPr>
                <w:rFonts w:hint="eastAsia"/>
                <w:color w:val="FF0000"/>
                <w:szCs w:val="22"/>
              </w:rPr>
              <w:t xml:space="preserve">项目经理任职资格与类似业绩评分权重应该最高。 </w:t>
            </w:r>
          </w:p>
          <w:p w14:paraId="46AB5C75">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0" w:firstLineChars="0"/>
              <w:jc w:val="left"/>
              <w:textAlignment w:val="auto"/>
              <w:rPr>
                <w:szCs w:val="22"/>
              </w:rPr>
            </w:pPr>
            <w:r>
              <w:rPr>
                <w:rFonts w:hint="eastAsia"/>
                <w:color w:val="FF0000"/>
                <w:szCs w:val="22"/>
              </w:rPr>
              <w:t>类似业绩指标仅限于工程</w:t>
            </w:r>
            <w:r>
              <w:rPr>
                <w:rFonts w:hint="eastAsia"/>
                <w:color w:val="FF0000"/>
                <w:szCs w:val="22"/>
                <w:lang w:eastAsia="zh-CN"/>
              </w:rPr>
              <w:t>规模</w:t>
            </w:r>
            <w:r>
              <w:rPr>
                <w:rFonts w:hint="eastAsia"/>
                <w:color w:val="FF0000"/>
                <w:szCs w:val="22"/>
              </w:rPr>
              <w:t xml:space="preserve">、结构形式、施工工艺等方面，且应符合本次工程招标的内容。类似业绩中设置的投资额、面积、长度等规模性量化指标不得高于本次招标工程的相应指标。 </w:t>
            </w:r>
          </w:p>
        </w:tc>
      </w:tr>
      <w:tr w14:paraId="3D174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745"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9C74682">
            <w:pPr>
              <w:pStyle w:val="10"/>
              <w:spacing w:line="23" w:lineRule="atLeast"/>
              <w:ind w:left="0"/>
              <w:jc w:val="center"/>
              <w:rPr>
                <w:szCs w:val="22"/>
              </w:rPr>
            </w:pPr>
            <w:r>
              <w:rPr>
                <w:szCs w:val="22"/>
              </w:rPr>
              <w:t>2.2.</w:t>
            </w:r>
            <w:r>
              <w:rPr>
                <w:rFonts w:hint="eastAsia"/>
                <w:szCs w:val="22"/>
                <w:lang w:val="en-US" w:eastAsia="zh-CN"/>
              </w:rPr>
              <w:t>3</w:t>
            </w:r>
            <w:r>
              <w:rPr>
                <w:rFonts w:hint="eastAsia"/>
                <w:szCs w:val="22"/>
              </w:rPr>
              <w:t>（</w:t>
            </w:r>
            <w:r>
              <w:rPr>
                <w:szCs w:val="22"/>
              </w:rPr>
              <w:t>3</w:t>
            </w:r>
            <w:r>
              <w:rPr>
                <w:rFonts w:hint="eastAsia"/>
                <w:szCs w:val="22"/>
              </w:rPr>
              <w:t>）</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BC38284">
            <w:pPr>
              <w:pStyle w:val="10"/>
              <w:spacing w:line="23" w:lineRule="atLeast"/>
              <w:ind w:left="0"/>
              <w:jc w:val="center"/>
              <w:rPr>
                <w:szCs w:val="22"/>
              </w:rPr>
            </w:pPr>
            <w:r>
              <w:rPr>
                <w:szCs w:val="22"/>
              </w:rPr>
              <w:t>投标报价评分标准</w:t>
            </w:r>
            <w:r>
              <w:rPr>
                <w:rFonts w:hint="eastAsia"/>
                <w:szCs w:val="22"/>
              </w:rPr>
              <w:t>（  分）</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3345A22">
            <w:pPr>
              <w:pStyle w:val="10"/>
              <w:spacing w:line="23" w:lineRule="atLeast"/>
              <w:ind w:left="0"/>
              <w:jc w:val="center"/>
              <w:rPr>
                <w:szCs w:val="22"/>
              </w:rPr>
            </w:pPr>
            <w:r>
              <w:rPr>
                <w:szCs w:val="22"/>
              </w:rPr>
              <w:t>偏差率</w:t>
            </w:r>
          </w:p>
        </w:tc>
        <w:tc>
          <w:tcPr>
            <w:tcW w:w="5897" w:type="dxa"/>
            <w:tcBorders>
              <w:top w:val="single" w:color="auto" w:sz="4" w:space="0"/>
              <w:left w:val="single" w:color="auto" w:sz="4" w:space="0"/>
              <w:bottom w:val="single" w:color="auto" w:sz="4" w:space="0"/>
              <w:right w:val="single" w:color="auto" w:sz="4" w:space="0"/>
            </w:tcBorders>
          </w:tcPr>
          <w:p w14:paraId="23D63C1E">
            <w:pPr>
              <w:pStyle w:val="10"/>
              <w:spacing w:line="23" w:lineRule="atLeast"/>
              <w:ind w:left="0"/>
              <w:rPr>
                <w:rFonts w:hint="eastAsia"/>
                <w:szCs w:val="22"/>
              </w:rPr>
            </w:pPr>
            <w:r>
              <w:rPr>
                <w:rFonts w:hint="eastAsia"/>
                <w:szCs w:val="22"/>
              </w:rPr>
              <w:t>偏差率=100%×︱（投标评审价-评标基准价）︱/评标基准价</w:t>
            </w:r>
          </w:p>
          <w:p w14:paraId="61BC11B0">
            <w:pPr>
              <w:pStyle w:val="10"/>
              <w:spacing w:line="23" w:lineRule="atLeast"/>
              <w:ind w:left="0"/>
              <w:rPr>
                <w:rFonts w:hint="eastAsia"/>
                <w:szCs w:val="22"/>
                <w:u w:val="single"/>
              </w:rPr>
            </w:pPr>
            <w:r>
              <w:rPr>
                <w:rFonts w:hint="eastAsia"/>
                <w:szCs w:val="22"/>
              </w:rPr>
              <w:t>以评标基准价为准，经评审的有</w:t>
            </w:r>
            <w:r>
              <w:rPr>
                <w:szCs w:val="22"/>
              </w:rPr>
              <w:t>效报价</w:t>
            </w:r>
            <w:r>
              <w:rPr>
                <w:rFonts w:hint="eastAsia"/>
                <w:szCs w:val="22"/>
              </w:rPr>
              <w:t>等于基准价的得满分，</w:t>
            </w:r>
          </w:p>
          <w:p w14:paraId="6BB82A8B">
            <w:pPr>
              <w:pStyle w:val="10"/>
              <w:spacing w:line="23" w:lineRule="atLeast"/>
              <w:ind w:left="0"/>
              <w:rPr>
                <w:rFonts w:hint="eastAsia" w:eastAsia="宋体"/>
                <w:szCs w:val="22"/>
                <w:lang w:eastAsia="zh-CN"/>
              </w:rPr>
            </w:pPr>
            <w:r>
              <w:rPr>
                <w:rFonts w:hint="eastAsia"/>
                <w:szCs w:val="22"/>
                <w:u w:val="none"/>
              </w:rPr>
              <w:t>○</w:t>
            </w:r>
            <w:r>
              <w:rPr>
                <w:rFonts w:hint="eastAsia"/>
                <w:szCs w:val="22"/>
              </w:rPr>
              <w:t>经评审的有</w:t>
            </w:r>
            <w:r>
              <w:rPr>
                <w:szCs w:val="22"/>
              </w:rPr>
              <w:t>效报价</w:t>
            </w:r>
            <w:r>
              <w:rPr>
                <w:rFonts w:hint="eastAsia"/>
                <w:szCs w:val="22"/>
              </w:rPr>
              <w:t>高于基准价的，每高1%扣</w:t>
            </w:r>
            <w:r>
              <w:rPr>
                <w:rFonts w:hint="eastAsia"/>
                <w:szCs w:val="22"/>
                <w:u w:val="single"/>
              </w:rPr>
              <w:t xml:space="preserve"> </w:t>
            </w:r>
            <w:r>
              <w:rPr>
                <w:rFonts w:hint="eastAsia"/>
                <w:szCs w:val="22"/>
                <w:u w:val="single"/>
                <w:lang w:val="en-US" w:eastAsia="zh-CN"/>
              </w:rPr>
              <w:t xml:space="preserve"> </w:t>
            </w:r>
            <w:r>
              <w:rPr>
                <w:rFonts w:hint="eastAsia"/>
                <w:szCs w:val="22"/>
                <w:u w:val="single"/>
              </w:rPr>
              <w:t xml:space="preserve"> </w:t>
            </w:r>
            <w:r>
              <w:rPr>
                <w:rFonts w:hint="eastAsia"/>
                <w:szCs w:val="22"/>
              </w:rPr>
              <w:t>分</w:t>
            </w:r>
            <w:r>
              <w:rPr>
                <w:rFonts w:hint="eastAsia"/>
                <w:color w:val="FF0000"/>
                <w:szCs w:val="22"/>
              </w:rPr>
              <w:t>（不低于0.5）</w:t>
            </w:r>
            <w:r>
              <w:rPr>
                <w:rFonts w:hint="eastAsia"/>
                <w:color w:val="FF0000"/>
                <w:szCs w:val="22"/>
                <w:lang w:eastAsia="zh-CN"/>
              </w:rPr>
              <w:t>。（</w:t>
            </w:r>
            <w:r>
              <w:rPr>
                <w:rFonts w:hint="eastAsia"/>
                <w:color w:val="FF0000"/>
                <w:szCs w:val="22"/>
              </w:rPr>
              <w:t>评标基准价计算方法为A方式时）</w:t>
            </w:r>
          </w:p>
          <w:p w14:paraId="1C52A2C6">
            <w:pPr>
              <w:pStyle w:val="10"/>
              <w:spacing w:line="23" w:lineRule="atLeast"/>
              <w:ind w:left="0"/>
              <w:rPr>
                <w:rFonts w:hint="eastAsia"/>
                <w:szCs w:val="22"/>
              </w:rPr>
            </w:pPr>
            <w:r>
              <w:rPr>
                <w:rFonts w:hint="eastAsia"/>
                <w:szCs w:val="22"/>
                <w:u w:val="none"/>
              </w:rPr>
              <w:t>○</w:t>
            </w:r>
            <w:r>
              <w:rPr>
                <w:rFonts w:hint="eastAsia"/>
                <w:szCs w:val="22"/>
              </w:rPr>
              <w:t>经评审的有</w:t>
            </w:r>
            <w:r>
              <w:rPr>
                <w:szCs w:val="22"/>
              </w:rPr>
              <w:t>效报价</w:t>
            </w:r>
            <w:r>
              <w:rPr>
                <w:rFonts w:hint="eastAsia"/>
                <w:szCs w:val="22"/>
              </w:rPr>
              <w:t>低于基准价的，每低1%扣</w:t>
            </w:r>
            <w:r>
              <w:rPr>
                <w:rFonts w:hint="eastAsia"/>
                <w:szCs w:val="22"/>
                <w:u w:val="single"/>
              </w:rPr>
              <w:t xml:space="preserve"> </w:t>
            </w:r>
            <w:r>
              <w:rPr>
                <w:rFonts w:hint="eastAsia"/>
                <w:szCs w:val="22"/>
                <w:u w:val="single"/>
                <w:lang w:val="en-US" w:eastAsia="zh-CN"/>
              </w:rPr>
              <w:t xml:space="preserve"> </w:t>
            </w:r>
            <w:r>
              <w:rPr>
                <w:rFonts w:hint="eastAsia"/>
                <w:szCs w:val="22"/>
                <w:u w:val="single"/>
              </w:rPr>
              <w:t xml:space="preserve"> </w:t>
            </w:r>
            <w:r>
              <w:rPr>
                <w:rFonts w:hint="eastAsia"/>
                <w:szCs w:val="22"/>
              </w:rPr>
              <w:t>分</w:t>
            </w:r>
            <w:r>
              <w:rPr>
                <w:rFonts w:hint="eastAsia"/>
                <w:color w:val="FF0000"/>
                <w:szCs w:val="22"/>
              </w:rPr>
              <w:t>（不低于0.5）</w:t>
            </w:r>
            <w:r>
              <w:rPr>
                <w:rFonts w:hint="eastAsia"/>
                <w:szCs w:val="22"/>
              </w:rPr>
              <w:t>，经评审的有</w:t>
            </w:r>
            <w:r>
              <w:rPr>
                <w:szCs w:val="22"/>
              </w:rPr>
              <w:t>效报价</w:t>
            </w:r>
            <w:r>
              <w:rPr>
                <w:rFonts w:hint="eastAsia"/>
                <w:szCs w:val="22"/>
              </w:rPr>
              <w:t>高于基准价的，每高1%扣</w:t>
            </w:r>
            <w:r>
              <w:rPr>
                <w:rFonts w:hint="eastAsia"/>
                <w:szCs w:val="22"/>
                <w:u w:val="single"/>
              </w:rPr>
              <w:t xml:space="preserve">   </w:t>
            </w:r>
            <w:r>
              <w:rPr>
                <w:rFonts w:hint="eastAsia"/>
                <w:szCs w:val="22"/>
              </w:rPr>
              <w:t>分</w:t>
            </w:r>
            <w:r>
              <w:rPr>
                <w:rFonts w:hint="eastAsia"/>
                <w:color w:val="FF0000"/>
                <w:szCs w:val="22"/>
              </w:rPr>
              <w:t>（不低于1）；（评标基准价计算方法为B方式时）</w:t>
            </w:r>
          </w:p>
          <w:p w14:paraId="41E6221A">
            <w:pPr>
              <w:pStyle w:val="10"/>
              <w:widowControl/>
              <w:spacing w:line="23" w:lineRule="atLeast"/>
              <w:ind w:left="0" w:right="0" w:rightChars="0"/>
              <w:jc w:val="left"/>
              <w:rPr>
                <w:rFonts w:hint="eastAsia" w:ascii="宋体" w:hAnsi="宋体" w:eastAsia="宋体" w:cstheme="minorBidi"/>
                <w:kern w:val="2"/>
                <w:sz w:val="22"/>
                <w:szCs w:val="22"/>
                <w:lang w:eastAsia="zh-CN"/>
              </w:rPr>
            </w:pPr>
            <w:r>
              <w:rPr>
                <w:rFonts w:hint="eastAsia" w:ascii="宋体" w:hAnsi="宋体" w:eastAsia="宋体" w:cstheme="minorBidi"/>
                <w:kern w:val="2"/>
                <w:sz w:val="22"/>
                <w:szCs w:val="22"/>
                <w:lang w:eastAsia="zh-CN"/>
              </w:rPr>
              <w:t>中间值用插入法进行计算，小数点后保留两位。</w:t>
            </w:r>
          </w:p>
          <w:p w14:paraId="7935E602">
            <w:pPr>
              <w:pStyle w:val="10"/>
              <w:spacing w:line="23" w:lineRule="atLeast"/>
              <w:ind w:left="0"/>
              <w:rPr>
                <w:rFonts w:hint="eastAsia"/>
                <w:color w:val="FF0000"/>
                <w:szCs w:val="22"/>
              </w:rPr>
            </w:pPr>
            <w:r>
              <w:rPr>
                <w:rFonts w:hint="eastAsia"/>
                <w:szCs w:val="22"/>
                <w:u w:val="none"/>
              </w:rPr>
              <w:t>○</w:t>
            </w:r>
            <w:r>
              <w:rPr>
                <w:rFonts w:hint="eastAsia"/>
                <w:szCs w:val="22"/>
              </w:rPr>
              <w:t xml:space="preserve"> </w:t>
            </w:r>
            <w:r>
              <w:rPr>
                <w:rFonts w:hint="eastAsia"/>
                <w:szCs w:val="22"/>
                <w:u w:val="single"/>
              </w:rPr>
              <w:t xml:space="preserve">                   </w:t>
            </w:r>
            <w:r>
              <w:rPr>
                <w:rFonts w:hint="eastAsia"/>
                <w:color w:val="FF0000"/>
                <w:szCs w:val="22"/>
              </w:rPr>
              <w:t>（评标基准价计算方法为C方式时）</w:t>
            </w:r>
          </w:p>
          <w:p w14:paraId="44E55B52">
            <w:pPr>
              <w:pStyle w:val="10"/>
              <w:spacing w:line="23" w:lineRule="atLeast"/>
              <w:ind w:left="0"/>
              <w:rPr>
                <w:rFonts w:hint="eastAsia" w:ascii="宋体" w:hAnsi="宋体" w:eastAsia="宋体" w:cstheme="minorBidi"/>
                <w:color w:val="FF0000"/>
                <w:kern w:val="2"/>
                <w:sz w:val="22"/>
                <w:szCs w:val="22"/>
                <w:lang w:eastAsia="en-US"/>
              </w:rPr>
            </w:pPr>
            <w:r>
              <w:rPr>
                <w:rFonts w:hint="eastAsia" w:ascii="宋体" w:hAnsi="宋体" w:eastAsia="宋体" w:cstheme="minorBidi"/>
                <w:color w:val="FF0000"/>
                <w:kern w:val="2"/>
                <w:sz w:val="22"/>
                <w:szCs w:val="22"/>
                <w:lang w:eastAsia="en-US"/>
              </w:rPr>
              <w:t>注：每低1%所扣分值不得高于每高1%所扣分值。</w:t>
            </w:r>
          </w:p>
          <w:p w14:paraId="66463847">
            <w:pPr>
              <w:pStyle w:val="10"/>
              <w:spacing w:line="23" w:lineRule="atLeast"/>
              <w:ind w:left="0"/>
              <w:rPr>
                <w:rFonts w:hint="eastAsia" w:eastAsia="宋体"/>
                <w:szCs w:val="22"/>
                <w:lang w:eastAsia="zh-CN"/>
              </w:rPr>
            </w:pPr>
            <w:r>
              <w:rPr>
                <w:rFonts w:hint="eastAsia" w:ascii="宋体" w:hAnsi="宋体" w:eastAsia="宋体"/>
                <w:szCs w:val="22"/>
              </w:rPr>
              <w:t>□</w:t>
            </w:r>
            <w:r>
              <w:rPr>
                <w:rFonts w:hint="eastAsia"/>
                <w:szCs w:val="22"/>
                <w:lang w:val="en-US" w:eastAsia="zh-CN"/>
              </w:rPr>
              <w:t>支持中小企业：</w:t>
            </w:r>
            <w:r>
              <w:rPr>
                <w:rFonts w:hint="eastAsia" w:ascii="宋体" w:hAnsi="宋体" w:eastAsia="宋体"/>
                <w:szCs w:val="22"/>
                <w:u w:val="single"/>
                <w:lang w:val="en-US" w:eastAsia="zh-CN"/>
              </w:rPr>
              <w:t xml:space="preserve">                </w:t>
            </w:r>
            <w:r>
              <w:rPr>
                <w:rFonts w:hint="eastAsia" w:ascii="宋体" w:hAnsi="宋体" w:eastAsia="宋体"/>
                <w:color w:val="FF0000"/>
                <w:szCs w:val="22"/>
                <w:u w:val="none"/>
                <w:lang w:val="en-US" w:eastAsia="zh-CN"/>
              </w:rPr>
              <w:t>（</w:t>
            </w:r>
            <w:r>
              <w:rPr>
                <w:rFonts w:hint="eastAsia" w:ascii="宋体" w:hAnsi="宋体" w:eastAsia="宋体"/>
                <w:color w:val="FF0000"/>
                <w:szCs w:val="22"/>
              </w:rPr>
              <w:t>招标人可根据《四川省人民政府办公厅关于深化改革创新促进招标投标市场规范健康发展的意见》（川办规〔2025〕8号）第（二十）条和《政府采购促进中小企业发展管理办法》（财库〔2020〕46号）第九条规定，增加相应评分奖励内容。</w:t>
            </w:r>
            <w:r>
              <w:rPr>
                <w:rFonts w:hint="eastAsia" w:ascii="宋体" w:hAnsi="宋体" w:eastAsia="宋体"/>
                <w:color w:val="FF0000"/>
                <w:szCs w:val="22"/>
                <w:lang w:eastAsia="zh-CN"/>
              </w:rPr>
              <w:t>）</w:t>
            </w:r>
          </w:p>
        </w:tc>
      </w:tr>
      <w:tr w14:paraId="18B17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2" w:hRule="atLeast"/>
          <w:jc w:val="center"/>
        </w:trPr>
        <w:tc>
          <w:tcPr>
            <w:tcW w:w="900" w:type="dxa"/>
            <w:vMerge w:val="restart"/>
            <w:tcBorders>
              <w:top w:val="single" w:color="auto" w:sz="4" w:space="0"/>
              <w:left w:val="single" w:color="auto" w:sz="4" w:space="0"/>
              <w:right w:val="single" w:color="auto" w:sz="4" w:space="0"/>
            </w:tcBorders>
            <w:vAlign w:val="center"/>
          </w:tcPr>
          <w:p w14:paraId="60490835">
            <w:pPr>
              <w:pStyle w:val="10"/>
              <w:spacing w:line="23" w:lineRule="atLeast"/>
              <w:ind w:left="0"/>
              <w:jc w:val="center"/>
              <w:rPr>
                <w:szCs w:val="22"/>
              </w:rPr>
            </w:pPr>
            <w:r>
              <w:rPr>
                <w:szCs w:val="22"/>
              </w:rPr>
              <w:t>2.2.</w:t>
            </w:r>
            <w:r>
              <w:rPr>
                <w:rFonts w:hint="eastAsia"/>
                <w:szCs w:val="22"/>
                <w:lang w:val="en-US" w:eastAsia="zh-CN"/>
              </w:rPr>
              <w:t>3</w:t>
            </w:r>
            <w:r>
              <w:rPr>
                <w:rFonts w:hint="eastAsia"/>
                <w:szCs w:val="22"/>
              </w:rPr>
              <w:t>（</w:t>
            </w:r>
            <w:r>
              <w:rPr>
                <w:szCs w:val="22"/>
              </w:rPr>
              <w:t>4</w:t>
            </w:r>
            <w:r>
              <w:rPr>
                <w:rFonts w:hint="eastAsia"/>
                <w:szCs w:val="22"/>
              </w:rPr>
              <w:t>）</w:t>
            </w:r>
          </w:p>
        </w:tc>
        <w:tc>
          <w:tcPr>
            <w:tcW w:w="1080" w:type="dxa"/>
            <w:gridSpan w:val="2"/>
            <w:vMerge w:val="restart"/>
            <w:tcBorders>
              <w:top w:val="single" w:color="auto" w:sz="4" w:space="0"/>
              <w:left w:val="single" w:color="auto" w:sz="4" w:space="0"/>
              <w:right w:val="single" w:color="auto" w:sz="4" w:space="0"/>
            </w:tcBorders>
            <w:vAlign w:val="center"/>
          </w:tcPr>
          <w:p w14:paraId="6A8AA783">
            <w:pPr>
              <w:pStyle w:val="10"/>
              <w:spacing w:line="23" w:lineRule="atLeast"/>
              <w:ind w:left="0"/>
              <w:jc w:val="center"/>
              <w:rPr>
                <w:szCs w:val="22"/>
              </w:rPr>
            </w:pPr>
            <w:r>
              <w:rPr>
                <w:szCs w:val="22"/>
              </w:rPr>
              <w:t>其他因素评分标准</w:t>
            </w:r>
            <w:r>
              <w:rPr>
                <w:rFonts w:hint="eastAsia"/>
                <w:szCs w:val="22"/>
              </w:rPr>
              <w:t>（  分）</w:t>
            </w: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5EE2276A">
            <w:pPr>
              <w:pStyle w:val="10"/>
              <w:spacing w:line="23" w:lineRule="atLeast"/>
              <w:ind w:left="0"/>
              <w:jc w:val="center"/>
              <w:rPr>
                <w:rFonts w:hint="eastAsia"/>
                <w:szCs w:val="22"/>
              </w:rPr>
            </w:pPr>
            <w:r>
              <w:rPr>
                <w:rFonts w:hint="eastAsia"/>
                <w:szCs w:val="22"/>
              </w:rPr>
              <w:t>□类似项目业绩</w:t>
            </w:r>
          </w:p>
          <w:p w14:paraId="7F7B1939">
            <w:pPr>
              <w:pStyle w:val="10"/>
              <w:spacing w:line="23" w:lineRule="atLeast"/>
              <w:ind w:left="0"/>
              <w:jc w:val="center"/>
              <w:rPr>
                <w:rFonts w:hint="eastAsia"/>
                <w:szCs w:val="22"/>
              </w:rPr>
            </w:pPr>
            <w:r>
              <w:rPr>
                <w:rFonts w:hint="eastAsia"/>
                <w:szCs w:val="22"/>
              </w:rPr>
              <w:t xml:space="preserve">（ </w:t>
            </w:r>
            <w:r>
              <w:rPr>
                <w:rFonts w:hint="eastAsia"/>
                <w:szCs w:val="22"/>
                <w:lang w:val="en-US" w:eastAsia="zh-CN"/>
              </w:rPr>
              <w:t xml:space="preserve"> </w:t>
            </w:r>
            <w:r>
              <w:rPr>
                <w:rFonts w:hint="eastAsia"/>
                <w:szCs w:val="22"/>
              </w:rPr>
              <w:t xml:space="preserve"> 分）</w:t>
            </w:r>
          </w:p>
        </w:tc>
        <w:tc>
          <w:tcPr>
            <w:tcW w:w="5897" w:type="dxa"/>
            <w:tcBorders>
              <w:top w:val="single" w:color="auto" w:sz="4" w:space="0"/>
              <w:left w:val="single" w:color="auto" w:sz="4" w:space="0"/>
              <w:bottom w:val="single" w:color="auto" w:sz="4" w:space="0"/>
              <w:right w:val="single" w:color="auto" w:sz="4" w:space="0"/>
            </w:tcBorders>
            <w:vAlign w:val="center"/>
          </w:tcPr>
          <w:p w14:paraId="631C5A03">
            <w:pPr>
              <w:pStyle w:val="10"/>
              <w:spacing w:line="23" w:lineRule="atLeast"/>
              <w:ind w:left="0"/>
              <w:jc w:val="center"/>
              <w:rPr>
                <w:szCs w:val="22"/>
              </w:rPr>
            </w:pPr>
            <w:r>
              <w:rPr>
                <w:szCs w:val="22"/>
              </w:rPr>
              <w:t>……</w:t>
            </w:r>
          </w:p>
        </w:tc>
      </w:tr>
      <w:tr w14:paraId="2FDDE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2" w:hRule="atLeast"/>
          <w:jc w:val="center"/>
        </w:trPr>
        <w:tc>
          <w:tcPr>
            <w:tcW w:w="900" w:type="dxa"/>
            <w:vMerge w:val="continue"/>
            <w:tcBorders>
              <w:left w:val="single" w:color="auto" w:sz="4" w:space="0"/>
              <w:right w:val="single" w:color="auto" w:sz="4" w:space="0"/>
            </w:tcBorders>
            <w:vAlign w:val="center"/>
          </w:tcPr>
          <w:p w14:paraId="0C2EC9E2">
            <w:pPr>
              <w:pStyle w:val="10"/>
              <w:spacing w:line="23" w:lineRule="atLeast"/>
              <w:ind w:left="0"/>
              <w:jc w:val="center"/>
              <w:rPr>
                <w:szCs w:val="22"/>
              </w:rPr>
            </w:pPr>
          </w:p>
        </w:tc>
        <w:tc>
          <w:tcPr>
            <w:tcW w:w="1080" w:type="dxa"/>
            <w:gridSpan w:val="2"/>
            <w:vMerge w:val="continue"/>
            <w:tcBorders>
              <w:left w:val="single" w:color="auto" w:sz="4" w:space="0"/>
              <w:right w:val="single" w:color="auto" w:sz="4" w:space="0"/>
            </w:tcBorders>
            <w:vAlign w:val="center"/>
          </w:tcPr>
          <w:p w14:paraId="79B5831D">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5D316D0D">
            <w:pPr>
              <w:pStyle w:val="10"/>
              <w:spacing w:line="23" w:lineRule="atLeast"/>
              <w:ind w:left="0"/>
              <w:jc w:val="center"/>
              <w:rPr>
                <w:rFonts w:hint="default" w:eastAsia="宋体"/>
                <w:szCs w:val="22"/>
                <w:lang w:val="en-US" w:eastAsia="zh-CN"/>
              </w:rPr>
            </w:pPr>
            <w:r>
              <w:rPr>
                <w:rFonts w:hint="eastAsia"/>
                <w:szCs w:val="22"/>
              </w:rPr>
              <w:t>□</w:t>
            </w:r>
            <w:r>
              <w:rPr>
                <w:rFonts w:hint="eastAsia"/>
                <w:szCs w:val="22"/>
                <w:lang w:val="en-US" w:eastAsia="zh-CN"/>
              </w:rPr>
              <w:t>支持中小企业</w:t>
            </w:r>
          </w:p>
        </w:tc>
        <w:tc>
          <w:tcPr>
            <w:tcW w:w="5897" w:type="dxa"/>
            <w:tcBorders>
              <w:top w:val="single" w:color="auto" w:sz="4" w:space="0"/>
              <w:left w:val="single" w:color="auto" w:sz="4" w:space="0"/>
              <w:bottom w:val="single" w:color="auto" w:sz="4" w:space="0"/>
              <w:right w:val="single" w:color="auto" w:sz="4" w:space="0"/>
            </w:tcBorders>
            <w:vAlign w:val="center"/>
          </w:tcPr>
          <w:p w14:paraId="3B4695FF">
            <w:pPr>
              <w:pStyle w:val="10"/>
              <w:spacing w:line="23" w:lineRule="atLeast"/>
              <w:ind w:left="0"/>
              <w:jc w:val="center"/>
              <w:rPr>
                <w:rFonts w:hint="eastAsia" w:eastAsia="宋体"/>
                <w:szCs w:val="22"/>
                <w:lang w:eastAsia="zh-CN"/>
              </w:rPr>
            </w:pPr>
            <w:r>
              <w:rPr>
                <w:rFonts w:hint="eastAsia"/>
                <w:szCs w:val="22"/>
                <w:lang w:eastAsia="zh-CN"/>
              </w:rPr>
              <w:t>……</w:t>
            </w:r>
          </w:p>
        </w:tc>
      </w:tr>
      <w:tr w14:paraId="673BA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900" w:type="dxa"/>
            <w:vMerge w:val="continue"/>
            <w:tcBorders>
              <w:left w:val="single" w:color="auto" w:sz="4" w:space="0"/>
              <w:right w:val="single" w:color="auto" w:sz="4" w:space="0"/>
            </w:tcBorders>
            <w:vAlign w:val="center"/>
          </w:tcPr>
          <w:p w14:paraId="312A0C4F">
            <w:pPr>
              <w:pStyle w:val="10"/>
              <w:spacing w:line="23" w:lineRule="atLeast"/>
              <w:ind w:left="0"/>
              <w:jc w:val="center"/>
              <w:rPr>
                <w:szCs w:val="22"/>
              </w:rPr>
            </w:pPr>
          </w:p>
        </w:tc>
        <w:tc>
          <w:tcPr>
            <w:tcW w:w="1080" w:type="dxa"/>
            <w:gridSpan w:val="2"/>
            <w:vMerge w:val="continue"/>
            <w:tcBorders>
              <w:left w:val="single" w:color="auto" w:sz="4" w:space="0"/>
              <w:right w:val="single" w:color="auto" w:sz="4" w:space="0"/>
            </w:tcBorders>
            <w:vAlign w:val="center"/>
          </w:tcPr>
          <w:p w14:paraId="31D18391">
            <w:pPr>
              <w:pStyle w:val="10"/>
              <w:spacing w:line="23" w:lineRule="atLeast"/>
              <w:ind w:left="0"/>
              <w:jc w:val="center"/>
              <w:rPr>
                <w:szCs w:val="22"/>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6A13BB39">
            <w:pPr>
              <w:pStyle w:val="10"/>
              <w:spacing w:line="23" w:lineRule="atLeast"/>
              <w:ind w:left="0"/>
              <w:jc w:val="center"/>
              <w:rPr>
                <w:szCs w:val="22"/>
              </w:rPr>
            </w:pPr>
            <w:r>
              <w:rPr>
                <w:rFonts w:hint="eastAsia"/>
                <w:szCs w:val="22"/>
              </w:rPr>
              <w:t>……</w:t>
            </w:r>
          </w:p>
        </w:tc>
        <w:tc>
          <w:tcPr>
            <w:tcW w:w="5897" w:type="dxa"/>
            <w:tcBorders>
              <w:top w:val="single" w:color="auto" w:sz="4" w:space="0"/>
              <w:left w:val="single" w:color="auto" w:sz="4" w:space="0"/>
              <w:bottom w:val="single" w:color="auto" w:sz="4" w:space="0"/>
              <w:right w:val="single" w:color="auto" w:sz="4" w:space="0"/>
            </w:tcBorders>
            <w:vAlign w:val="center"/>
          </w:tcPr>
          <w:p w14:paraId="1D224111">
            <w:pPr>
              <w:pStyle w:val="10"/>
              <w:spacing w:line="23" w:lineRule="atLeast"/>
              <w:ind w:left="0"/>
              <w:jc w:val="center"/>
              <w:rPr>
                <w:rFonts w:hint="eastAsia"/>
                <w:szCs w:val="22"/>
              </w:rPr>
            </w:pPr>
            <w:r>
              <w:rPr>
                <w:rFonts w:hint="eastAsia"/>
                <w:szCs w:val="22"/>
              </w:rPr>
              <w:t>……</w:t>
            </w:r>
          </w:p>
        </w:tc>
      </w:tr>
      <w:tr w14:paraId="689E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900" w:type="dxa"/>
            <w:vMerge w:val="continue"/>
            <w:tcBorders>
              <w:left w:val="single" w:color="auto" w:sz="4" w:space="0"/>
              <w:right w:val="single" w:color="auto" w:sz="4" w:space="0"/>
            </w:tcBorders>
            <w:vAlign w:val="center"/>
          </w:tcPr>
          <w:p w14:paraId="61C66AE9">
            <w:pPr>
              <w:pStyle w:val="10"/>
              <w:spacing w:line="23" w:lineRule="atLeast"/>
              <w:ind w:left="0"/>
              <w:jc w:val="center"/>
              <w:rPr>
                <w:szCs w:val="22"/>
              </w:rPr>
            </w:pPr>
          </w:p>
        </w:tc>
        <w:tc>
          <w:tcPr>
            <w:tcW w:w="1080" w:type="dxa"/>
            <w:gridSpan w:val="2"/>
            <w:vMerge w:val="continue"/>
            <w:tcBorders>
              <w:left w:val="single" w:color="auto" w:sz="4" w:space="0"/>
              <w:bottom w:val="single" w:color="auto" w:sz="4" w:space="0"/>
              <w:right w:val="single" w:color="auto" w:sz="4" w:space="0"/>
            </w:tcBorders>
            <w:vAlign w:val="center"/>
          </w:tcPr>
          <w:p w14:paraId="7E10CA92">
            <w:pPr>
              <w:pStyle w:val="10"/>
              <w:spacing w:line="23" w:lineRule="atLeast"/>
              <w:ind w:left="0"/>
              <w:jc w:val="center"/>
              <w:rPr>
                <w:szCs w:val="22"/>
              </w:rPr>
            </w:pPr>
          </w:p>
        </w:tc>
        <w:tc>
          <w:tcPr>
            <w:tcW w:w="7830" w:type="dxa"/>
            <w:gridSpan w:val="3"/>
            <w:tcBorders>
              <w:top w:val="single" w:color="auto" w:sz="4" w:space="0"/>
              <w:left w:val="single" w:color="auto" w:sz="4" w:space="0"/>
              <w:bottom w:val="single" w:color="auto" w:sz="4" w:space="0"/>
              <w:right w:val="single" w:color="auto" w:sz="4" w:space="0"/>
            </w:tcBorders>
            <w:vAlign w:val="center"/>
          </w:tcPr>
          <w:p w14:paraId="548E6CA6">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0" w:firstLineChars="0"/>
              <w:textAlignment w:val="auto"/>
              <w:rPr>
                <w:rFonts w:hint="eastAsia"/>
                <w:color w:val="FF0000"/>
                <w:sz w:val="22"/>
                <w:szCs w:val="22"/>
              </w:rPr>
            </w:pPr>
            <w:r>
              <w:rPr>
                <w:rFonts w:hint="eastAsia"/>
                <w:color w:val="FF0000"/>
                <w:sz w:val="22"/>
                <w:szCs w:val="22"/>
              </w:rPr>
              <w:t xml:space="preserve">评分标准： </w:t>
            </w:r>
          </w:p>
          <w:p w14:paraId="41864EEC">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440" w:firstLineChars="200"/>
              <w:textAlignment w:val="auto"/>
              <w:rPr>
                <w:rFonts w:hint="eastAsia"/>
                <w:color w:val="FF0000"/>
                <w:sz w:val="22"/>
                <w:szCs w:val="22"/>
              </w:rPr>
            </w:pPr>
            <w:r>
              <w:rPr>
                <w:rFonts w:hint="eastAsia"/>
                <w:color w:val="FF0000"/>
                <w:sz w:val="22"/>
                <w:szCs w:val="22"/>
              </w:rPr>
              <w:t xml:space="preserve">类似业绩可设置加分，但不得以特定行政区域或者特定行业的业绩作为加分条件。 </w:t>
            </w:r>
          </w:p>
          <w:p w14:paraId="4E94C051">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440" w:firstLineChars="200"/>
              <w:textAlignment w:val="auto"/>
              <w:rPr>
                <w:rFonts w:hint="eastAsia"/>
                <w:color w:val="FF0000"/>
                <w:sz w:val="22"/>
                <w:szCs w:val="22"/>
              </w:rPr>
            </w:pPr>
            <w:r>
              <w:rPr>
                <w:rFonts w:hint="eastAsia"/>
                <w:color w:val="FF0000"/>
                <w:sz w:val="22"/>
                <w:szCs w:val="22"/>
              </w:rPr>
              <w:t>类似业绩指标仅限于工程</w:t>
            </w:r>
            <w:r>
              <w:rPr>
                <w:rFonts w:hint="eastAsia"/>
                <w:color w:val="FF0000"/>
                <w:sz w:val="22"/>
                <w:szCs w:val="22"/>
                <w:lang w:eastAsia="zh-CN"/>
              </w:rPr>
              <w:t>规模</w:t>
            </w:r>
            <w:r>
              <w:rPr>
                <w:rFonts w:hint="eastAsia"/>
                <w:color w:val="FF0000"/>
                <w:sz w:val="22"/>
                <w:szCs w:val="22"/>
              </w:rPr>
              <w:t xml:space="preserve">、结构形式、施工工艺等方面，且应符合本次工程招标的内容。类似业绩中设置的投资额、面积、长度等规模性量化指标不得高于本次招标工程的相应指标。 </w:t>
            </w:r>
          </w:p>
          <w:p w14:paraId="44195BD0">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440" w:firstLineChars="200"/>
              <w:textAlignment w:val="auto"/>
              <w:rPr>
                <w:rFonts w:hint="eastAsia"/>
                <w:szCs w:val="22"/>
              </w:rPr>
            </w:pPr>
            <w:r>
              <w:rPr>
                <w:rFonts w:hint="eastAsia"/>
                <w:color w:val="FF0000"/>
                <w:sz w:val="22"/>
                <w:szCs w:val="22"/>
              </w:rPr>
              <w:t xml:space="preserve">招标人可根据《四川省人民政府办公厅关于深化改革创新促进招标投标市场规范健康发展的意见》（川办规〔2025〕8号）第（二十）条和《政府采购促进中小企业发展管理办法》（财库〔2020〕46号）第九条规定，增加相应评分奖励内容。 </w:t>
            </w:r>
          </w:p>
        </w:tc>
      </w:tr>
      <w:tr w14:paraId="1FCB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6F62EA74">
            <w:pPr>
              <w:pStyle w:val="10"/>
              <w:spacing w:line="23" w:lineRule="atLeast"/>
              <w:ind w:left="0"/>
              <w:jc w:val="center"/>
              <w:rPr>
                <w:rFonts w:hint="default" w:eastAsia="宋体"/>
                <w:szCs w:val="22"/>
                <w:lang w:val="en-US" w:eastAsia="zh-CN"/>
              </w:rPr>
            </w:pPr>
            <w:r>
              <w:rPr>
                <w:rFonts w:hint="default"/>
                <w:szCs w:val="22"/>
                <w:lang w:val="en-US" w:eastAsia="zh-CN"/>
              </w:rPr>
              <w:t>2.3</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FD149A3">
            <w:pPr>
              <w:widowControl/>
              <w:spacing w:line="23" w:lineRule="atLeast"/>
              <w:jc w:val="left"/>
              <w:rPr>
                <w:szCs w:val="22"/>
              </w:rPr>
            </w:pPr>
            <w:r>
              <w:rPr>
                <w:rFonts w:hint="eastAsia" w:ascii="宋体" w:hAnsi="宋体" w:eastAsia="宋体" w:cstheme="minorBidi"/>
                <w:kern w:val="2"/>
                <w:sz w:val="22"/>
                <w:szCs w:val="22"/>
                <w:lang w:val="en-US" w:eastAsia="zh-CN" w:bidi="ar-SA"/>
              </w:rPr>
              <w:t>推荐中标候选人</w:t>
            </w:r>
          </w:p>
        </w:tc>
        <w:tc>
          <w:tcPr>
            <w:tcW w:w="7830" w:type="dxa"/>
            <w:gridSpan w:val="3"/>
            <w:tcBorders>
              <w:top w:val="single" w:color="auto" w:sz="4" w:space="0"/>
              <w:left w:val="single" w:color="auto" w:sz="4" w:space="0"/>
              <w:bottom w:val="single" w:color="auto" w:sz="4" w:space="0"/>
              <w:right w:val="single" w:color="auto" w:sz="4" w:space="0"/>
            </w:tcBorders>
            <w:vAlign w:val="center"/>
          </w:tcPr>
          <w:p w14:paraId="18E28EF8">
            <w:pPr>
              <w:widowControl/>
              <w:spacing w:line="23" w:lineRule="atLeast"/>
              <w:jc w:val="left"/>
              <w:rPr>
                <w:szCs w:val="22"/>
              </w:rPr>
            </w:pPr>
            <w:r>
              <w:rPr>
                <w:rFonts w:hint="eastAsia" w:ascii="宋体" w:hAnsi="宋体" w:eastAsia="宋体" w:cstheme="minorBidi"/>
                <w:kern w:val="2"/>
                <w:sz w:val="22"/>
                <w:szCs w:val="22"/>
                <w:lang w:val="en-US" w:eastAsia="zh-CN" w:bidi="ar-SA"/>
              </w:rPr>
              <w:t>本项目采用中标候选人评定分离机制，推荐的中标候选人数为3人。当有效投标为2人时，可推荐2人，不足2人时，评标委员会不推荐中标候选人，本次招标失败。</w:t>
            </w:r>
          </w:p>
        </w:tc>
      </w:tr>
      <w:tr w14:paraId="0F619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474E7460">
            <w:pPr>
              <w:pStyle w:val="10"/>
              <w:spacing w:line="23" w:lineRule="atLeast"/>
              <w:ind w:left="0"/>
              <w:jc w:val="center"/>
              <w:rPr>
                <w:szCs w:val="22"/>
              </w:rPr>
            </w:pPr>
            <w:r>
              <w:rPr>
                <w:rFonts w:hint="eastAsia"/>
                <w:szCs w:val="22"/>
              </w:rPr>
              <w:t>2.4</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75B6F9EC">
            <w:pPr>
              <w:pStyle w:val="10"/>
              <w:spacing w:line="23" w:lineRule="atLeast"/>
              <w:ind w:left="0"/>
              <w:jc w:val="center"/>
              <w:rPr>
                <w:szCs w:val="22"/>
              </w:rPr>
            </w:pPr>
            <w:r>
              <w:rPr>
                <w:rFonts w:hint="eastAsia"/>
                <w:szCs w:val="22"/>
              </w:rPr>
              <w:t>补充说明</w:t>
            </w:r>
          </w:p>
        </w:tc>
        <w:tc>
          <w:tcPr>
            <w:tcW w:w="7830" w:type="dxa"/>
            <w:gridSpan w:val="3"/>
            <w:tcBorders>
              <w:top w:val="single" w:color="auto" w:sz="4" w:space="0"/>
              <w:left w:val="single" w:color="auto" w:sz="4" w:space="0"/>
              <w:bottom w:val="single" w:color="auto" w:sz="4" w:space="0"/>
              <w:right w:val="single" w:color="auto" w:sz="4" w:space="0"/>
            </w:tcBorders>
            <w:vAlign w:val="center"/>
          </w:tcPr>
          <w:p w14:paraId="2980ACA9">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firstLine="0"/>
              <w:jc w:val="both"/>
              <w:textAlignment w:val="auto"/>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lang w:val="en-US" w:eastAsia="zh-CN" w:bidi="ar-SA"/>
              </w:rPr>
              <w:t>1、</w:t>
            </w:r>
            <w:r>
              <w:rPr>
                <w:rFonts w:hint="eastAsia" w:ascii="宋体" w:hAnsi="宋体" w:eastAsia="宋体" w:cs="Times New Roman"/>
                <w:color w:val="auto"/>
                <w:kern w:val="0"/>
                <w:sz w:val="21"/>
                <w:szCs w:val="21"/>
                <w:highlight w:val="none"/>
                <w:lang w:val="en-US" w:eastAsia="zh-CN" w:bidi="ar-SA"/>
              </w:rPr>
              <w:t>评标委员会经评审否决不合格投标后，因有效投标（指经过全部评审而未被否决的投标，下同）不足三个的：</w:t>
            </w:r>
          </w:p>
          <w:p w14:paraId="6D382C67">
            <w:pPr>
              <w:keepNext w:val="0"/>
              <w:keepLines w:val="0"/>
              <w:pageBreakBefore w:val="0"/>
              <w:widowControl/>
              <w:numPr>
                <w:ilvl w:val="-1"/>
                <w:numId w:val="0"/>
              </w:numPr>
              <w:kinsoku/>
              <w:wordWrap/>
              <w:overflowPunct/>
              <w:topLinePunct w:val="0"/>
              <w:autoSpaceDE/>
              <w:autoSpaceDN/>
              <w:bidi w:val="0"/>
              <w:adjustRightInd/>
              <w:snapToGrid/>
              <w:spacing w:before="120" w:after="120" w:line="240" w:lineRule="auto"/>
              <w:ind w:firstLine="0"/>
              <w:jc w:val="both"/>
              <w:textAlignment w:val="auto"/>
              <w:rPr>
                <w:rFonts w:hint="eastAsia" w:ascii="宋体" w:hAnsi="宋体" w:eastAsia="宋体" w:cs="Times New Roman"/>
                <w:color w:val="auto"/>
                <w:kern w:val="0"/>
                <w:sz w:val="21"/>
                <w:szCs w:val="21"/>
                <w:highlight w:val="none"/>
                <w:u w:val="none"/>
                <w:lang w:val="en-US" w:eastAsia="zh-CN" w:bidi="ar"/>
              </w:rPr>
            </w:pPr>
            <w:r>
              <w:rPr>
                <w:rFonts w:hint="eastAsia" w:ascii="宋体" w:hAnsi="宋体" w:eastAsia="宋体" w:cs="Times New Roman"/>
                <w:color w:val="auto"/>
                <w:kern w:val="0"/>
                <w:sz w:val="21"/>
                <w:szCs w:val="21"/>
                <w:highlight w:val="none"/>
                <w:u w:val="none"/>
                <w:lang w:val="en-US" w:eastAsia="zh-CN" w:bidi="ar"/>
              </w:rPr>
              <w:t>○投标明显缺乏竞争由评标委员会认定：投标人是否具有竞争性应从其实力、信誉、技术方案及投标报价等方面认定。</w:t>
            </w:r>
          </w:p>
          <w:p w14:paraId="318D9B56">
            <w:pPr>
              <w:keepNext w:val="0"/>
              <w:keepLines w:val="0"/>
              <w:pageBreakBefore w:val="0"/>
              <w:widowControl/>
              <w:numPr>
                <w:ilvl w:val="-1"/>
                <w:numId w:val="0"/>
              </w:numPr>
              <w:kinsoku/>
              <w:wordWrap/>
              <w:overflowPunct/>
              <w:topLinePunct w:val="0"/>
              <w:autoSpaceDE/>
              <w:autoSpaceDN/>
              <w:bidi w:val="0"/>
              <w:adjustRightInd/>
              <w:snapToGrid/>
              <w:spacing w:before="120" w:after="120" w:line="240" w:lineRule="auto"/>
              <w:ind w:firstLine="0"/>
              <w:jc w:val="both"/>
              <w:textAlignment w:val="auto"/>
              <w:rPr>
                <w:rFonts w:hint="eastAsia" w:ascii="宋体" w:hAnsi="宋体" w:eastAsia="宋体" w:cs="宋体"/>
                <w:kern w:val="0"/>
                <w:sz w:val="21"/>
                <w:szCs w:val="21"/>
                <w:u w:val="none"/>
                <w:lang w:val="en-US" w:eastAsia="zh-CN" w:bidi="ar"/>
              </w:rPr>
            </w:pPr>
            <w:r>
              <w:rPr>
                <w:rFonts w:hint="eastAsia" w:ascii="宋体" w:hAnsi="宋体" w:eastAsia="宋体" w:cs="Times New Roman"/>
                <w:color w:val="auto"/>
                <w:kern w:val="0"/>
                <w:sz w:val="21"/>
                <w:szCs w:val="21"/>
                <w:highlight w:val="none"/>
                <w:u w:val="none"/>
                <w:lang w:val="en-US" w:eastAsia="zh-CN" w:bidi="ar"/>
              </w:rPr>
              <w:t>○投标明显缺乏竞争，招标文件有量化规定的从其规定:</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u w:val="none"/>
                <w:lang w:val="en-US" w:eastAsia="zh-CN" w:bidi="ar"/>
              </w:rPr>
              <w:t>。</w:t>
            </w:r>
          </w:p>
          <w:p w14:paraId="349235BF">
            <w:pPr>
              <w:pStyle w:val="10"/>
              <w:keepNext w:val="0"/>
              <w:keepLines w:val="0"/>
              <w:pageBreakBefore w:val="0"/>
              <w:kinsoku/>
              <w:wordWrap/>
              <w:overflowPunct/>
              <w:topLinePunct w:val="0"/>
              <w:autoSpaceDE/>
              <w:autoSpaceDN/>
              <w:bidi w:val="0"/>
              <w:adjustRightInd/>
              <w:snapToGrid/>
              <w:spacing w:line="240" w:lineRule="auto"/>
              <w:ind w:left="0"/>
              <w:textAlignment w:val="auto"/>
              <w:rPr>
                <w:szCs w:val="22"/>
              </w:rPr>
            </w:pPr>
            <w:r>
              <w:rPr>
                <w:rFonts w:hint="eastAsia" w:cs="Times New Roman"/>
                <w:color w:val="auto"/>
                <w:kern w:val="0"/>
                <w:sz w:val="21"/>
                <w:szCs w:val="21"/>
                <w:highlight w:val="none"/>
                <w:u w:val="none"/>
                <w:lang w:val="en-US" w:eastAsia="zh-CN" w:bidi="ar"/>
              </w:rPr>
              <w:t>2</w:t>
            </w:r>
            <w:r>
              <w:rPr>
                <w:rFonts w:hint="eastAsia" w:ascii="宋体" w:hAnsi="宋体" w:cs="Times New Roman"/>
                <w:color w:val="auto"/>
                <w:kern w:val="0"/>
                <w:sz w:val="21"/>
                <w:szCs w:val="21"/>
                <w:highlight w:val="none"/>
                <w:u w:val="none"/>
                <w:lang w:val="en-US" w:eastAsia="zh-CN" w:bidi="ar"/>
              </w:rPr>
              <w:t>、</w:t>
            </w:r>
            <w:r>
              <w:rPr>
                <w:rFonts w:hint="eastAsia" w:ascii="宋体" w:hAnsi="宋体" w:eastAsia="宋体" w:cs="Times New Roman"/>
                <w:color w:val="auto"/>
                <w:kern w:val="0"/>
                <w:sz w:val="21"/>
                <w:szCs w:val="21"/>
                <w:highlight w:val="none"/>
                <w:u w:val="none"/>
                <w:lang w:val="en-US" w:eastAsia="zh-CN" w:bidi="ar"/>
              </w:rPr>
              <w:t>评标时评标委员会应按照附表一串通投标行为认定书中情形，根据投标文件如实填写“无”或“有”，并</w:t>
            </w:r>
            <w:r>
              <w:rPr>
                <w:rFonts w:hint="eastAsia" w:cs="Times New Roman"/>
                <w:color w:val="auto"/>
                <w:kern w:val="0"/>
                <w:sz w:val="21"/>
                <w:szCs w:val="21"/>
                <w:highlight w:val="none"/>
                <w:u w:val="none"/>
                <w:lang w:val="en-US" w:eastAsia="zh-CN" w:bidi="ar"/>
              </w:rPr>
              <w:t>签字或签章</w:t>
            </w:r>
            <w:r>
              <w:rPr>
                <w:rFonts w:hint="eastAsia" w:ascii="宋体" w:hAnsi="宋体" w:eastAsia="宋体" w:cs="Times New Roman"/>
                <w:color w:val="auto"/>
                <w:kern w:val="0"/>
                <w:sz w:val="21"/>
                <w:szCs w:val="21"/>
                <w:highlight w:val="none"/>
                <w:u w:val="none"/>
                <w:lang w:val="en-US" w:eastAsia="zh-CN" w:bidi="ar"/>
              </w:rPr>
              <w:t>确认。有情形之一的，应认定为串通投标，并</w:t>
            </w:r>
            <w:r>
              <w:rPr>
                <w:rFonts w:hint="eastAsia" w:cs="Times New Roman"/>
                <w:color w:val="auto"/>
                <w:kern w:val="0"/>
                <w:sz w:val="21"/>
                <w:szCs w:val="21"/>
                <w:highlight w:val="none"/>
                <w:u w:val="none"/>
                <w:lang w:val="en-US" w:eastAsia="zh-CN" w:bidi="ar"/>
              </w:rPr>
              <w:t>签字或签章</w:t>
            </w:r>
            <w:r>
              <w:rPr>
                <w:rFonts w:hint="eastAsia" w:ascii="宋体" w:hAnsi="宋体" w:eastAsia="宋体" w:cs="Times New Roman"/>
                <w:color w:val="auto"/>
                <w:kern w:val="0"/>
                <w:sz w:val="21"/>
                <w:szCs w:val="21"/>
                <w:highlight w:val="none"/>
                <w:u w:val="none"/>
                <w:lang w:val="en-US" w:eastAsia="zh-CN" w:bidi="ar"/>
              </w:rPr>
              <w:t>确认，作为评标报告一部分。</w:t>
            </w:r>
          </w:p>
        </w:tc>
      </w:tr>
    </w:tbl>
    <w:p w14:paraId="043518B5">
      <w:pPr>
        <w:pStyle w:val="12"/>
        <w:bidi w:val="0"/>
        <w:rPr>
          <w:rFonts w:hint="eastAsia"/>
        </w:rPr>
      </w:pPr>
    </w:p>
    <w:p w14:paraId="3DDC3218">
      <w:pPr>
        <w:numPr>
          <w:ilvl w:val="0"/>
          <w:numId w:val="0"/>
        </w:numPr>
        <w:spacing w:line="240" w:lineRule="auto"/>
        <w:rPr>
          <w:rFonts w:cs="Times New Roman" w:asciiTheme="minorEastAsia" w:hAnsiTheme="minorEastAsia"/>
          <w:color w:val="auto"/>
          <w:sz w:val="21"/>
          <w:szCs w:val="21"/>
          <w:highlight w:val="none"/>
          <w:lang w:eastAsia="zh-CN"/>
        </w:rPr>
      </w:pPr>
      <w:r>
        <w:rPr>
          <w:rFonts w:cs="Times New Roman" w:asciiTheme="minorEastAsia" w:hAnsiTheme="minorEastAsia"/>
          <w:color w:val="auto"/>
          <w:sz w:val="21"/>
          <w:szCs w:val="21"/>
          <w:highlight w:val="none"/>
          <w:lang w:eastAsia="zh-CN"/>
        </w:rPr>
        <w:t>注：</w:t>
      </w:r>
      <w:r>
        <w:rPr>
          <w:rFonts w:hint="eastAsia" w:cs="Times New Roman" w:asciiTheme="minorEastAsia" w:hAnsiTheme="minorEastAsia"/>
          <w:color w:val="auto"/>
          <w:sz w:val="21"/>
          <w:szCs w:val="21"/>
          <w:highlight w:val="none"/>
          <w:lang w:val="en-US" w:eastAsia="zh-CN"/>
        </w:rPr>
        <w:t>1、</w:t>
      </w:r>
      <w:r>
        <w:rPr>
          <w:rFonts w:cs="Times New Roman" w:asciiTheme="minorEastAsia" w:hAnsiTheme="minorEastAsia"/>
          <w:color w:val="auto"/>
          <w:sz w:val="21"/>
          <w:szCs w:val="21"/>
          <w:highlight w:val="none"/>
          <w:lang w:eastAsia="zh-CN"/>
        </w:rPr>
        <w:t>“评标办法前附表”中内容仅能填空，如果因为招标项目的情况，需增加其他相关条款，应填入“评标办法前附表增加条款表”中，增加的条款不能与“评标办法前附表”中内容相冲突。</w:t>
      </w:r>
    </w:p>
    <w:p w14:paraId="45815E75">
      <w:pPr>
        <w:numPr>
          <w:ilvl w:val="0"/>
          <w:numId w:val="0"/>
        </w:numPr>
        <w:spacing w:line="240" w:lineRule="auto"/>
        <w:rPr>
          <w:rFonts w:cs="Times New Roman" w:asciiTheme="minorEastAsia" w:hAnsiTheme="minorEastAsia"/>
          <w:color w:val="auto"/>
          <w:sz w:val="21"/>
          <w:szCs w:val="21"/>
          <w:highlight w:val="none"/>
          <w:lang w:eastAsia="zh-CN"/>
        </w:rPr>
      </w:pPr>
      <w:r>
        <w:rPr>
          <w:rFonts w:hint="eastAsia" w:cs="Times New Roman" w:asciiTheme="minorEastAsia" w:hAnsiTheme="minorEastAsia"/>
          <w:color w:val="auto"/>
          <w:sz w:val="21"/>
          <w:szCs w:val="21"/>
          <w:highlight w:val="none"/>
          <w:lang w:val="en-US" w:eastAsia="zh-CN"/>
        </w:rPr>
        <w:t>2、</w:t>
      </w:r>
      <w:r>
        <w:rPr>
          <w:rFonts w:hint="eastAsia" w:cs="Times New Roman" w:asciiTheme="minorEastAsia" w:hAnsiTheme="minorEastAsia"/>
          <w:color w:val="auto"/>
          <w:sz w:val="21"/>
          <w:szCs w:val="21"/>
          <w:highlight w:val="none"/>
          <w:lang w:eastAsia="zh-CN"/>
        </w:rPr>
        <w:t>评标办法前附表内容和评标办法正文内容不一致的，以评标办法前附表为准。</w:t>
      </w:r>
    </w:p>
    <w:p w14:paraId="5E0E3897">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（1）招标人应科学合理地设定评标办法，以保证足够的竞争性。</w:t>
      </w:r>
    </w:p>
    <w:p w14:paraId="7430177E">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2）不得设定特定行政区域或者特定行业的奖项作为加分条件，不得设定与招标项目的具体特点不相适应的奖项作为加分条件，不得设定全国评比达标表彰工作协调小组办公室按照《评比达标表彰活动管理办法》公布的目录以外的奖项作为加分条件；招标项目的技术指标达到相应奖项申报条件的，方可设置相应奖项作为加分条件；设定奖项年限为近3年（或4年，或5年）的，个数不得超过1个，设定奖项年限为近6年及以上的，个数不得超过2个；评标办法中各类奖项加分总分值不得超过3分。</w:t>
      </w:r>
    </w:p>
    <w:p w14:paraId="688D3885">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（3）不得设定特定行政区域或者特定行业的业绩作为加分条件；不得设定与招标项目的具体特点不相适应的业绩作为加分条件；设定的业绩每类别个数不得超过3个（含资格条件个数）。</w:t>
      </w:r>
    </w:p>
    <w:p w14:paraId="3D6E265A">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4）按照《国务院办公厅关于加快推进社会信用体系建设构建以信用为基础的新型监管机制的指导意见》（国办发〔2019〕35号）精神，不得设定不属于国家有关部门或其授权的行业协会商会开展的信用评价作为加分条件。</w:t>
      </w:r>
    </w:p>
    <w:p w14:paraId="262B4700">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（5）不得将其他未列入国家职业资格目录的人员资格设定为加分条件。</w:t>
      </w:r>
    </w:p>
    <w:p w14:paraId="10AF37EA">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（6）评标委员会在评标过程中，如要求投标人澄清或说明的，评标委员会要求投标人在线澄清或说明的时间距投标人收到评标委员会通知的时间不得少于 60分钟。</w:t>
      </w:r>
    </w:p>
    <w:p w14:paraId="3B9DEAD5">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45478AAD">
      <w:pPr>
        <w:numPr>
          <w:ilvl w:val="0"/>
          <w:numId w:val="0"/>
        </w:numPr>
        <w:spacing w:line="240" w:lineRule="auto"/>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投标人未在规定时间内作出澄清或说明的，或者评标委员会成员认为该投标人的两次澄清或说明都不符合评标委员会要求的，作否决投标处理。</w:t>
      </w:r>
    </w:p>
    <w:p w14:paraId="3521B108">
      <w:pPr>
        <w:numPr>
          <w:ilvl w:val="0"/>
          <w:numId w:val="0"/>
        </w:numPr>
        <w:spacing w:line="240" w:lineRule="auto"/>
        <w:rPr>
          <w:rFonts w:hint="eastAsia" w:cs="Times New Roman" w:asciiTheme="minorEastAsia" w:hAnsiTheme="minorEastAsia"/>
          <w:color w:val="auto"/>
          <w:sz w:val="18"/>
          <w:szCs w:val="18"/>
          <w:highlight w:val="none"/>
          <w:lang w:eastAsia="zh-CN"/>
        </w:rPr>
      </w:pPr>
      <w:r>
        <w:rPr>
          <w:rFonts w:hint="eastAsia" w:cs="Times New Roman" w:asciiTheme="minorEastAsia" w:hAnsiTheme="minorEastAsia"/>
          <w:color w:val="FF0000"/>
          <w:sz w:val="18"/>
          <w:szCs w:val="18"/>
          <w:highlight w:val="none"/>
          <w:lang w:eastAsia="zh-CN"/>
        </w:rPr>
        <w:t>（7）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r>
        <w:rPr>
          <w:rFonts w:hint="eastAsia" w:cs="Times New Roman" w:asciiTheme="minorEastAsia" w:hAnsiTheme="minorEastAsia"/>
          <w:color w:val="auto"/>
          <w:sz w:val="18"/>
          <w:szCs w:val="18"/>
          <w:highlight w:val="none"/>
          <w:lang w:eastAsia="zh-CN"/>
        </w:rPr>
        <w:t>。</w:t>
      </w:r>
    </w:p>
    <w:p w14:paraId="3099150C">
      <w:pPr>
        <w:rPr>
          <w:rFonts w:hint="eastAsia" w:cs="Times New Roman" w:asciiTheme="minorEastAsia" w:hAnsiTheme="minorEastAsia"/>
          <w:color w:val="auto"/>
          <w:sz w:val="18"/>
          <w:szCs w:val="18"/>
          <w:highlight w:val="none"/>
          <w:lang w:eastAsia="zh-CN"/>
        </w:rPr>
      </w:pPr>
    </w:p>
    <w:p w14:paraId="56ECFF57">
      <w:pPr>
        <w:numPr>
          <w:ilvl w:val="0"/>
          <w:numId w:val="0"/>
        </w:numPr>
        <w:spacing w:line="240" w:lineRule="auto"/>
        <w:rPr>
          <w:rFonts w:hint="eastAsia" w:cs="Times New Roman" w:asciiTheme="minorEastAsia" w:hAnsiTheme="minorEastAsia"/>
          <w:color w:val="auto"/>
          <w:sz w:val="18"/>
          <w:szCs w:val="18"/>
          <w:highlight w:val="none"/>
          <w:lang w:eastAsia="zh-CN"/>
        </w:rPr>
      </w:pPr>
    </w:p>
    <w:p w14:paraId="0879E984">
      <w:pPr>
        <w:pStyle w:val="10"/>
        <w:ind w:left="0"/>
        <w:jc w:val="center"/>
        <w:rPr>
          <w:b/>
          <w:bCs/>
          <w:sz w:val="24"/>
          <w:szCs w:val="22"/>
        </w:rPr>
      </w:pPr>
      <w:r>
        <w:rPr>
          <w:rFonts w:hint="eastAsia"/>
          <w:b/>
          <w:bCs/>
          <w:sz w:val="24"/>
          <w:szCs w:val="22"/>
        </w:rPr>
        <w:t>评标办法前附表增加条款表</w:t>
      </w:r>
    </w:p>
    <w:tbl>
      <w:tblPr>
        <w:tblStyle w:val="19"/>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6194"/>
      </w:tblGrid>
      <w:tr w14:paraId="1E15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Align w:val="center"/>
          </w:tcPr>
          <w:p w14:paraId="2AFFA337">
            <w:pPr>
              <w:pStyle w:val="10"/>
              <w:ind w:left="0"/>
              <w:jc w:val="center"/>
            </w:pPr>
            <w:r>
              <w:rPr>
                <w:rFonts w:hint="eastAsia"/>
              </w:rPr>
              <w:t>条款号</w:t>
            </w:r>
          </w:p>
        </w:tc>
        <w:tc>
          <w:tcPr>
            <w:tcW w:w="1843" w:type="dxa"/>
            <w:vAlign w:val="center"/>
          </w:tcPr>
          <w:p w14:paraId="6DA9FE45">
            <w:pPr>
              <w:pStyle w:val="10"/>
              <w:ind w:left="0"/>
              <w:jc w:val="center"/>
            </w:pPr>
            <w:r>
              <w:rPr>
                <w:rFonts w:hint="eastAsia"/>
              </w:rPr>
              <w:t>评审因素</w:t>
            </w:r>
          </w:p>
        </w:tc>
        <w:tc>
          <w:tcPr>
            <w:tcW w:w="6194" w:type="dxa"/>
            <w:vAlign w:val="center"/>
          </w:tcPr>
          <w:p w14:paraId="73F33B44">
            <w:pPr>
              <w:pStyle w:val="10"/>
              <w:ind w:left="0"/>
              <w:jc w:val="center"/>
            </w:pPr>
            <w:r>
              <w:rPr>
                <w:rFonts w:hint="eastAsia"/>
              </w:rPr>
              <w:t>评审标准</w:t>
            </w:r>
          </w:p>
        </w:tc>
      </w:tr>
      <w:tr w14:paraId="23EB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526" w:type="dxa"/>
          </w:tcPr>
          <w:p w14:paraId="42CBA651">
            <w:pPr>
              <w:spacing w:line="500" w:lineRule="exact"/>
              <w:jc w:val="center"/>
              <w:rPr>
                <w:rFonts w:ascii="宋体" w:hAnsi="宋体"/>
                <w:b/>
                <w:sz w:val="24"/>
                <w:szCs w:val="21"/>
              </w:rPr>
            </w:pPr>
          </w:p>
          <w:p w14:paraId="1F13B809"/>
        </w:tc>
        <w:tc>
          <w:tcPr>
            <w:tcW w:w="1843" w:type="dxa"/>
          </w:tcPr>
          <w:p w14:paraId="238E1359"/>
        </w:tc>
        <w:tc>
          <w:tcPr>
            <w:tcW w:w="6194" w:type="dxa"/>
          </w:tcPr>
          <w:p w14:paraId="7CFF7319">
            <w:pPr>
              <w:spacing w:line="500" w:lineRule="exact"/>
              <w:jc w:val="center"/>
              <w:rPr>
                <w:rFonts w:ascii="宋体" w:hAnsi="宋体"/>
                <w:b/>
                <w:sz w:val="24"/>
                <w:szCs w:val="21"/>
              </w:rPr>
            </w:pPr>
          </w:p>
        </w:tc>
      </w:tr>
    </w:tbl>
    <w:p w14:paraId="0265672B">
      <w:r>
        <w:rPr>
          <w:rFonts w:hint="eastAsia"/>
        </w:rPr>
        <w:br w:type="page"/>
      </w:r>
    </w:p>
    <w:p w14:paraId="3E9FF1C2">
      <w:pPr>
        <w:keepNext/>
        <w:keepLines/>
        <w:widowControl w:val="0"/>
        <w:spacing w:before="260" w:after="260" w:line="415" w:lineRule="auto"/>
        <w:jc w:val="both"/>
        <w:outlineLvl w:val="1"/>
        <w:rPr>
          <w:rFonts w:hint="eastAsia" w:ascii="宋体" w:hAnsi="宋体" w:eastAsia="宋体" w:cs="Times New Roman"/>
          <w:b/>
          <w:bCs/>
          <w:color w:val="000000"/>
          <w:sz w:val="22"/>
          <w:szCs w:val="22"/>
        </w:rPr>
      </w:pPr>
      <w:bookmarkStart w:id="164" w:name="_Toc28814"/>
      <w:bookmarkStart w:id="165" w:name="_Toc3676"/>
      <w:bookmarkStart w:id="166" w:name="_Toc26238"/>
      <w:bookmarkStart w:id="167" w:name="_Toc39"/>
      <w:bookmarkStart w:id="168" w:name="_Toc29286"/>
      <w:bookmarkStart w:id="169" w:name="_Toc8051"/>
      <w:r>
        <w:rPr>
          <w:rFonts w:hint="eastAsia" w:ascii="宋体" w:hAnsi="宋体" w:eastAsia="宋体" w:cs="Times New Roman"/>
          <w:b/>
          <w:bCs/>
          <w:color w:val="000000"/>
          <w:sz w:val="22"/>
          <w:szCs w:val="22"/>
        </w:rPr>
        <w:t>1、评标方法</w:t>
      </w:r>
      <w:bookmarkEnd w:id="164"/>
      <w:bookmarkEnd w:id="165"/>
      <w:bookmarkEnd w:id="166"/>
    </w:p>
    <w:p w14:paraId="13993682">
      <w:pPr>
        <w:spacing w:line="360" w:lineRule="auto"/>
        <w:ind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本次评标采用综合评估法。评标委员会对满足招标文件实质性要求的投标文件，按照本章第2.2款规定的评分标准进行打分，并按得分由高到低顺序推荐3个中标候选人，但投标报价低于其成本的除外。当有效投标为2人时，可推荐2人，不足2人时，评标委员会不推荐中标候选人，本次招标失败。综合评分相等时，以投标报价低的优先；投标报价也相等的，由评标委员会自行确定。</w:t>
      </w:r>
    </w:p>
    <w:p w14:paraId="11B9C2C0">
      <w:pPr>
        <w:spacing w:line="360" w:lineRule="auto"/>
        <w:ind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推荐的中标候选人不排序。评标委员会须对中标候选人逐一出具评审意见，相关评审意见应针对性阐述中标候选人投标文件的优点、不足、可能存在的风险等，不得泛泛而谈。</w:t>
      </w:r>
    </w:p>
    <w:p w14:paraId="41D02C8E">
      <w:pPr>
        <w:keepNext/>
        <w:keepLines/>
        <w:widowControl w:val="0"/>
        <w:spacing w:before="260" w:after="260" w:line="415" w:lineRule="auto"/>
        <w:jc w:val="both"/>
        <w:outlineLvl w:val="1"/>
        <w:rPr>
          <w:rFonts w:hint="eastAsia" w:ascii="宋体" w:hAnsi="宋体" w:eastAsia="宋体" w:cs="Times New Roman"/>
          <w:b/>
          <w:bCs/>
          <w:color w:val="000000"/>
          <w:sz w:val="22"/>
          <w:szCs w:val="22"/>
        </w:rPr>
      </w:pPr>
      <w:bookmarkStart w:id="170" w:name="_Toc4410"/>
      <w:bookmarkStart w:id="171" w:name="_Toc1452"/>
      <w:bookmarkStart w:id="172" w:name="_Toc6370"/>
      <w:r>
        <w:rPr>
          <w:rFonts w:hint="eastAsia" w:ascii="宋体" w:hAnsi="宋体" w:eastAsia="宋体" w:cs="Times New Roman"/>
          <w:b/>
          <w:bCs/>
          <w:color w:val="000000"/>
          <w:sz w:val="22"/>
          <w:szCs w:val="22"/>
        </w:rPr>
        <w:t>2、评审标准</w:t>
      </w:r>
      <w:bookmarkEnd w:id="170"/>
      <w:bookmarkEnd w:id="171"/>
      <w:bookmarkEnd w:id="172"/>
    </w:p>
    <w:p w14:paraId="5DFC3AB9">
      <w:pPr>
        <w:keepNext/>
        <w:keepLines/>
        <w:widowControl w:val="0"/>
        <w:spacing w:line="360" w:lineRule="auto"/>
        <w:jc w:val="both"/>
        <w:outlineLvl w:val="2"/>
        <w:rPr>
          <w:rFonts w:ascii="Calibri" w:hAnsi="Calibri" w:eastAsia="宋体" w:cs="Times New Roman"/>
          <w:b/>
          <w:bCs/>
          <w:color w:val="000000"/>
          <w:sz w:val="22"/>
          <w:szCs w:val="22"/>
        </w:rPr>
      </w:pPr>
      <w:r>
        <w:rPr>
          <w:rFonts w:hint="eastAsia" w:ascii="Calibri" w:hAnsi="Calibri" w:eastAsia="宋体" w:cs="Times New Roman"/>
          <w:b/>
          <w:bCs/>
          <w:color w:val="000000"/>
          <w:sz w:val="22"/>
          <w:szCs w:val="22"/>
        </w:rPr>
        <w:t>2.1 初步评审标准</w:t>
      </w:r>
    </w:p>
    <w:p w14:paraId="34A7ADFE">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2.1.1 形式评审标准：见评标办法前附表。</w:t>
      </w:r>
    </w:p>
    <w:p w14:paraId="02DF220B">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2.1.2 资格评审标准：见资格预审文件第三章“资格审查办法”详细审查标准（适用于已进行资格预审的）。</w:t>
      </w:r>
    </w:p>
    <w:p w14:paraId="20C24EE9">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2.1.3 响应性评审标准：见评标办法前附表。</w:t>
      </w:r>
    </w:p>
    <w:p w14:paraId="300ACC49">
      <w:pPr>
        <w:keepNext/>
        <w:keepLines/>
        <w:widowControl w:val="0"/>
        <w:spacing w:line="360" w:lineRule="auto"/>
        <w:jc w:val="both"/>
        <w:outlineLvl w:val="2"/>
        <w:rPr>
          <w:rFonts w:ascii="Calibri" w:hAnsi="Calibri" w:eastAsia="宋体" w:cs="Times New Roman"/>
          <w:b/>
          <w:bCs/>
          <w:color w:val="000000"/>
          <w:sz w:val="22"/>
          <w:szCs w:val="22"/>
        </w:rPr>
      </w:pPr>
      <w:r>
        <w:rPr>
          <w:rFonts w:hint="eastAsia" w:ascii="Calibri" w:hAnsi="Calibri" w:eastAsia="宋体" w:cs="Times New Roman"/>
          <w:b/>
          <w:bCs/>
          <w:color w:val="000000"/>
          <w:sz w:val="22"/>
          <w:szCs w:val="22"/>
        </w:rPr>
        <w:t>2.2 分值构成与评分标准</w:t>
      </w:r>
    </w:p>
    <w:p w14:paraId="23BE4661">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2.2.1 分值构成</w:t>
      </w:r>
    </w:p>
    <w:p w14:paraId="66912AA0">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(l）施工组织设计：见评标办法前附表。</w:t>
      </w:r>
    </w:p>
    <w:p w14:paraId="6CAC48E1">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(2）项目管理机构：见评标办法前附表。</w:t>
      </w:r>
    </w:p>
    <w:p w14:paraId="50AC4A95">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(3）投标报价：见评标办法前附表。</w:t>
      </w:r>
    </w:p>
    <w:p w14:paraId="68B96EA2">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(4）其他评分因素：见评标办法前附表。</w:t>
      </w:r>
    </w:p>
    <w:p w14:paraId="3B42FE76">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2.2.2 评标基准价计算</w:t>
      </w:r>
    </w:p>
    <w:p w14:paraId="3FAFE53B">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评标基准价计算方法：见评标办法前附表。</w:t>
      </w:r>
    </w:p>
    <w:p w14:paraId="71AFC749">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2.2.</w:t>
      </w:r>
      <w:r>
        <w:rPr>
          <w:rFonts w:hint="eastAsia" w:ascii="宋体" w:hAnsi="宋体" w:eastAsia="宋体" w:cs="Times New Roman"/>
          <w:color w:val="000000"/>
          <w:kern w:val="0"/>
          <w:sz w:val="22"/>
          <w:szCs w:val="22"/>
          <w:lang w:val="en-US" w:eastAsia="zh-CN"/>
        </w:rPr>
        <w:t>3</w:t>
      </w:r>
      <w:r>
        <w:rPr>
          <w:rFonts w:hint="eastAsia" w:ascii="宋体" w:hAnsi="宋体" w:eastAsia="宋体" w:cs="Times New Roman"/>
          <w:color w:val="000000"/>
          <w:kern w:val="0"/>
          <w:sz w:val="22"/>
          <w:szCs w:val="22"/>
        </w:rPr>
        <w:t xml:space="preserve"> 评分标准</w:t>
      </w:r>
    </w:p>
    <w:p w14:paraId="7AB978F7">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(1）施工组织设计评分标准：见评标办法前附表。</w:t>
      </w:r>
    </w:p>
    <w:p w14:paraId="23EC6784">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(2）项目管理机构评分标准：见评标办法前附表。</w:t>
      </w:r>
    </w:p>
    <w:p w14:paraId="5094E4CE">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(3）投标报价评分标准：见评标办法前附表。</w:t>
      </w:r>
    </w:p>
    <w:p w14:paraId="7D969C21">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(4）其他因素评分标准：见评标办法前附表。</w:t>
      </w:r>
    </w:p>
    <w:p w14:paraId="678160A7">
      <w:pPr>
        <w:keepNext/>
        <w:keepLines/>
        <w:widowControl w:val="0"/>
        <w:spacing w:before="260" w:after="260" w:line="415" w:lineRule="auto"/>
        <w:jc w:val="both"/>
        <w:outlineLvl w:val="1"/>
        <w:rPr>
          <w:rFonts w:hint="eastAsia" w:ascii="宋体" w:hAnsi="宋体" w:eastAsia="宋体" w:cs="Times New Roman"/>
          <w:b/>
          <w:bCs/>
          <w:color w:val="000000"/>
          <w:sz w:val="22"/>
          <w:szCs w:val="22"/>
        </w:rPr>
      </w:pPr>
      <w:bookmarkStart w:id="173" w:name="_Toc7902"/>
      <w:bookmarkStart w:id="174" w:name="_Toc17107"/>
      <w:bookmarkStart w:id="175" w:name="_Toc13837"/>
      <w:r>
        <w:rPr>
          <w:rFonts w:hint="eastAsia" w:ascii="宋体" w:hAnsi="宋体" w:eastAsia="宋体" w:cs="Times New Roman"/>
          <w:b/>
          <w:bCs/>
          <w:color w:val="000000"/>
          <w:sz w:val="22"/>
          <w:szCs w:val="22"/>
        </w:rPr>
        <w:t>3、评标程序</w:t>
      </w:r>
      <w:bookmarkEnd w:id="173"/>
      <w:bookmarkEnd w:id="174"/>
      <w:bookmarkEnd w:id="175"/>
    </w:p>
    <w:p w14:paraId="34DA0B8A">
      <w:pPr>
        <w:keepNext/>
        <w:keepLines/>
        <w:widowControl w:val="0"/>
        <w:spacing w:line="360" w:lineRule="auto"/>
        <w:jc w:val="both"/>
        <w:outlineLvl w:val="2"/>
        <w:rPr>
          <w:rFonts w:ascii="Calibri" w:hAnsi="Calibri" w:eastAsia="宋体" w:cs="Times New Roman"/>
          <w:b/>
          <w:bCs/>
          <w:color w:val="000000"/>
          <w:sz w:val="22"/>
          <w:szCs w:val="22"/>
        </w:rPr>
      </w:pPr>
      <w:r>
        <w:rPr>
          <w:rFonts w:hint="eastAsia" w:ascii="Calibri" w:hAnsi="Calibri" w:eastAsia="宋体" w:cs="Times New Roman"/>
          <w:b/>
          <w:bCs/>
          <w:color w:val="000000"/>
          <w:sz w:val="22"/>
          <w:szCs w:val="22"/>
        </w:rPr>
        <w:t>3.1 初步评审</w:t>
      </w:r>
    </w:p>
    <w:p w14:paraId="71875F96">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3.1.1评标委员会依据本章第2.1款规定的标准对投标文件进行初步评审。有一项不符合评审标准的，作否决投标处理。（适用于未进行资格预审的）</w:t>
      </w:r>
    </w:p>
    <w:p w14:paraId="4E461338">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3.1.1 评标委员会依据本章第2.1.1 项、第2.1.3 项规定的评审标准对投标文件进行初步评审。有一项不符合评审标准的，作否决投标处理。当投标人资格预审申请文件的内容发生重大变化时，评标委员会依据本章第2.1.2 项规定的标准对其更新资料进行评审。（适用于已进行资格预审的）</w:t>
      </w:r>
    </w:p>
    <w:p w14:paraId="15E5CC93">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3.1.2 投标人有以下情形之一的，其投标作否决投标处理：</w:t>
      </w:r>
    </w:p>
    <w:p w14:paraId="4F83D88E">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(l）第二章“投标人须知”第1.4.3 项规定的任何一种情形的；</w:t>
      </w:r>
    </w:p>
    <w:p w14:paraId="48B8E3AF">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(2）串通投标或弄虚作假或有其他违法行为的；</w:t>
      </w:r>
    </w:p>
    <w:p w14:paraId="3BD81884">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(3）不按评标委员会要求澄清、说明或补正的。</w:t>
      </w:r>
    </w:p>
    <w:p w14:paraId="0BD6DD32">
      <w:pPr>
        <w:spacing w:line="360" w:lineRule="auto"/>
        <w:ind w:left="376" w:leftChars="171"/>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3.1.3投标报价存在算数性错误的，应按以下原则对投标报价进行修正，评标委员会修正后的价格经投标人书面确认后具有约束力。投标人不接受修正价格或修正后价格高于</w:t>
      </w:r>
      <w:r>
        <w:rPr>
          <w:rFonts w:hint="eastAsia" w:ascii="宋体" w:hAnsi="宋体" w:cs="Times New Roman"/>
          <w:kern w:val="0"/>
          <w:sz w:val="22"/>
          <w:szCs w:val="22"/>
          <w:lang w:eastAsia="zh-CN"/>
        </w:rPr>
        <w:t>最高投标限价</w:t>
      </w:r>
      <w:r>
        <w:rPr>
          <w:rFonts w:hint="eastAsia" w:ascii="宋体" w:hAnsi="宋体" w:eastAsia="宋体" w:cs="Times New Roman"/>
          <w:kern w:val="0"/>
          <w:sz w:val="22"/>
          <w:szCs w:val="22"/>
        </w:rPr>
        <w:t>的，评标委员会应否决其投标。</w:t>
      </w:r>
    </w:p>
    <w:p w14:paraId="38B52DAC">
      <w:pPr>
        <w:spacing w:line="360" w:lineRule="auto"/>
        <w:ind w:left="376" w:leftChars="171"/>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（1）当综合单价与工程量（或计算基础金额与费率）的乘积与合价不一致时，以综合单价（或费率）为准修正合价及总价；</w:t>
      </w:r>
    </w:p>
    <w:p w14:paraId="663FDC5B">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kern w:val="0"/>
          <w:sz w:val="22"/>
          <w:szCs w:val="22"/>
        </w:rPr>
        <w:t>（2）当各单项金额相加与其合计金额不一致时，以各单项金额为准修正相应合计金额及总价。</w:t>
      </w:r>
    </w:p>
    <w:p w14:paraId="20A8A24B">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kern w:val="0"/>
          <w:sz w:val="22"/>
          <w:szCs w:val="22"/>
        </w:rPr>
        <w:t>3.1.4评标前，评标委员会应通过各级公共资源交易服务中心评标系统对所有投标文件的编制电脑机器码进行检查。对于投标文件编制电脑机器码相同的投标文件，评标委员会应以涉嫌围标串标对涉及的投标人的投标文件作否决投标处理。</w:t>
      </w:r>
    </w:p>
    <w:p w14:paraId="0C5A25E5">
      <w:pPr>
        <w:keepNext/>
        <w:keepLines/>
        <w:widowControl w:val="0"/>
        <w:spacing w:line="360" w:lineRule="auto"/>
        <w:jc w:val="both"/>
        <w:outlineLvl w:val="2"/>
        <w:rPr>
          <w:rFonts w:ascii="Calibri" w:hAnsi="Calibri" w:eastAsia="宋体" w:cs="Times New Roman"/>
          <w:b/>
          <w:bCs/>
          <w:color w:val="000000"/>
          <w:sz w:val="22"/>
          <w:szCs w:val="22"/>
        </w:rPr>
      </w:pPr>
      <w:r>
        <w:rPr>
          <w:rFonts w:hint="eastAsia" w:ascii="Calibri" w:hAnsi="Calibri" w:eastAsia="宋体" w:cs="Times New Roman"/>
          <w:b/>
          <w:bCs/>
          <w:color w:val="000000"/>
          <w:sz w:val="22"/>
          <w:szCs w:val="22"/>
        </w:rPr>
        <w:t>3.2 详细评审</w:t>
      </w:r>
    </w:p>
    <w:p w14:paraId="2A67A880">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3.2.1 评标委员会按本章第2.2 款规定的量化因素和分值进行打分，并计算出综合评估得分。</w:t>
      </w:r>
    </w:p>
    <w:p w14:paraId="76BCCD7B">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(1）按本章第2.2.</w:t>
      </w:r>
      <w:r>
        <w:rPr>
          <w:rFonts w:hint="eastAsia" w:ascii="宋体" w:hAnsi="宋体" w:eastAsia="宋体" w:cs="Times New Roman"/>
          <w:color w:val="000000"/>
          <w:kern w:val="0"/>
          <w:sz w:val="22"/>
          <w:szCs w:val="22"/>
          <w:lang w:val="en-US" w:eastAsia="zh-CN"/>
        </w:rPr>
        <w:t>3</w:t>
      </w:r>
      <w:r>
        <w:rPr>
          <w:rFonts w:hint="eastAsia" w:ascii="宋体" w:hAnsi="宋体" w:eastAsia="宋体" w:cs="Times New Roman"/>
          <w:color w:val="000000"/>
          <w:kern w:val="0"/>
          <w:sz w:val="22"/>
          <w:szCs w:val="22"/>
        </w:rPr>
        <w:t>(1）目规定的评审因素和分值对施工组织设计计算出得分A。</w:t>
      </w:r>
    </w:p>
    <w:p w14:paraId="35BFBE94">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(2）按本章第2.2.</w:t>
      </w:r>
      <w:r>
        <w:rPr>
          <w:rFonts w:hint="eastAsia" w:ascii="宋体" w:hAnsi="宋体" w:eastAsia="宋体" w:cs="Times New Roman"/>
          <w:color w:val="000000"/>
          <w:kern w:val="0"/>
          <w:sz w:val="22"/>
          <w:szCs w:val="22"/>
          <w:lang w:val="en-US" w:eastAsia="zh-CN"/>
        </w:rPr>
        <w:t>3</w:t>
      </w:r>
      <w:r>
        <w:rPr>
          <w:rFonts w:hint="eastAsia" w:ascii="宋体" w:hAnsi="宋体" w:eastAsia="宋体" w:cs="Times New Roman"/>
          <w:color w:val="000000"/>
          <w:kern w:val="0"/>
          <w:sz w:val="22"/>
          <w:szCs w:val="22"/>
        </w:rPr>
        <w:t>(2）目规定的评审因素和分值对项目管理机构计算出得分B。</w:t>
      </w:r>
    </w:p>
    <w:p w14:paraId="0BCF5E7C">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(3）按本章第2.2.</w:t>
      </w:r>
      <w:r>
        <w:rPr>
          <w:rFonts w:hint="eastAsia" w:ascii="宋体" w:hAnsi="宋体" w:eastAsia="宋体" w:cs="Times New Roman"/>
          <w:color w:val="000000"/>
          <w:kern w:val="0"/>
          <w:sz w:val="22"/>
          <w:szCs w:val="22"/>
          <w:lang w:val="en-US" w:eastAsia="zh-CN"/>
        </w:rPr>
        <w:t>3</w:t>
      </w:r>
      <w:r>
        <w:rPr>
          <w:rFonts w:hint="eastAsia" w:ascii="宋体" w:hAnsi="宋体" w:eastAsia="宋体" w:cs="Times New Roman"/>
          <w:color w:val="000000"/>
          <w:kern w:val="0"/>
          <w:sz w:val="22"/>
          <w:szCs w:val="22"/>
        </w:rPr>
        <w:t>(3）目规定的评审因素和分值对投标报价计算出得分C。</w:t>
      </w:r>
    </w:p>
    <w:p w14:paraId="54DAF64B">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(4）按本章第2.2.</w:t>
      </w:r>
      <w:r>
        <w:rPr>
          <w:rFonts w:hint="eastAsia" w:ascii="宋体" w:hAnsi="宋体" w:eastAsia="宋体" w:cs="Times New Roman"/>
          <w:color w:val="000000"/>
          <w:kern w:val="0"/>
          <w:sz w:val="22"/>
          <w:szCs w:val="22"/>
          <w:lang w:val="en-US" w:eastAsia="zh-CN"/>
        </w:rPr>
        <w:t>3</w:t>
      </w:r>
      <w:r>
        <w:rPr>
          <w:rFonts w:hint="eastAsia" w:ascii="宋体" w:hAnsi="宋体" w:eastAsia="宋体" w:cs="Times New Roman"/>
          <w:color w:val="000000"/>
          <w:kern w:val="0"/>
          <w:sz w:val="22"/>
          <w:szCs w:val="22"/>
        </w:rPr>
        <w:t>(4）目规定的评审因素和分值对其他部分计算出得分D。</w:t>
      </w:r>
    </w:p>
    <w:p w14:paraId="731B6CA1">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3.2.2 评分分值计算保留小数点后两位，小数点后第三位“四舍五入”。</w:t>
      </w:r>
    </w:p>
    <w:p w14:paraId="649B2122">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3.2.3 投标人得分＝A</w:t>
      </w:r>
      <w:r>
        <w:rPr>
          <w:rFonts w:hint="eastAsia" w:ascii="宋体" w:hAnsi="宋体" w:cs="Times New Roman"/>
          <w:color w:val="000000"/>
          <w:kern w:val="0"/>
          <w:sz w:val="22"/>
          <w:szCs w:val="22"/>
          <w:lang w:val="en-US" w:eastAsia="zh-CN"/>
        </w:rPr>
        <w:t>+</w:t>
      </w:r>
      <w:r>
        <w:rPr>
          <w:rFonts w:hint="eastAsia" w:ascii="宋体" w:hAnsi="宋体" w:eastAsia="宋体" w:cs="Times New Roman"/>
          <w:color w:val="000000"/>
          <w:kern w:val="0"/>
          <w:sz w:val="22"/>
          <w:szCs w:val="22"/>
        </w:rPr>
        <w:t>B</w:t>
      </w:r>
      <w:r>
        <w:rPr>
          <w:rFonts w:hint="eastAsia" w:ascii="宋体" w:hAnsi="宋体" w:cs="Times New Roman"/>
          <w:color w:val="000000"/>
          <w:kern w:val="0"/>
          <w:sz w:val="22"/>
          <w:szCs w:val="22"/>
          <w:lang w:val="en-US" w:eastAsia="zh-CN"/>
        </w:rPr>
        <w:t>+</w:t>
      </w:r>
      <w:r>
        <w:rPr>
          <w:rFonts w:hint="eastAsia" w:ascii="宋体" w:hAnsi="宋体" w:eastAsia="宋体" w:cs="Times New Roman"/>
          <w:color w:val="000000"/>
          <w:kern w:val="0"/>
          <w:sz w:val="22"/>
          <w:szCs w:val="22"/>
        </w:rPr>
        <w:t>C</w:t>
      </w:r>
      <w:r>
        <w:rPr>
          <w:rFonts w:hint="eastAsia" w:ascii="宋体" w:hAnsi="宋体" w:cs="Times New Roman"/>
          <w:color w:val="000000"/>
          <w:kern w:val="0"/>
          <w:sz w:val="22"/>
          <w:szCs w:val="22"/>
          <w:lang w:val="en-US" w:eastAsia="zh-CN"/>
        </w:rPr>
        <w:t>+</w:t>
      </w:r>
      <w:r>
        <w:rPr>
          <w:rFonts w:hint="eastAsia" w:ascii="宋体" w:hAnsi="宋体" w:eastAsia="宋体" w:cs="Times New Roman"/>
          <w:color w:val="000000"/>
          <w:kern w:val="0"/>
          <w:sz w:val="22"/>
          <w:szCs w:val="22"/>
        </w:rPr>
        <w:t>D</w:t>
      </w:r>
      <w:r>
        <w:rPr>
          <w:rFonts w:ascii="宋体" w:hAnsi="宋体" w:eastAsia="宋体" w:cs="Times New Roman"/>
          <w:color w:val="000000"/>
          <w:kern w:val="0"/>
          <w:sz w:val="22"/>
          <w:szCs w:val="22"/>
        </w:rPr>
        <w:t xml:space="preserve"> </w:t>
      </w:r>
      <w:r>
        <w:rPr>
          <w:rFonts w:hint="eastAsia" w:ascii="宋体" w:hAnsi="宋体" w:eastAsia="宋体" w:cs="Times New Roman"/>
          <w:color w:val="000000"/>
          <w:kern w:val="0"/>
          <w:sz w:val="22"/>
          <w:szCs w:val="22"/>
        </w:rPr>
        <w:t>。</w:t>
      </w:r>
    </w:p>
    <w:p w14:paraId="072B5D25">
      <w:pPr>
        <w:spacing w:line="360" w:lineRule="auto"/>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否决投标处理。</w:t>
      </w:r>
    </w:p>
    <w:p w14:paraId="12158F5B">
      <w:pPr>
        <w:keepNext/>
        <w:keepLines/>
        <w:widowControl w:val="0"/>
        <w:spacing w:line="360" w:lineRule="auto"/>
        <w:jc w:val="both"/>
        <w:outlineLvl w:val="2"/>
        <w:rPr>
          <w:rFonts w:hint="eastAsia" w:ascii="宋体" w:hAnsi="宋体" w:eastAsia="宋体" w:cs="Times New Roman"/>
          <w:b/>
          <w:bCs/>
          <w:color w:val="000000"/>
          <w:sz w:val="22"/>
          <w:szCs w:val="22"/>
        </w:rPr>
      </w:pPr>
      <w:r>
        <w:rPr>
          <w:rFonts w:hint="eastAsia" w:ascii="宋体" w:hAnsi="宋体" w:eastAsia="宋体" w:cs="Times New Roman"/>
          <w:b/>
          <w:bCs/>
          <w:color w:val="000000"/>
          <w:sz w:val="22"/>
          <w:szCs w:val="22"/>
        </w:rPr>
        <w:t>3.3 投标文件的澄清和补正</w:t>
      </w:r>
    </w:p>
    <w:p w14:paraId="1BCD0E48">
      <w:pPr>
        <w:keepNext w:val="0"/>
        <w:keepLines w:val="0"/>
        <w:suppressLineNumbers w:val="0"/>
        <w:snapToGrid/>
        <w:spacing w:before="0" w:beforeAutospacing="0" w:after="0" w:afterAutospacing="0"/>
        <w:ind w:left="0" w:right="0" w:firstLine="440" w:firstLineChars="200"/>
        <w:jc w:val="both"/>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3.3.1 评标专家在评审过程中，对认为需要投标人澄清、说明或补正的事项，应提请评标委员会向投标人发出书面《评标委员会向投标人质疑函》（详附件1.1）进行询问。投标人的澄清、说明或补正应当采用书面形式，并由其法定代表人或授权代理人签字或签章。</w:t>
      </w:r>
    </w:p>
    <w:p w14:paraId="1DEBE9EF">
      <w:pPr>
        <w:keepNext w:val="0"/>
        <w:keepLines w:val="0"/>
        <w:suppressLineNumbers w:val="0"/>
        <w:snapToGrid/>
        <w:spacing w:before="0" w:beforeAutospacing="0" w:after="0" w:afterAutospacing="0"/>
        <w:ind w:left="0" w:right="0" w:firstLine="440" w:firstLineChars="200"/>
        <w:jc w:val="both"/>
        <w:rPr>
          <w:rFonts w:hint="eastAsia" w:ascii="宋体" w:hAnsi="宋体" w:cs="Times New Roman"/>
          <w:b w:val="0"/>
          <w:bCs w:val="0"/>
          <w:i w:val="0"/>
          <w:color w:val="000000"/>
          <w:highlight w:val="none"/>
        </w:rPr>
      </w:pPr>
      <w:r>
        <w:rPr>
          <w:rFonts w:hint="eastAsia" w:ascii="宋体" w:hAnsi="宋体" w:cs="Times New Roman"/>
          <w:b w:val="0"/>
          <w:bCs w:val="0"/>
          <w:i w:val="0"/>
          <w:color w:val="000000"/>
          <w:highlight w:val="none"/>
        </w:rPr>
        <w:t>3.3.2 如果评标委员会对投标人提交的澄清、说明或补正依然存在疑问，可以进一步要求投标人澄清、说明或补正，直至评标委员会认为全部疑问得到澄清和说明。</w:t>
      </w:r>
    </w:p>
    <w:p w14:paraId="18A40957">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jc w:val="both"/>
        <w:textAlignment w:val="auto"/>
        <w:rPr>
          <w:rFonts w:hint="eastAsia" w:ascii="宋体" w:hAnsi="宋体" w:eastAsia="宋体" w:cs="Times New Roman"/>
          <w:color w:val="000000"/>
          <w:kern w:val="0"/>
          <w:sz w:val="22"/>
          <w:szCs w:val="22"/>
        </w:rPr>
      </w:pPr>
      <w:r>
        <w:rPr>
          <w:rFonts w:hint="eastAsia" w:ascii="宋体" w:hAnsi="宋体" w:cs="Times New Roman"/>
          <w:b w:val="0"/>
          <w:bCs w:val="0"/>
          <w:i w:val="0"/>
          <w:color w:val="000000"/>
          <w:highlight w:val="none"/>
        </w:rPr>
        <w:t>3.3.3 如果投标人未按规定对《评标委员会向投标人质疑函》内容要求作出澄清、说明或补正的，其投标应予以否决。评标委员会发出的《评标委员会向投标人质疑函》应当给予投标人合理的澄清、说明或补正所需时间。</w:t>
      </w:r>
      <w:r>
        <w:rPr>
          <w:rFonts w:hint="eastAsia" w:ascii="宋体" w:hAnsi="宋体" w:eastAsia="宋体" w:cs="Times New Roman"/>
          <w:kern w:val="0"/>
          <w:sz w:val="22"/>
          <w:szCs w:val="22"/>
        </w:rPr>
        <w:t>。</w:t>
      </w:r>
    </w:p>
    <w:p w14:paraId="26E33314">
      <w:pPr>
        <w:keepNext/>
        <w:keepLines/>
        <w:widowControl w:val="0"/>
        <w:spacing w:line="360" w:lineRule="auto"/>
        <w:jc w:val="both"/>
        <w:outlineLvl w:val="2"/>
        <w:rPr>
          <w:rFonts w:hint="eastAsia" w:ascii="宋体" w:hAnsi="宋体" w:eastAsia="宋体" w:cs="Times New Roman"/>
          <w:b/>
          <w:bCs/>
          <w:color w:val="000000"/>
          <w:sz w:val="22"/>
          <w:szCs w:val="22"/>
        </w:rPr>
      </w:pPr>
      <w:r>
        <w:rPr>
          <w:rFonts w:hint="eastAsia" w:ascii="宋体" w:hAnsi="宋体" w:eastAsia="宋体" w:cs="Times New Roman"/>
          <w:b/>
          <w:bCs/>
          <w:color w:val="000000"/>
          <w:sz w:val="22"/>
          <w:szCs w:val="22"/>
        </w:rPr>
        <w:t>3.4 招标文件的澄清和补正</w:t>
      </w:r>
    </w:p>
    <w:p w14:paraId="194A4156">
      <w:pPr>
        <w:keepNext w:val="0"/>
        <w:keepLines w:val="0"/>
        <w:widowControl/>
        <w:spacing w:line="360" w:lineRule="auto"/>
        <w:ind w:firstLine="440" w:firstLineChars="200"/>
        <w:jc w:val="both"/>
        <w:outlineLvl w:val="9"/>
        <w:rPr>
          <w:rFonts w:hint="eastAsia" w:ascii="宋体" w:hAnsi="宋体" w:eastAsia="宋体" w:cs="Times New Roman"/>
          <w:b w:val="0"/>
          <w:bCs w:val="0"/>
          <w:color w:val="000000"/>
          <w:sz w:val="22"/>
          <w:szCs w:val="24"/>
          <w:highlight w:val="none"/>
        </w:rPr>
      </w:pPr>
      <w:r>
        <w:rPr>
          <w:rFonts w:hint="eastAsia" w:ascii="宋体" w:hAnsi="宋体" w:eastAsia="宋体" w:cs="Times New Roman"/>
          <w:b w:val="0"/>
          <w:bCs w:val="0"/>
          <w:color w:val="000000"/>
          <w:sz w:val="22"/>
          <w:szCs w:val="24"/>
          <w:highlight w:val="none"/>
        </w:rPr>
        <w:t>3.4.1评标专家在评审过程中，认为需要招标人对招标文件进行解释、说明的事项，应提请评标委员会向招标人发出书面《评标委员会向招标人质疑函》（详附件1.2）进行询问。招标人的解释、说明应当采用书面形式，并由其法定代表人或授权代理人签字或签章。招标人的解释、说明应当合法、公平、公正，并不得改变招标文件的实质性内容。</w:t>
      </w:r>
    </w:p>
    <w:p w14:paraId="1BD46D80">
      <w:pPr>
        <w:keepNext w:val="0"/>
        <w:keepLines w:val="0"/>
        <w:widowControl/>
        <w:spacing w:line="360" w:lineRule="auto"/>
        <w:ind w:firstLine="440" w:firstLineChars="200"/>
        <w:jc w:val="both"/>
        <w:outlineLvl w:val="9"/>
        <w:rPr>
          <w:rFonts w:hint="eastAsia" w:ascii="宋体" w:hAnsi="宋体" w:eastAsia="宋体" w:cs="Times New Roman"/>
          <w:b w:val="0"/>
          <w:bCs w:val="0"/>
          <w:color w:val="000000"/>
          <w:sz w:val="22"/>
          <w:szCs w:val="24"/>
          <w:highlight w:val="none"/>
        </w:rPr>
      </w:pPr>
      <w:r>
        <w:rPr>
          <w:rFonts w:hint="eastAsia" w:ascii="宋体" w:hAnsi="宋体" w:eastAsia="宋体" w:cs="Times New Roman"/>
          <w:b w:val="0"/>
          <w:bCs w:val="0"/>
          <w:color w:val="000000"/>
          <w:sz w:val="22"/>
          <w:szCs w:val="24"/>
          <w:highlight w:val="none"/>
        </w:rPr>
        <w:t>3.4.2如果招标人未按规定提交《评标委员会向招标人质疑函》，评标委员会可暂停评标或按不利于招标人的方式处理，招标人承担相应责任。</w:t>
      </w:r>
    </w:p>
    <w:p w14:paraId="12207703">
      <w:pPr>
        <w:keepNext w:val="0"/>
        <w:keepLines w:val="0"/>
        <w:widowControl/>
        <w:spacing w:line="240" w:lineRule="auto"/>
        <w:ind w:firstLine="0" w:firstLineChars="0"/>
        <w:jc w:val="both"/>
        <w:outlineLvl w:val="9"/>
        <w:rPr>
          <w:rFonts w:hint="eastAsia" w:ascii="宋体" w:hAnsi="宋体" w:eastAsia="宋体" w:cs="Times New Roman"/>
          <w:b/>
          <w:bCs/>
          <w:color w:val="000000"/>
          <w:sz w:val="22"/>
          <w:szCs w:val="22"/>
        </w:rPr>
      </w:pPr>
      <w:r>
        <w:rPr>
          <w:rFonts w:hint="eastAsia" w:ascii="宋体" w:hAnsi="宋体" w:eastAsia="宋体" w:cs="Times New Roman"/>
          <w:b/>
          <w:bCs/>
          <w:color w:val="000000"/>
          <w:sz w:val="22"/>
          <w:szCs w:val="22"/>
        </w:rPr>
        <w:t>3.5 评标结果</w:t>
      </w:r>
    </w:p>
    <w:p w14:paraId="402FBC95">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jc w:val="both"/>
        <w:textAlignment w:val="auto"/>
        <w:rPr>
          <w:rFonts w:hint="eastAsia" w:ascii="宋体" w:hAnsi="宋体" w:eastAsia="宋体" w:cs="Times New Roman"/>
          <w:kern w:val="0"/>
          <w:sz w:val="22"/>
          <w:szCs w:val="22"/>
        </w:rPr>
      </w:pPr>
      <w:r>
        <w:rPr>
          <w:rFonts w:hint="eastAsia" w:ascii="宋体" w:hAnsi="宋体" w:eastAsia="宋体" w:cs="Times New Roman"/>
          <w:color w:val="000000"/>
          <w:kern w:val="0"/>
          <w:sz w:val="22"/>
          <w:szCs w:val="22"/>
          <w:lang w:val="en-US" w:eastAsia="zh-CN"/>
        </w:rPr>
        <w:t>3.5.1</w:t>
      </w:r>
      <w:r>
        <w:rPr>
          <w:rFonts w:hint="eastAsia" w:ascii="宋体" w:hAnsi="宋体" w:eastAsia="宋体" w:cs="Times New Roman"/>
          <w:kern w:val="0"/>
          <w:sz w:val="22"/>
          <w:szCs w:val="22"/>
        </w:rPr>
        <w:t>评标委员会按照本章“1.评标方法”规定，推荐中标候选人。</w:t>
      </w:r>
    </w:p>
    <w:p w14:paraId="65E6D5CD">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jc w:val="both"/>
        <w:textAlignment w:val="auto"/>
        <w:rPr>
          <w:rFonts w:ascii="Calibri" w:hAnsi="Calibri" w:eastAsia="宋体" w:cs="Times New Roman"/>
          <w:color w:val="000000"/>
          <w:kern w:val="0"/>
          <w:sz w:val="22"/>
          <w:szCs w:val="22"/>
        </w:rPr>
      </w:pPr>
      <w:r>
        <w:rPr>
          <w:rFonts w:hint="eastAsia" w:ascii="宋体" w:hAnsi="宋体" w:eastAsia="宋体" w:cs="宋体"/>
          <w:color w:val="000000"/>
          <w:kern w:val="0"/>
          <w:sz w:val="22"/>
          <w:szCs w:val="22"/>
        </w:rPr>
        <w:t>3.5.2 评标</w:t>
      </w:r>
      <w:r>
        <w:rPr>
          <w:rFonts w:hint="eastAsia" w:ascii="Calibri" w:hAnsi="Calibri" w:eastAsia="宋体" w:cs="Times New Roman"/>
          <w:color w:val="000000"/>
          <w:kern w:val="0"/>
          <w:sz w:val="22"/>
          <w:szCs w:val="22"/>
        </w:rPr>
        <w:t>委员会完成评标后，应当向招标人提交书面评标报告</w:t>
      </w:r>
    </w:p>
    <w:p w14:paraId="6CA47846">
      <w:pPr>
        <w:spacing w:line="360" w:lineRule="auto"/>
        <w:jc w:val="both"/>
        <w:rPr>
          <w:rFonts w:ascii="Calibri" w:hAnsi="Calibri" w:eastAsia="宋体" w:cs="Times New Roman"/>
          <w:color w:val="000000"/>
          <w:kern w:val="0"/>
          <w:sz w:val="21"/>
          <w:szCs w:val="22"/>
        </w:rPr>
      </w:pPr>
    </w:p>
    <w:p w14:paraId="70C76A5A">
      <w:pPr>
        <w:widowControl/>
        <w:spacing w:line="240" w:lineRule="auto"/>
        <w:jc w:val="left"/>
        <w:rPr>
          <w:rFonts w:ascii="Calibri" w:hAnsi="Calibri" w:eastAsia="宋体" w:cs="Times New Roman"/>
          <w:color w:val="000000"/>
          <w:kern w:val="0"/>
          <w:sz w:val="21"/>
          <w:szCs w:val="22"/>
        </w:rPr>
      </w:pPr>
      <w:r>
        <w:rPr>
          <w:rFonts w:ascii="Calibri" w:hAnsi="Calibri" w:eastAsia="宋体" w:cs="Times New Roman"/>
          <w:color w:val="000000"/>
          <w:kern w:val="0"/>
          <w:sz w:val="21"/>
          <w:szCs w:val="22"/>
        </w:rPr>
        <w:br w:type="page"/>
      </w:r>
    </w:p>
    <w:p w14:paraId="2A7B928F">
      <w:pPr>
        <w:keepNext/>
        <w:keepLines/>
        <w:widowControl w:val="0"/>
        <w:spacing w:line="360" w:lineRule="auto"/>
        <w:jc w:val="both"/>
        <w:outlineLvl w:val="2"/>
        <w:rPr>
          <w:rFonts w:ascii="Calibri" w:hAnsi="Calibri" w:eastAsia="宋体" w:cs="Times New Roman"/>
          <w:b/>
          <w:bCs/>
          <w:sz w:val="22"/>
          <w:szCs w:val="22"/>
        </w:rPr>
      </w:pPr>
      <w:r>
        <w:rPr>
          <w:rFonts w:hint="eastAsia" w:ascii="Calibri" w:hAnsi="Calibri" w:eastAsia="宋体" w:cs="Times New Roman"/>
          <w:b/>
          <w:bCs/>
          <w:sz w:val="22"/>
          <w:szCs w:val="22"/>
        </w:rPr>
        <w:t>附件1：质疑用表</w:t>
      </w:r>
    </w:p>
    <w:p w14:paraId="152BED6A">
      <w:pPr>
        <w:spacing w:line="240" w:lineRule="auto"/>
        <w:jc w:val="left"/>
        <w:rPr>
          <w:rFonts w:hint="eastAsia" w:ascii="Calibri" w:hAnsi="Calibri" w:eastAsia="宋体" w:cs="Times New Roman"/>
          <w:kern w:val="0"/>
          <w:sz w:val="22"/>
          <w:szCs w:val="22"/>
          <w:lang w:eastAsia="zh-CN"/>
        </w:rPr>
      </w:pPr>
      <w:r>
        <w:rPr>
          <w:rFonts w:hint="eastAsia" w:ascii="Calibri" w:hAnsi="Calibri" w:eastAsia="宋体" w:cs="Times New Roman"/>
          <w:kern w:val="0"/>
          <w:sz w:val="22"/>
          <w:szCs w:val="22"/>
        </w:rPr>
        <w:t>1.1</w:t>
      </w:r>
      <w:r>
        <w:rPr>
          <w:rFonts w:hint="eastAsia" w:ascii="Calibri" w:hAnsi="Calibri" w:cs="Times New Roman"/>
          <w:kern w:val="0"/>
          <w:sz w:val="22"/>
          <w:szCs w:val="22"/>
          <w:lang w:eastAsia="zh-CN"/>
        </w:rPr>
        <w:t>评标委员会向投标人质疑函</w:t>
      </w:r>
    </w:p>
    <w:p w14:paraId="4C980A93">
      <w:pPr>
        <w:widowControl w:val="0"/>
        <w:ind w:left="720" w:firstLine="0" w:firstLineChars="0"/>
        <w:jc w:val="center"/>
        <w:rPr>
          <w:rFonts w:hint="eastAsia" w:ascii="Calibri" w:hAnsi="Calibri" w:eastAsia="宋体" w:cs="Times New Roman"/>
          <w:b/>
          <w:sz w:val="22"/>
          <w:szCs w:val="22"/>
          <w:lang w:eastAsia="zh-CN"/>
        </w:rPr>
      </w:pPr>
      <w:r>
        <w:rPr>
          <w:rFonts w:hint="eastAsia" w:ascii="Calibri" w:hAnsi="Calibri" w:cs="Times New Roman"/>
          <w:b/>
          <w:sz w:val="22"/>
          <w:szCs w:val="22"/>
          <w:lang w:eastAsia="zh-CN"/>
        </w:rPr>
        <w:t>评标委员会向投标人质疑函</w:t>
      </w:r>
    </w:p>
    <w:p w14:paraId="55304439">
      <w:pPr>
        <w:spacing w:line="360" w:lineRule="auto"/>
        <w:jc w:val="both"/>
        <w:rPr>
          <w:rFonts w:ascii="Calibri" w:hAnsi="Calibri" w:eastAsia="宋体" w:cs="Times New Roman"/>
          <w:kern w:val="0"/>
          <w:sz w:val="22"/>
          <w:szCs w:val="22"/>
        </w:rPr>
      </w:pPr>
      <w:r>
        <w:rPr>
          <w:rFonts w:hint="eastAsia" w:ascii="Calibri" w:hAnsi="Calibri" w:eastAsia="宋体" w:cs="Times New Roman"/>
          <w:kern w:val="0"/>
          <w:sz w:val="22"/>
          <w:szCs w:val="22"/>
        </w:rPr>
        <w:t>投标人名称：                                            编号：</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7824"/>
      </w:tblGrid>
      <w:tr w14:paraId="41D50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1668" w:type="dxa"/>
            <w:gridSpan w:val="2"/>
            <w:vAlign w:val="center"/>
          </w:tcPr>
          <w:p w14:paraId="1A2BAF27">
            <w:pPr>
              <w:spacing w:line="36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工程名称</w:t>
            </w:r>
          </w:p>
        </w:tc>
        <w:tc>
          <w:tcPr>
            <w:tcW w:w="7824" w:type="dxa"/>
            <w:vAlign w:val="center"/>
          </w:tcPr>
          <w:p w14:paraId="10DC3A55">
            <w:pPr>
              <w:spacing w:line="360" w:lineRule="auto"/>
              <w:ind w:firstLine="2310" w:firstLineChars="1050"/>
              <w:jc w:val="center"/>
              <w:rPr>
                <w:rFonts w:ascii="Calibri" w:hAnsi="Calibri" w:eastAsia="宋体" w:cs="Times New Roman"/>
                <w:kern w:val="0"/>
                <w:sz w:val="22"/>
                <w:szCs w:val="22"/>
              </w:rPr>
            </w:pPr>
          </w:p>
        </w:tc>
      </w:tr>
      <w:tr w14:paraId="0C7C0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23" w:hRule="atLeast"/>
          <w:jc w:val="center"/>
        </w:trPr>
        <w:tc>
          <w:tcPr>
            <w:tcW w:w="817" w:type="dxa"/>
          </w:tcPr>
          <w:p w14:paraId="05863D58">
            <w:pPr>
              <w:spacing w:line="240" w:lineRule="auto"/>
              <w:jc w:val="center"/>
              <w:rPr>
                <w:rFonts w:ascii="Calibri" w:hAnsi="Calibri" w:eastAsia="宋体" w:cs="Times New Roman"/>
                <w:kern w:val="0"/>
                <w:sz w:val="22"/>
                <w:szCs w:val="22"/>
              </w:rPr>
            </w:pPr>
          </w:p>
          <w:p w14:paraId="1783514B">
            <w:pPr>
              <w:spacing w:line="240" w:lineRule="auto"/>
              <w:jc w:val="center"/>
              <w:rPr>
                <w:rFonts w:ascii="Calibri" w:hAnsi="Calibri" w:eastAsia="宋体" w:cs="Times New Roman"/>
                <w:kern w:val="0"/>
                <w:sz w:val="22"/>
                <w:szCs w:val="22"/>
              </w:rPr>
            </w:pPr>
          </w:p>
          <w:p w14:paraId="0BE1BFAE">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质</w:t>
            </w:r>
          </w:p>
          <w:p w14:paraId="7553A572">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疑</w:t>
            </w:r>
          </w:p>
          <w:p w14:paraId="30DC7F62">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问</w:t>
            </w:r>
          </w:p>
          <w:p w14:paraId="6B6BB74F">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题</w:t>
            </w:r>
          </w:p>
          <w:p w14:paraId="6729B453">
            <w:pPr>
              <w:spacing w:line="240" w:lineRule="auto"/>
              <w:jc w:val="center"/>
              <w:rPr>
                <w:rFonts w:ascii="Calibri" w:hAnsi="Calibri" w:eastAsia="宋体" w:cs="Times New Roman"/>
                <w:kern w:val="0"/>
                <w:sz w:val="22"/>
                <w:szCs w:val="22"/>
              </w:rPr>
            </w:pPr>
          </w:p>
        </w:tc>
        <w:tc>
          <w:tcPr>
            <w:tcW w:w="8675" w:type="dxa"/>
            <w:gridSpan w:val="2"/>
          </w:tcPr>
          <w:p w14:paraId="71B3E8E2">
            <w:pPr>
              <w:spacing w:line="240" w:lineRule="auto"/>
              <w:jc w:val="right"/>
              <w:rPr>
                <w:rFonts w:ascii="Calibri" w:hAnsi="Calibri" w:eastAsia="宋体" w:cs="Times New Roman"/>
                <w:kern w:val="0"/>
                <w:sz w:val="22"/>
                <w:szCs w:val="22"/>
              </w:rPr>
            </w:pPr>
          </w:p>
          <w:p w14:paraId="5E190062">
            <w:pPr>
              <w:spacing w:line="240" w:lineRule="auto"/>
              <w:jc w:val="right"/>
              <w:rPr>
                <w:rFonts w:ascii="Calibri" w:hAnsi="Calibri" w:eastAsia="宋体" w:cs="Times New Roman"/>
                <w:kern w:val="0"/>
                <w:sz w:val="22"/>
                <w:szCs w:val="22"/>
              </w:rPr>
            </w:pPr>
          </w:p>
          <w:p w14:paraId="7E46D15B">
            <w:pPr>
              <w:spacing w:line="240" w:lineRule="auto"/>
              <w:jc w:val="right"/>
              <w:rPr>
                <w:rFonts w:ascii="Calibri" w:hAnsi="Calibri" w:eastAsia="宋体" w:cs="Times New Roman"/>
                <w:kern w:val="0"/>
                <w:sz w:val="22"/>
                <w:szCs w:val="22"/>
              </w:rPr>
            </w:pPr>
          </w:p>
          <w:p w14:paraId="48667E9F">
            <w:pPr>
              <w:spacing w:line="240" w:lineRule="auto"/>
              <w:jc w:val="right"/>
              <w:rPr>
                <w:rFonts w:ascii="Calibri" w:hAnsi="Calibri" w:eastAsia="宋体" w:cs="Times New Roman"/>
                <w:kern w:val="0"/>
                <w:sz w:val="22"/>
                <w:szCs w:val="22"/>
              </w:rPr>
            </w:pPr>
          </w:p>
          <w:p w14:paraId="7F5938E4">
            <w:pPr>
              <w:spacing w:line="240" w:lineRule="auto"/>
              <w:jc w:val="right"/>
              <w:rPr>
                <w:rFonts w:ascii="Calibri" w:hAnsi="Calibri" w:eastAsia="宋体" w:cs="Times New Roman"/>
                <w:kern w:val="0"/>
                <w:sz w:val="22"/>
                <w:szCs w:val="22"/>
                <w:u w:val="single"/>
              </w:rPr>
            </w:pPr>
          </w:p>
          <w:p w14:paraId="480F27C8">
            <w:pPr>
              <w:spacing w:line="240" w:lineRule="auto"/>
              <w:jc w:val="right"/>
              <w:rPr>
                <w:rFonts w:ascii="Calibri" w:hAnsi="Calibri" w:eastAsia="宋体" w:cs="Times New Roman"/>
                <w:kern w:val="0"/>
                <w:sz w:val="22"/>
                <w:szCs w:val="22"/>
              </w:rPr>
            </w:pPr>
            <w:r>
              <w:rPr>
                <w:rFonts w:hint="eastAsia" w:ascii="Calibri" w:hAnsi="Calibri" w:eastAsia="宋体" w:cs="Times New Roman"/>
                <w:kern w:val="0"/>
                <w:sz w:val="22"/>
                <w:szCs w:val="22"/>
                <w:u w:val="single"/>
              </w:rPr>
              <w:t xml:space="preserve">   </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（项目名称）</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标段施工招标评标委员会</w:t>
            </w:r>
          </w:p>
          <w:p w14:paraId="68432E15">
            <w:pPr>
              <w:spacing w:line="240" w:lineRule="auto"/>
              <w:jc w:val="right"/>
              <w:rPr>
                <w:rFonts w:ascii="Calibri" w:hAnsi="Calibri" w:eastAsia="宋体" w:cs="Times New Roman"/>
                <w:kern w:val="0"/>
                <w:sz w:val="22"/>
                <w:szCs w:val="22"/>
                <w:u w:val="single"/>
              </w:rPr>
            </w:pPr>
            <w:r>
              <w:rPr>
                <w:rFonts w:hint="eastAsia" w:ascii="Calibri" w:hAnsi="Calibri" w:eastAsia="宋体" w:cs="Times New Roman"/>
                <w:kern w:val="0"/>
                <w:sz w:val="22"/>
                <w:szCs w:val="22"/>
              </w:rPr>
              <w:t xml:space="preserve">                                 年   月   日    时    分（北京时间）</w:t>
            </w:r>
          </w:p>
        </w:tc>
      </w:tr>
      <w:tr w14:paraId="73896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352" w:hRule="atLeast"/>
          <w:jc w:val="center"/>
        </w:trPr>
        <w:tc>
          <w:tcPr>
            <w:tcW w:w="817" w:type="dxa"/>
          </w:tcPr>
          <w:p w14:paraId="4AA420E1">
            <w:pPr>
              <w:spacing w:line="240" w:lineRule="auto"/>
              <w:jc w:val="center"/>
              <w:rPr>
                <w:rFonts w:ascii="Calibri" w:hAnsi="Calibri" w:eastAsia="宋体" w:cs="Times New Roman"/>
                <w:kern w:val="0"/>
                <w:sz w:val="22"/>
                <w:szCs w:val="22"/>
              </w:rPr>
            </w:pPr>
          </w:p>
          <w:p w14:paraId="5708C8CC">
            <w:pPr>
              <w:spacing w:line="240" w:lineRule="auto"/>
              <w:jc w:val="center"/>
              <w:rPr>
                <w:rFonts w:ascii="Calibri" w:hAnsi="Calibri" w:eastAsia="宋体" w:cs="Times New Roman"/>
                <w:kern w:val="0"/>
                <w:sz w:val="22"/>
                <w:szCs w:val="22"/>
              </w:rPr>
            </w:pPr>
          </w:p>
          <w:p w14:paraId="0CDC3B4F">
            <w:pPr>
              <w:spacing w:line="240" w:lineRule="auto"/>
              <w:jc w:val="center"/>
              <w:rPr>
                <w:rFonts w:ascii="Calibri" w:hAnsi="Calibri" w:eastAsia="宋体" w:cs="Times New Roman"/>
                <w:kern w:val="0"/>
                <w:sz w:val="22"/>
                <w:szCs w:val="22"/>
              </w:rPr>
            </w:pPr>
          </w:p>
          <w:p w14:paraId="0E00741B">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澄</w:t>
            </w:r>
          </w:p>
          <w:p w14:paraId="48002070">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清</w:t>
            </w:r>
          </w:p>
          <w:p w14:paraId="1EB0DB20">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内</w:t>
            </w:r>
          </w:p>
          <w:p w14:paraId="43798865">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容</w:t>
            </w:r>
          </w:p>
        </w:tc>
        <w:tc>
          <w:tcPr>
            <w:tcW w:w="8675" w:type="dxa"/>
            <w:gridSpan w:val="2"/>
          </w:tcPr>
          <w:p w14:paraId="3A1A5FC9">
            <w:pPr>
              <w:spacing w:line="240" w:lineRule="auto"/>
              <w:jc w:val="right"/>
              <w:rPr>
                <w:rFonts w:ascii="Calibri" w:hAnsi="Calibri" w:eastAsia="宋体" w:cs="Times New Roman"/>
                <w:kern w:val="0"/>
                <w:sz w:val="22"/>
                <w:szCs w:val="22"/>
              </w:rPr>
            </w:pPr>
          </w:p>
          <w:p w14:paraId="0E414657">
            <w:pPr>
              <w:spacing w:line="240" w:lineRule="auto"/>
              <w:jc w:val="right"/>
              <w:rPr>
                <w:rFonts w:ascii="Calibri" w:hAnsi="Calibri" w:eastAsia="宋体" w:cs="Times New Roman"/>
                <w:kern w:val="0"/>
                <w:sz w:val="22"/>
                <w:szCs w:val="22"/>
              </w:rPr>
            </w:pPr>
          </w:p>
          <w:p w14:paraId="7D81AEAA">
            <w:pPr>
              <w:spacing w:line="240" w:lineRule="auto"/>
              <w:jc w:val="right"/>
              <w:rPr>
                <w:rFonts w:ascii="Calibri" w:hAnsi="Calibri" w:eastAsia="宋体" w:cs="Times New Roman"/>
                <w:kern w:val="0"/>
                <w:sz w:val="22"/>
                <w:szCs w:val="22"/>
              </w:rPr>
            </w:pPr>
          </w:p>
          <w:p w14:paraId="6F44850A">
            <w:pPr>
              <w:spacing w:line="240" w:lineRule="auto"/>
              <w:jc w:val="right"/>
              <w:rPr>
                <w:rFonts w:ascii="Calibri" w:hAnsi="Calibri" w:eastAsia="宋体" w:cs="Times New Roman"/>
                <w:kern w:val="0"/>
                <w:sz w:val="22"/>
                <w:szCs w:val="22"/>
              </w:rPr>
            </w:pPr>
          </w:p>
          <w:p w14:paraId="33FF4492">
            <w:pPr>
              <w:spacing w:line="240" w:lineRule="auto"/>
              <w:jc w:val="right"/>
              <w:rPr>
                <w:rFonts w:ascii="Calibri" w:hAnsi="Calibri" w:eastAsia="宋体" w:cs="Times New Roman"/>
                <w:kern w:val="0"/>
                <w:sz w:val="22"/>
                <w:szCs w:val="22"/>
              </w:rPr>
            </w:pPr>
          </w:p>
          <w:p w14:paraId="74ABB3BC">
            <w:pPr>
              <w:spacing w:line="240" w:lineRule="auto"/>
              <w:jc w:val="right"/>
              <w:rPr>
                <w:rFonts w:ascii="Calibri" w:hAnsi="Calibri" w:eastAsia="宋体" w:cs="Times New Roman"/>
                <w:kern w:val="0"/>
                <w:sz w:val="22"/>
                <w:szCs w:val="22"/>
              </w:rPr>
            </w:pPr>
          </w:p>
          <w:p w14:paraId="66463FBC">
            <w:pPr>
              <w:spacing w:line="240" w:lineRule="auto"/>
              <w:jc w:val="right"/>
              <w:rPr>
                <w:rFonts w:ascii="Calibri" w:hAnsi="Calibri" w:eastAsia="宋体" w:cs="Times New Roman"/>
                <w:kern w:val="0"/>
                <w:sz w:val="22"/>
                <w:szCs w:val="22"/>
              </w:rPr>
            </w:pPr>
          </w:p>
          <w:p w14:paraId="50D445FC">
            <w:pPr>
              <w:spacing w:line="240" w:lineRule="auto"/>
              <w:jc w:val="right"/>
              <w:rPr>
                <w:rFonts w:ascii="Calibri" w:hAnsi="Calibri" w:eastAsia="宋体" w:cs="Times New Roman"/>
                <w:kern w:val="0"/>
                <w:sz w:val="22"/>
                <w:szCs w:val="22"/>
              </w:rPr>
            </w:pPr>
          </w:p>
          <w:p w14:paraId="3E72410B">
            <w:pPr>
              <w:spacing w:line="240" w:lineRule="auto"/>
              <w:ind w:left="2415" w:hanging="2530" w:hangingChars="1150"/>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w:t>
            </w:r>
          </w:p>
          <w:p w14:paraId="3245DC29">
            <w:pPr>
              <w:spacing w:line="240" w:lineRule="auto"/>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投标人法定代表人或其授权代理人：</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hint="eastAsia" w:ascii="Calibri" w:hAnsi="Calibri" w:eastAsia="宋体" w:cs="Times New Roman"/>
                <w:kern w:val="0"/>
                <w:sz w:val="22"/>
                <w:szCs w:val="22"/>
              </w:rPr>
              <w:t xml:space="preserve"> （签字或签章）</w:t>
            </w:r>
          </w:p>
          <w:p w14:paraId="62DF7D1D">
            <w:pPr>
              <w:spacing w:line="240" w:lineRule="auto"/>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年   月   日    时    分（北京时间</w:t>
            </w:r>
            <w:r>
              <w:rPr>
                <w:rFonts w:hint="eastAsia" w:ascii="Calibri" w:hAnsi="Calibri" w:eastAsia="宋体" w:cs="Times New Roman"/>
                <w:b/>
                <w:kern w:val="0"/>
                <w:sz w:val="22"/>
                <w:szCs w:val="22"/>
              </w:rPr>
              <w:t>）</w:t>
            </w:r>
          </w:p>
        </w:tc>
      </w:tr>
      <w:tr w14:paraId="07871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48" w:hRule="atLeast"/>
          <w:jc w:val="center"/>
        </w:trPr>
        <w:tc>
          <w:tcPr>
            <w:tcW w:w="817" w:type="dxa"/>
            <w:vAlign w:val="center"/>
          </w:tcPr>
          <w:p w14:paraId="252BE639">
            <w:pPr>
              <w:spacing w:line="400" w:lineRule="exact"/>
              <w:jc w:val="center"/>
              <w:rPr>
                <w:rFonts w:ascii="Calibri" w:hAnsi="Calibri" w:eastAsia="宋体" w:cs="Times New Roman"/>
                <w:kern w:val="0"/>
                <w:sz w:val="22"/>
                <w:szCs w:val="22"/>
              </w:rPr>
            </w:pPr>
            <w:r>
              <w:rPr>
                <w:rFonts w:hint="eastAsia" w:ascii="Calibri" w:hAnsi="Calibri" w:eastAsia="宋体" w:cs="Times New Roman"/>
                <w:kern w:val="0"/>
                <w:sz w:val="22"/>
                <w:szCs w:val="22"/>
              </w:rPr>
              <w:t>递交方式和时间</w:t>
            </w:r>
          </w:p>
        </w:tc>
        <w:tc>
          <w:tcPr>
            <w:tcW w:w="8675" w:type="dxa"/>
            <w:gridSpan w:val="2"/>
          </w:tcPr>
          <w:p w14:paraId="3779C656">
            <w:pPr>
              <w:spacing w:line="400" w:lineRule="exact"/>
              <w:ind w:left="0" w:leftChars="0" w:firstLine="440" w:firstLineChars="200"/>
              <w:jc w:val="both"/>
              <w:rPr>
                <w:rFonts w:ascii="Calibri" w:hAnsi="Calibri" w:eastAsia="宋体" w:cs="Times New Roman"/>
                <w:kern w:val="0"/>
                <w:sz w:val="22"/>
                <w:szCs w:val="22"/>
              </w:rPr>
            </w:pPr>
            <w:r>
              <w:rPr>
                <w:rFonts w:hint="eastAsia" w:ascii="Calibri" w:hAnsi="Calibri" w:eastAsia="宋体" w:cs="Times New Roman"/>
                <w:kern w:val="0"/>
                <w:sz w:val="22"/>
                <w:szCs w:val="22"/>
              </w:rPr>
              <w:t>请将上述问题的澄清、说明或者补正于</w:t>
            </w:r>
            <w:r>
              <w:rPr>
                <w:rFonts w:hint="eastAsia" w:ascii="Calibri" w:hAnsi="Calibri" w:eastAsia="宋体" w:cs="Times New Roman"/>
                <w:kern w:val="0"/>
                <w:sz w:val="22"/>
                <w:szCs w:val="22"/>
                <w:u w:val="single"/>
              </w:rPr>
              <w:t xml:space="preserve">  </w:t>
            </w:r>
            <w:r>
              <w:rPr>
                <w:rFonts w:hint="eastAsia" w:ascii="Calibri" w:hAnsi="Calibri" w:cs="Times New Roman"/>
                <w:kern w:val="0"/>
                <w:sz w:val="22"/>
                <w:szCs w:val="22"/>
                <w:u w:val="single"/>
                <w:lang w:val="en-US" w:eastAsia="zh-CN"/>
              </w:rPr>
              <w:t xml:space="preserve"> </w:t>
            </w:r>
            <w:r>
              <w:rPr>
                <w:rFonts w:hint="eastAsia"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年</w:t>
            </w:r>
            <w:r>
              <w:rPr>
                <w:rFonts w:hint="eastAsia" w:ascii="Calibri" w:hAnsi="Calibri" w:eastAsia="宋体" w:cs="Times New Roman"/>
                <w:kern w:val="0"/>
                <w:sz w:val="22"/>
                <w:szCs w:val="22"/>
                <w:u w:val="single"/>
              </w:rPr>
              <w:t xml:space="preserve"> </w:t>
            </w:r>
            <w:r>
              <w:rPr>
                <w:rFonts w:hint="eastAsia" w:ascii="Calibri" w:hAnsi="Calibri" w:cs="Times New Roman"/>
                <w:kern w:val="0"/>
                <w:sz w:val="22"/>
                <w:szCs w:val="22"/>
                <w:u w:val="single"/>
                <w:lang w:val="en-US" w:eastAsia="zh-CN"/>
              </w:rPr>
              <w:t xml:space="preserve"> </w:t>
            </w:r>
            <w:r>
              <w:rPr>
                <w:rFonts w:hint="eastAsia"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月</w:t>
            </w:r>
            <w:r>
              <w:rPr>
                <w:rFonts w:hint="eastAsia"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日</w:t>
            </w:r>
            <w:r>
              <w:rPr>
                <w:rFonts w:hint="eastAsia"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时</w:t>
            </w:r>
            <w:r>
              <w:rPr>
                <w:rFonts w:hint="eastAsia"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分（北京时间）前递交</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w:t>
            </w:r>
          </w:p>
          <w:p w14:paraId="408CE233">
            <w:pPr>
              <w:spacing w:line="360" w:lineRule="auto"/>
              <w:ind w:left="17" w:right="-4" w:rightChars="-2"/>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注：评标委员会在评标过程中，如要求投标人澄清或说明的，评标委员会要求投标人递交书面澄清或说明的时间距</w:t>
            </w:r>
            <w:r>
              <w:rPr>
                <w:rFonts w:hint="eastAsia" w:ascii="宋体" w:hAnsi="宋体" w:cs="Times New Roman"/>
                <w:kern w:val="0"/>
                <w:sz w:val="22"/>
                <w:szCs w:val="22"/>
                <w:lang w:val="en-US" w:eastAsia="zh-CN"/>
              </w:rPr>
              <w:t>投标人</w:t>
            </w:r>
            <w:r>
              <w:rPr>
                <w:rFonts w:hint="eastAsia" w:ascii="宋体" w:hAnsi="宋体" w:eastAsia="宋体" w:cs="Times New Roman"/>
                <w:kern w:val="0"/>
                <w:sz w:val="22"/>
                <w:szCs w:val="22"/>
              </w:rPr>
              <w:t>收到评标委员会书面通知的时间不得少于60分钟。</w:t>
            </w:r>
          </w:p>
          <w:p w14:paraId="7ED32D5B">
            <w:pPr>
              <w:spacing w:line="400" w:lineRule="exact"/>
              <w:jc w:val="both"/>
              <w:rPr>
                <w:rFonts w:ascii="Calibri" w:hAnsi="Calibri" w:eastAsia="宋体" w:cs="Times New Roman"/>
                <w:kern w:val="0"/>
                <w:sz w:val="22"/>
                <w:szCs w:val="22"/>
              </w:rPr>
            </w:pPr>
            <w:r>
              <w:rPr>
                <w:rFonts w:hint="eastAsia" w:ascii="宋体" w:hAnsi="宋体" w:eastAsia="宋体" w:cs="Times New Roman"/>
                <w:kern w:val="0"/>
                <w:sz w:val="22"/>
                <w:szCs w:val="22"/>
              </w:rPr>
              <w:t>评标委员会认为投标人的澄清或说明不够明确，应再次要求投标人对不明确的内容进行澄清或说明，评标委员会要求投标人再次递交书面澄清或说明的时间距</w:t>
            </w:r>
            <w:r>
              <w:rPr>
                <w:rFonts w:hint="eastAsia" w:ascii="宋体" w:hAnsi="宋体" w:cs="Times New Roman"/>
                <w:kern w:val="0"/>
                <w:sz w:val="22"/>
                <w:szCs w:val="22"/>
                <w:lang w:val="en-US" w:eastAsia="zh-CN"/>
              </w:rPr>
              <w:t>投标人</w:t>
            </w:r>
            <w:r>
              <w:rPr>
                <w:rFonts w:hint="eastAsia" w:ascii="宋体" w:hAnsi="宋体" w:eastAsia="宋体" w:cs="Times New Roman"/>
                <w:kern w:val="0"/>
                <w:sz w:val="22"/>
                <w:szCs w:val="22"/>
              </w:rPr>
              <w:t>收到评标委员会书面通知的时间不得少于30分钟。</w:t>
            </w:r>
          </w:p>
        </w:tc>
      </w:tr>
      <w:tr w14:paraId="610BB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78" w:hRule="atLeast"/>
          <w:jc w:val="center"/>
        </w:trPr>
        <w:tc>
          <w:tcPr>
            <w:tcW w:w="817" w:type="dxa"/>
            <w:vAlign w:val="center"/>
          </w:tcPr>
          <w:p w14:paraId="2D8A3905">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结论</w:t>
            </w:r>
          </w:p>
        </w:tc>
        <w:tc>
          <w:tcPr>
            <w:tcW w:w="8675" w:type="dxa"/>
            <w:gridSpan w:val="2"/>
          </w:tcPr>
          <w:p w14:paraId="3DF2E63D">
            <w:pPr>
              <w:spacing w:line="240" w:lineRule="auto"/>
              <w:ind w:firstLine="2319" w:firstLineChars="1050"/>
              <w:jc w:val="right"/>
              <w:rPr>
                <w:rFonts w:ascii="Calibri" w:hAnsi="Calibri" w:eastAsia="宋体" w:cs="Times New Roman"/>
                <w:b/>
                <w:kern w:val="0"/>
                <w:sz w:val="22"/>
                <w:szCs w:val="22"/>
              </w:rPr>
            </w:pPr>
          </w:p>
          <w:p w14:paraId="645794C5">
            <w:pPr>
              <w:spacing w:line="240" w:lineRule="auto"/>
              <w:ind w:firstLine="2319" w:firstLineChars="1050"/>
              <w:jc w:val="right"/>
              <w:rPr>
                <w:rFonts w:ascii="Calibri" w:hAnsi="Calibri" w:eastAsia="宋体" w:cs="Times New Roman"/>
                <w:b/>
                <w:kern w:val="0"/>
                <w:sz w:val="22"/>
                <w:szCs w:val="22"/>
              </w:rPr>
            </w:pPr>
          </w:p>
          <w:p w14:paraId="759652E4">
            <w:pPr>
              <w:spacing w:line="240" w:lineRule="auto"/>
              <w:ind w:firstLine="2752" w:firstLineChars="1246"/>
              <w:jc w:val="right"/>
              <w:rPr>
                <w:rFonts w:ascii="Calibri" w:hAnsi="Calibri" w:eastAsia="宋体" w:cs="Times New Roman"/>
                <w:b/>
                <w:kern w:val="0"/>
                <w:sz w:val="22"/>
                <w:szCs w:val="22"/>
              </w:rPr>
            </w:pPr>
          </w:p>
          <w:p w14:paraId="41FEA2F3">
            <w:pPr>
              <w:spacing w:line="240" w:lineRule="auto"/>
              <w:jc w:val="right"/>
              <w:rPr>
                <w:rFonts w:ascii="Calibri" w:hAnsi="Calibri" w:eastAsia="宋体" w:cs="Times New Roman"/>
                <w:kern w:val="0"/>
                <w:sz w:val="22"/>
                <w:szCs w:val="22"/>
              </w:rPr>
            </w:pPr>
            <w:r>
              <w:rPr>
                <w:rFonts w:hint="eastAsia" w:ascii="Calibri" w:hAnsi="Calibri" w:eastAsia="宋体" w:cs="Times New Roman"/>
                <w:kern w:val="0"/>
                <w:sz w:val="22"/>
                <w:szCs w:val="22"/>
              </w:rPr>
              <w:t>评标委员会：</w:t>
            </w:r>
            <w:r>
              <w:rPr>
                <w:rFonts w:hint="eastAsia"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（签字或签章）</w:t>
            </w:r>
          </w:p>
          <w:p w14:paraId="24DDDB37">
            <w:pPr>
              <w:spacing w:line="240" w:lineRule="auto"/>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年   月   日   时   分（北京时间）</w:t>
            </w:r>
          </w:p>
        </w:tc>
      </w:tr>
    </w:tbl>
    <w:p w14:paraId="386F5707">
      <w:pPr>
        <w:widowControl w:val="0"/>
        <w:ind w:firstLine="0" w:firstLineChars="0"/>
        <w:jc w:val="both"/>
        <w:rPr>
          <w:rFonts w:ascii="Calibri" w:hAnsi="Calibri" w:eastAsia="宋体" w:cs="Times New Roman"/>
          <w:sz w:val="22"/>
          <w:szCs w:val="22"/>
        </w:rPr>
      </w:pPr>
    </w:p>
    <w:p w14:paraId="23ADBB16">
      <w:pPr>
        <w:widowControl w:val="0"/>
        <w:ind w:firstLine="0" w:firstLineChars="0"/>
        <w:jc w:val="both"/>
        <w:rPr>
          <w:rFonts w:ascii="Calibri" w:hAnsi="Calibri" w:eastAsia="宋体" w:cs="Times New Roman"/>
          <w:sz w:val="22"/>
          <w:szCs w:val="22"/>
        </w:rPr>
      </w:pPr>
    </w:p>
    <w:p w14:paraId="12684D47">
      <w:pPr>
        <w:spacing w:line="240" w:lineRule="auto"/>
        <w:jc w:val="left"/>
        <w:rPr>
          <w:rFonts w:hint="eastAsia" w:ascii="Calibri" w:hAnsi="Calibri" w:eastAsia="宋体" w:cs="Times New Roman"/>
          <w:kern w:val="0"/>
          <w:sz w:val="22"/>
          <w:szCs w:val="22"/>
          <w:lang w:eastAsia="zh-CN"/>
        </w:rPr>
      </w:pPr>
      <w:r>
        <w:rPr>
          <w:rFonts w:ascii="Calibri" w:hAnsi="Calibri" w:eastAsia="宋体" w:cs="Times New Roman"/>
          <w:kern w:val="0"/>
          <w:sz w:val="22"/>
          <w:szCs w:val="22"/>
        </w:rPr>
        <w:br w:type="page"/>
      </w:r>
      <w:r>
        <w:rPr>
          <w:rFonts w:hint="eastAsia" w:ascii="Calibri" w:hAnsi="Calibri" w:eastAsia="宋体" w:cs="Times New Roman"/>
          <w:kern w:val="0"/>
          <w:sz w:val="22"/>
          <w:szCs w:val="22"/>
        </w:rPr>
        <w:t>1.2</w:t>
      </w:r>
      <w:r>
        <w:rPr>
          <w:rFonts w:hint="eastAsia" w:ascii="Calibri" w:hAnsi="Calibri" w:cs="Times New Roman"/>
          <w:kern w:val="0"/>
          <w:sz w:val="22"/>
          <w:szCs w:val="22"/>
          <w:lang w:eastAsia="zh-CN"/>
        </w:rPr>
        <w:t>评标委员会向招标人质疑函</w:t>
      </w:r>
    </w:p>
    <w:p w14:paraId="2E61D481">
      <w:pPr>
        <w:widowControl w:val="0"/>
        <w:ind w:left="720" w:firstLine="0" w:firstLineChars="0"/>
        <w:jc w:val="center"/>
        <w:rPr>
          <w:rFonts w:hint="eastAsia" w:ascii="Calibri" w:hAnsi="Calibri" w:eastAsia="宋体" w:cs="Times New Roman"/>
          <w:b/>
          <w:sz w:val="22"/>
          <w:szCs w:val="22"/>
          <w:lang w:eastAsia="zh-CN"/>
        </w:rPr>
      </w:pPr>
      <w:r>
        <w:rPr>
          <w:rFonts w:hint="eastAsia" w:ascii="Calibri" w:hAnsi="Calibri" w:cs="Times New Roman"/>
          <w:b/>
          <w:sz w:val="22"/>
          <w:szCs w:val="22"/>
          <w:lang w:eastAsia="zh-CN"/>
        </w:rPr>
        <w:t>评标委员会向招标人质疑函</w:t>
      </w:r>
    </w:p>
    <w:p w14:paraId="50E0E598">
      <w:pPr>
        <w:spacing w:line="360" w:lineRule="auto"/>
        <w:jc w:val="both"/>
        <w:rPr>
          <w:rFonts w:ascii="Calibri" w:hAnsi="Calibri" w:eastAsia="宋体" w:cs="Times New Roman"/>
          <w:kern w:val="0"/>
          <w:sz w:val="22"/>
          <w:szCs w:val="22"/>
        </w:rPr>
      </w:pPr>
      <w:r>
        <w:rPr>
          <w:rFonts w:hint="eastAsia" w:ascii="Calibri" w:hAnsi="Calibri" w:eastAsia="宋体" w:cs="Times New Roman"/>
          <w:kern w:val="0"/>
          <w:sz w:val="22"/>
          <w:szCs w:val="22"/>
        </w:rPr>
        <w:t>招标人名称：                                           编号：</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7771"/>
      </w:tblGrid>
      <w:tr w14:paraId="43B77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1668" w:type="dxa"/>
            <w:gridSpan w:val="2"/>
            <w:vAlign w:val="center"/>
          </w:tcPr>
          <w:p w14:paraId="3B71D3E6">
            <w:pPr>
              <w:spacing w:line="36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工程名称</w:t>
            </w:r>
          </w:p>
        </w:tc>
        <w:tc>
          <w:tcPr>
            <w:tcW w:w="7771" w:type="dxa"/>
            <w:vAlign w:val="center"/>
          </w:tcPr>
          <w:p w14:paraId="503E12AA">
            <w:pPr>
              <w:spacing w:line="360" w:lineRule="auto"/>
              <w:ind w:firstLine="2310" w:firstLineChars="1050"/>
              <w:jc w:val="center"/>
              <w:rPr>
                <w:rFonts w:ascii="Calibri" w:hAnsi="Calibri" w:eastAsia="宋体" w:cs="Times New Roman"/>
                <w:kern w:val="0"/>
                <w:sz w:val="22"/>
                <w:szCs w:val="22"/>
              </w:rPr>
            </w:pPr>
          </w:p>
        </w:tc>
      </w:tr>
      <w:tr w14:paraId="359A3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121" w:hRule="atLeast"/>
          <w:jc w:val="center"/>
        </w:trPr>
        <w:tc>
          <w:tcPr>
            <w:tcW w:w="817" w:type="dxa"/>
          </w:tcPr>
          <w:p w14:paraId="0C81B48C">
            <w:pPr>
              <w:spacing w:line="240" w:lineRule="auto"/>
              <w:jc w:val="center"/>
              <w:rPr>
                <w:rFonts w:ascii="Calibri" w:hAnsi="Calibri" w:eastAsia="宋体" w:cs="Times New Roman"/>
                <w:kern w:val="0"/>
                <w:sz w:val="22"/>
                <w:szCs w:val="22"/>
              </w:rPr>
            </w:pPr>
          </w:p>
          <w:p w14:paraId="070C8D94">
            <w:pPr>
              <w:spacing w:line="240" w:lineRule="auto"/>
              <w:jc w:val="center"/>
              <w:rPr>
                <w:rFonts w:ascii="Calibri" w:hAnsi="Calibri" w:eastAsia="宋体" w:cs="Times New Roman"/>
                <w:kern w:val="0"/>
                <w:sz w:val="22"/>
                <w:szCs w:val="22"/>
              </w:rPr>
            </w:pPr>
          </w:p>
          <w:p w14:paraId="5BC4CEAC">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质</w:t>
            </w:r>
          </w:p>
          <w:p w14:paraId="542F628C">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疑</w:t>
            </w:r>
          </w:p>
          <w:p w14:paraId="22B06555">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问</w:t>
            </w:r>
          </w:p>
          <w:p w14:paraId="27D69172">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题</w:t>
            </w:r>
          </w:p>
          <w:p w14:paraId="375E22DB">
            <w:pPr>
              <w:spacing w:line="240" w:lineRule="auto"/>
              <w:jc w:val="center"/>
              <w:rPr>
                <w:rFonts w:ascii="Calibri" w:hAnsi="Calibri" w:eastAsia="宋体" w:cs="Times New Roman"/>
                <w:kern w:val="0"/>
                <w:sz w:val="22"/>
                <w:szCs w:val="22"/>
              </w:rPr>
            </w:pPr>
          </w:p>
        </w:tc>
        <w:tc>
          <w:tcPr>
            <w:tcW w:w="8622" w:type="dxa"/>
            <w:gridSpan w:val="2"/>
          </w:tcPr>
          <w:p w14:paraId="36FE7548">
            <w:pPr>
              <w:spacing w:line="240" w:lineRule="auto"/>
              <w:jc w:val="both"/>
              <w:rPr>
                <w:rFonts w:ascii="Calibri" w:hAnsi="Calibri" w:eastAsia="宋体" w:cs="Times New Roman"/>
                <w:kern w:val="0"/>
                <w:sz w:val="22"/>
                <w:szCs w:val="22"/>
              </w:rPr>
            </w:pPr>
          </w:p>
          <w:p w14:paraId="2C9BDAF6">
            <w:pPr>
              <w:spacing w:line="240" w:lineRule="auto"/>
              <w:jc w:val="both"/>
              <w:rPr>
                <w:rFonts w:ascii="Calibri" w:hAnsi="Calibri" w:eastAsia="宋体" w:cs="Times New Roman"/>
                <w:kern w:val="0"/>
                <w:sz w:val="22"/>
                <w:szCs w:val="22"/>
              </w:rPr>
            </w:pPr>
          </w:p>
          <w:p w14:paraId="78C78101">
            <w:pPr>
              <w:spacing w:line="240" w:lineRule="auto"/>
              <w:jc w:val="both"/>
              <w:rPr>
                <w:rFonts w:ascii="Calibri" w:hAnsi="Calibri" w:eastAsia="宋体" w:cs="Times New Roman"/>
                <w:kern w:val="0"/>
                <w:sz w:val="22"/>
                <w:szCs w:val="22"/>
              </w:rPr>
            </w:pPr>
          </w:p>
          <w:p w14:paraId="6BDB01EB">
            <w:pPr>
              <w:spacing w:line="240" w:lineRule="auto"/>
              <w:jc w:val="both"/>
              <w:rPr>
                <w:rFonts w:ascii="Calibri" w:hAnsi="Calibri" w:eastAsia="宋体" w:cs="Times New Roman"/>
                <w:kern w:val="0"/>
                <w:sz w:val="22"/>
                <w:szCs w:val="22"/>
              </w:rPr>
            </w:pPr>
          </w:p>
          <w:p w14:paraId="23AD7BCC">
            <w:pPr>
              <w:spacing w:line="240" w:lineRule="auto"/>
              <w:jc w:val="both"/>
              <w:rPr>
                <w:rFonts w:ascii="Calibri" w:hAnsi="Calibri" w:eastAsia="宋体" w:cs="Times New Roman"/>
                <w:kern w:val="0"/>
                <w:sz w:val="22"/>
                <w:szCs w:val="22"/>
              </w:rPr>
            </w:pPr>
          </w:p>
          <w:p w14:paraId="0A43F9C5">
            <w:pPr>
              <w:spacing w:line="240" w:lineRule="auto"/>
              <w:jc w:val="right"/>
              <w:rPr>
                <w:rFonts w:ascii="Calibri" w:hAnsi="Calibri" w:eastAsia="宋体" w:cs="Times New Roman"/>
                <w:kern w:val="0"/>
                <w:sz w:val="22"/>
                <w:szCs w:val="22"/>
                <w:u w:val="single"/>
              </w:rPr>
            </w:pPr>
          </w:p>
          <w:p w14:paraId="40FF6C2C">
            <w:pPr>
              <w:spacing w:line="240" w:lineRule="auto"/>
              <w:jc w:val="right"/>
              <w:rPr>
                <w:rFonts w:ascii="Calibri" w:hAnsi="Calibri" w:eastAsia="宋体" w:cs="Times New Roman"/>
                <w:kern w:val="0"/>
                <w:sz w:val="22"/>
                <w:szCs w:val="22"/>
                <w:u w:val="single"/>
              </w:rPr>
            </w:pPr>
          </w:p>
          <w:p w14:paraId="7C078457">
            <w:pPr>
              <w:spacing w:line="240" w:lineRule="auto"/>
              <w:jc w:val="right"/>
              <w:rPr>
                <w:rFonts w:ascii="Calibri" w:hAnsi="Calibri" w:eastAsia="宋体" w:cs="Times New Roman"/>
                <w:kern w:val="0"/>
                <w:sz w:val="22"/>
                <w:szCs w:val="22"/>
              </w:rPr>
            </w:pP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u w:val="single"/>
              </w:rPr>
              <w:t xml:space="preserve">  </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（项目名称）</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标段施工招标评标委员会</w:t>
            </w:r>
          </w:p>
          <w:p w14:paraId="76D3E562">
            <w:pPr>
              <w:spacing w:line="240" w:lineRule="auto"/>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w:t>
            </w:r>
          </w:p>
          <w:p w14:paraId="384FF854">
            <w:pPr>
              <w:spacing w:line="240" w:lineRule="auto"/>
              <w:jc w:val="right"/>
              <w:rPr>
                <w:rFonts w:ascii="Calibri" w:hAnsi="Calibri" w:eastAsia="宋体" w:cs="Times New Roman"/>
                <w:kern w:val="0"/>
                <w:sz w:val="22"/>
                <w:szCs w:val="22"/>
                <w:u w:val="single"/>
              </w:rPr>
            </w:pPr>
            <w:r>
              <w:rPr>
                <w:rFonts w:hint="eastAsia" w:ascii="Calibri" w:hAnsi="Calibri" w:eastAsia="宋体" w:cs="Times New Roman"/>
                <w:kern w:val="0"/>
                <w:sz w:val="22"/>
                <w:szCs w:val="22"/>
              </w:rPr>
              <w:t xml:space="preserve">                       年   月   日    时    分（北京时间）</w:t>
            </w:r>
          </w:p>
        </w:tc>
      </w:tr>
      <w:tr w14:paraId="677B7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73" w:hRule="atLeast"/>
          <w:jc w:val="center"/>
        </w:trPr>
        <w:tc>
          <w:tcPr>
            <w:tcW w:w="817" w:type="dxa"/>
          </w:tcPr>
          <w:p w14:paraId="5797C088">
            <w:pPr>
              <w:spacing w:line="240" w:lineRule="auto"/>
              <w:jc w:val="center"/>
              <w:rPr>
                <w:rFonts w:ascii="Calibri" w:hAnsi="Calibri" w:eastAsia="宋体" w:cs="Times New Roman"/>
                <w:kern w:val="0"/>
                <w:sz w:val="22"/>
                <w:szCs w:val="22"/>
              </w:rPr>
            </w:pPr>
          </w:p>
          <w:p w14:paraId="65956B5B">
            <w:pPr>
              <w:spacing w:line="240" w:lineRule="auto"/>
              <w:jc w:val="center"/>
              <w:rPr>
                <w:rFonts w:ascii="Calibri" w:hAnsi="Calibri" w:eastAsia="宋体" w:cs="Times New Roman"/>
                <w:kern w:val="0"/>
                <w:sz w:val="22"/>
                <w:szCs w:val="22"/>
              </w:rPr>
            </w:pPr>
          </w:p>
          <w:p w14:paraId="73CFC754">
            <w:pPr>
              <w:spacing w:line="240" w:lineRule="auto"/>
              <w:jc w:val="center"/>
              <w:rPr>
                <w:rFonts w:ascii="Calibri" w:hAnsi="Calibri" w:eastAsia="宋体" w:cs="Times New Roman"/>
                <w:kern w:val="0"/>
                <w:sz w:val="22"/>
                <w:szCs w:val="22"/>
              </w:rPr>
            </w:pPr>
          </w:p>
          <w:p w14:paraId="1EBB5E2A">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澄</w:t>
            </w:r>
          </w:p>
          <w:p w14:paraId="0A3E7385">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清</w:t>
            </w:r>
          </w:p>
          <w:p w14:paraId="7B96B5F2">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内</w:t>
            </w:r>
          </w:p>
          <w:p w14:paraId="6681A1DC">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容</w:t>
            </w:r>
          </w:p>
        </w:tc>
        <w:tc>
          <w:tcPr>
            <w:tcW w:w="8622" w:type="dxa"/>
            <w:gridSpan w:val="2"/>
          </w:tcPr>
          <w:p w14:paraId="410E884D">
            <w:pPr>
              <w:spacing w:line="240" w:lineRule="auto"/>
              <w:jc w:val="both"/>
              <w:rPr>
                <w:rFonts w:ascii="Calibri" w:hAnsi="Calibri" w:eastAsia="宋体" w:cs="Times New Roman"/>
                <w:kern w:val="0"/>
                <w:sz w:val="22"/>
                <w:szCs w:val="22"/>
              </w:rPr>
            </w:pPr>
          </w:p>
          <w:p w14:paraId="5F4D00BD">
            <w:pPr>
              <w:spacing w:line="240" w:lineRule="auto"/>
              <w:jc w:val="both"/>
              <w:rPr>
                <w:rFonts w:ascii="Calibri" w:hAnsi="Calibri" w:eastAsia="宋体" w:cs="Times New Roman"/>
                <w:kern w:val="0"/>
                <w:sz w:val="22"/>
                <w:szCs w:val="22"/>
              </w:rPr>
            </w:pPr>
          </w:p>
          <w:p w14:paraId="035DA520">
            <w:pPr>
              <w:spacing w:line="240" w:lineRule="auto"/>
              <w:jc w:val="both"/>
              <w:rPr>
                <w:rFonts w:ascii="Calibri" w:hAnsi="Calibri" w:eastAsia="宋体" w:cs="Times New Roman"/>
                <w:kern w:val="0"/>
                <w:sz w:val="22"/>
                <w:szCs w:val="22"/>
              </w:rPr>
            </w:pPr>
          </w:p>
          <w:p w14:paraId="53C70E82">
            <w:pPr>
              <w:spacing w:line="240" w:lineRule="auto"/>
              <w:jc w:val="both"/>
              <w:rPr>
                <w:rFonts w:ascii="Calibri" w:hAnsi="Calibri" w:eastAsia="宋体" w:cs="Times New Roman"/>
                <w:kern w:val="0"/>
                <w:sz w:val="22"/>
                <w:szCs w:val="22"/>
              </w:rPr>
            </w:pPr>
          </w:p>
          <w:p w14:paraId="401B82F1">
            <w:pPr>
              <w:spacing w:line="240" w:lineRule="auto"/>
              <w:jc w:val="both"/>
              <w:rPr>
                <w:rFonts w:ascii="Calibri" w:hAnsi="Calibri" w:eastAsia="宋体" w:cs="Times New Roman"/>
                <w:kern w:val="0"/>
                <w:sz w:val="22"/>
                <w:szCs w:val="22"/>
              </w:rPr>
            </w:pPr>
          </w:p>
          <w:p w14:paraId="520F0ECA">
            <w:pPr>
              <w:spacing w:line="240" w:lineRule="auto"/>
              <w:jc w:val="both"/>
              <w:rPr>
                <w:rFonts w:ascii="Calibri" w:hAnsi="Calibri" w:eastAsia="宋体" w:cs="Times New Roman"/>
                <w:kern w:val="0"/>
                <w:sz w:val="22"/>
                <w:szCs w:val="22"/>
              </w:rPr>
            </w:pPr>
          </w:p>
          <w:p w14:paraId="0041C993">
            <w:pPr>
              <w:spacing w:line="240" w:lineRule="auto"/>
              <w:jc w:val="right"/>
              <w:rPr>
                <w:rFonts w:ascii="Calibri" w:hAnsi="Calibri" w:eastAsia="宋体" w:cs="Times New Roman"/>
                <w:kern w:val="0"/>
                <w:sz w:val="22"/>
                <w:szCs w:val="22"/>
              </w:rPr>
            </w:pPr>
          </w:p>
          <w:p w14:paraId="198197EB">
            <w:pPr>
              <w:spacing w:line="240" w:lineRule="auto"/>
              <w:ind w:left="2415" w:hanging="2530" w:hangingChars="1150"/>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w:t>
            </w:r>
          </w:p>
          <w:p w14:paraId="0D67AA39">
            <w:pPr>
              <w:spacing w:line="240" w:lineRule="auto"/>
              <w:ind w:left="2415" w:hanging="2530" w:hangingChars="1150"/>
              <w:jc w:val="right"/>
              <w:rPr>
                <w:rFonts w:ascii="Calibri" w:hAnsi="Calibri" w:eastAsia="宋体" w:cs="Times New Roman"/>
                <w:kern w:val="0"/>
                <w:sz w:val="22"/>
                <w:szCs w:val="22"/>
              </w:rPr>
            </w:pPr>
          </w:p>
          <w:p w14:paraId="51D372DB">
            <w:pPr>
              <w:spacing w:line="240" w:lineRule="auto"/>
              <w:ind w:left="2415" w:hanging="2530" w:hangingChars="1150"/>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招标人法定代表人或其授权代理人：</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（签字或签章）</w:t>
            </w:r>
          </w:p>
          <w:p w14:paraId="0D8DDCE4">
            <w:pPr>
              <w:spacing w:line="240" w:lineRule="auto"/>
              <w:ind w:left="2415" w:hanging="2530" w:hangingChars="1150"/>
              <w:jc w:val="right"/>
              <w:rPr>
                <w:rFonts w:ascii="Calibri" w:hAnsi="Calibri" w:eastAsia="宋体" w:cs="Times New Roman"/>
                <w:kern w:val="0"/>
                <w:sz w:val="22"/>
                <w:szCs w:val="22"/>
              </w:rPr>
            </w:pPr>
            <w:r>
              <w:rPr>
                <w:rFonts w:hint="eastAsia" w:ascii="Calibri" w:hAnsi="Calibri" w:eastAsia="宋体" w:cs="Times New Roman"/>
                <w:kern w:val="0"/>
                <w:sz w:val="22"/>
                <w:szCs w:val="22"/>
              </w:rPr>
              <w:t xml:space="preserve">                       年   月   日    时    分（北京时间）</w:t>
            </w:r>
          </w:p>
        </w:tc>
      </w:tr>
      <w:tr w14:paraId="1B52E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1" w:hRule="atLeast"/>
          <w:jc w:val="center"/>
        </w:trPr>
        <w:tc>
          <w:tcPr>
            <w:tcW w:w="817" w:type="dxa"/>
            <w:vAlign w:val="center"/>
          </w:tcPr>
          <w:p w14:paraId="027EA3C1">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递交方式和时间</w:t>
            </w:r>
          </w:p>
        </w:tc>
        <w:tc>
          <w:tcPr>
            <w:tcW w:w="8622" w:type="dxa"/>
            <w:gridSpan w:val="2"/>
          </w:tcPr>
          <w:p w14:paraId="35FF7155">
            <w:pPr>
              <w:spacing w:line="400" w:lineRule="exact"/>
              <w:ind w:left="0" w:leftChars="0" w:firstLine="440" w:firstLineChars="200"/>
              <w:jc w:val="both"/>
              <w:rPr>
                <w:rFonts w:ascii="Calibri" w:hAnsi="Calibri" w:eastAsia="宋体" w:cs="Times New Roman"/>
                <w:kern w:val="0"/>
                <w:sz w:val="22"/>
                <w:szCs w:val="22"/>
              </w:rPr>
            </w:pPr>
            <w:r>
              <w:rPr>
                <w:rFonts w:hint="eastAsia" w:ascii="Calibri" w:hAnsi="Calibri" w:eastAsia="宋体" w:cs="Times New Roman"/>
                <w:kern w:val="0"/>
                <w:sz w:val="22"/>
                <w:szCs w:val="22"/>
              </w:rPr>
              <w:t>请将上述问题的澄清、说明或者补正于   年   月   日    时    分（北京时间）前递交</w:t>
            </w:r>
            <w:r>
              <w:rPr>
                <w:rFonts w:ascii="Calibri" w:hAnsi="Calibri" w:eastAsia="宋体" w:cs="Times New Roman"/>
                <w:kern w:val="0"/>
                <w:sz w:val="22"/>
                <w:szCs w:val="22"/>
                <w:u w:val="single"/>
              </w:rPr>
              <w:t xml:space="preserve">                              </w:t>
            </w:r>
            <w:r>
              <w:rPr>
                <w:rFonts w:hint="eastAsia" w:ascii="Calibri" w:hAnsi="Calibri" w:eastAsia="宋体" w:cs="Times New Roman"/>
                <w:kern w:val="0"/>
                <w:sz w:val="22"/>
                <w:szCs w:val="22"/>
              </w:rPr>
              <w:t>。</w:t>
            </w:r>
          </w:p>
          <w:p w14:paraId="74C0A0B6">
            <w:pPr>
              <w:spacing w:line="276" w:lineRule="auto"/>
              <w:ind w:left="17" w:right="-4" w:rightChars="-2"/>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注：评标委员会在评标过程中，如要求招标人澄清或说明的，评标委员会要求招标人递交书面澄清或说明的时间距招标人收到评标委员会书面通知的时间不得少于60分钟。</w:t>
            </w:r>
          </w:p>
          <w:p w14:paraId="70FF840C">
            <w:pPr>
              <w:spacing w:line="276" w:lineRule="auto"/>
              <w:ind w:left="17" w:right="-4" w:rightChars="-2"/>
              <w:jc w:val="both"/>
              <w:rPr>
                <w:rFonts w:ascii="Calibri" w:hAnsi="Calibri" w:eastAsia="宋体" w:cs="Times New Roman"/>
                <w:kern w:val="0"/>
                <w:sz w:val="22"/>
                <w:szCs w:val="22"/>
              </w:rPr>
            </w:pPr>
            <w:r>
              <w:rPr>
                <w:rFonts w:hint="eastAsia" w:ascii="宋体" w:hAnsi="宋体" w:eastAsia="宋体" w:cs="Times New Roman"/>
                <w:kern w:val="0"/>
                <w:sz w:val="22"/>
                <w:szCs w:val="22"/>
              </w:rPr>
              <w:t>评标委员会认为招标人的澄清或说明不够明确，应再次要求招标人对不明确的内容进行澄清或说明，评标委员会要求招标人再次递交书面澄清或说明的时间距招标人收到评标委员会书面通知的时间不得少于30分钟。</w:t>
            </w:r>
          </w:p>
        </w:tc>
      </w:tr>
      <w:tr w14:paraId="77206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1" w:hRule="atLeast"/>
          <w:jc w:val="center"/>
        </w:trPr>
        <w:tc>
          <w:tcPr>
            <w:tcW w:w="817" w:type="dxa"/>
            <w:vAlign w:val="center"/>
          </w:tcPr>
          <w:p w14:paraId="7EBA87AC">
            <w:pPr>
              <w:spacing w:line="240" w:lineRule="auto"/>
              <w:jc w:val="center"/>
              <w:rPr>
                <w:rFonts w:ascii="Calibri" w:hAnsi="Calibri" w:eastAsia="宋体" w:cs="Times New Roman"/>
                <w:kern w:val="0"/>
                <w:sz w:val="22"/>
                <w:szCs w:val="22"/>
              </w:rPr>
            </w:pPr>
            <w:r>
              <w:rPr>
                <w:rFonts w:hint="eastAsia" w:ascii="Calibri" w:hAnsi="Calibri" w:eastAsia="宋体" w:cs="Times New Roman"/>
                <w:kern w:val="0"/>
                <w:sz w:val="22"/>
                <w:szCs w:val="22"/>
              </w:rPr>
              <w:t>结论</w:t>
            </w:r>
          </w:p>
        </w:tc>
        <w:tc>
          <w:tcPr>
            <w:tcW w:w="8622" w:type="dxa"/>
            <w:gridSpan w:val="2"/>
          </w:tcPr>
          <w:p w14:paraId="3D1260F8">
            <w:pPr>
              <w:spacing w:line="240" w:lineRule="auto"/>
              <w:ind w:firstLine="2319" w:firstLineChars="1050"/>
              <w:jc w:val="both"/>
              <w:rPr>
                <w:rFonts w:ascii="Calibri" w:hAnsi="Calibri" w:eastAsia="宋体" w:cs="Times New Roman"/>
                <w:b/>
                <w:kern w:val="0"/>
                <w:sz w:val="22"/>
                <w:szCs w:val="22"/>
              </w:rPr>
            </w:pPr>
          </w:p>
          <w:p w14:paraId="02B65211">
            <w:pPr>
              <w:spacing w:line="240" w:lineRule="auto"/>
              <w:ind w:firstLine="2319" w:firstLineChars="1050"/>
              <w:jc w:val="right"/>
              <w:rPr>
                <w:rFonts w:ascii="Calibri" w:hAnsi="Calibri" w:eastAsia="宋体" w:cs="Times New Roman"/>
                <w:b/>
                <w:kern w:val="0"/>
                <w:sz w:val="22"/>
                <w:szCs w:val="22"/>
              </w:rPr>
            </w:pPr>
          </w:p>
          <w:p w14:paraId="52558CBA">
            <w:pPr>
              <w:spacing w:line="240" w:lineRule="auto"/>
              <w:ind w:firstLine="2752" w:firstLineChars="1246"/>
              <w:jc w:val="right"/>
              <w:rPr>
                <w:rFonts w:ascii="Calibri" w:hAnsi="Calibri" w:eastAsia="宋体" w:cs="Times New Roman"/>
                <w:b/>
                <w:kern w:val="0"/>
                <w:sz w:val="22"/>
                <w:szCs w:val="22"/>
              </w:rPr>
            </w:pPr>
          </w:p>
          <w:p w14:paraId="393A34F3">
            <w:pPr>
              <w:spacing w:line="240" w:lineRule="auto"/>
              <w:ind w:firstLine="2741" w:firstLineChars="1246"/>
              <w:jc w:val="right"/>
              <w:rPr>
                <w:rFonts w:ascii="Calibri" w:hAnsi="Calibri" w:eastAsia="宋体" w:cs="Times New Roman"/>
                <w:kern w:val="0"/>
                <w:sz w:val="22"/>
                <w:szCs w:val="22"/>
              </w:rPr>
            </w:pPr>
            <w:r>
              <w:rPr>
                <w:rFonts w:hint="eastAsia" w:ascii="Calibri" w:hAnsi="Calibri" w:eastAsia="宋体" w:cs="Times New Roman"/>
                <w:kern w:val="0"/>
                <w:sz w:val="22"/>
                <w:szCs w:val="22"/>
              </w:rPr>
              <w:t>评标委员会：</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ascii="Calibri" w:hAnsi="Calibri" w:eastAsia="宋体" w:cs="Times New Roman"/>
                <w:bCs/>
                <w:kern w:val="0"/>
                <w:sz w:val="22"/>
                <w:szCs w:val="22"/>
                <w:u w:val="single"/>
              </w:rPr>
              <w:t xml:space="preserve">     </w:t>
            </w:r>
            <w:r>
              <w:rPr>
                <w:rFonts w:hint="eastAsia" w:ascii="Calibri" w:hAnsi="Calibri" w:eastAsia="宋体" w:cs="Times New Roman"/>
                <w:bCs/>
                <w:kern w:val="0"/>
                <w:sz w:val="22"/>
                <w:szCs w:val="22"/>
                <w:u w:val="single"/>
              </w:rPr>
              <w:t xml:space="preserve"> </w:t>
            </w:r>
            <w:r>
              <w:rPr>
                <w:rFonts w:hint="eastAsia" w:ascii="Calibri" w:hAnsi="Calibri" w:eastAsia="宋体" w:cs="Times New Roman"/>
                <w:kern w:val="0"/>
                <w:sz w:val="22"/>
                <w:szCs w:val="22"/>
              </w:rPr>
              <w:t>（签字或签章）</w:t>
            </w:r>
          </w:p>
          <w:p w14:paraId="4EC511B9">
            <w:pPr>
              <w:spacing w:line="240" w:lineRule="auto"/>
              <w:jc w:val="right"/>
              <w:rPr>
                <w:rFonts w:ascii="Calibri" w:hAnsi="Calibri" w:eastAsia="宋体" w:cs="Times New Roman"/>
                <w:kern w:val="0"/>
                <w:sz w:val="22"/>
                <w:szCs w:val="22"/>
              </w:rPr>
            </w:pPr>
            <w:r>
              <w:rPr>
                <w:rFonts w:hint="eastAsia" w:ascii="Calibri" w:hAnsi="Calibri" w:eastAsia="宋体" w:cs="Times New Roman"/>
                <w:b/>
                <w:kern w:val="0"/>
                <w:sz w:val="22"/>
                <w:szCs w:val="22"/>
              </w:rPr>
              <w:t xml:space="preserve">                     </w:t>
            </w:r>
            <w:r>
              <w:rPr>
                <w:rFonts w:hint="eastAsia" w:ascii="Calibri" w:hAnsi="Calibri" w:eastAsia="宋体" w:cs="Times New Roman"/>
                <w:kern w:val="0"/>
                <w:sz w:val="22"/>
                <w:szCs w:val="22"/>
              </w:rPr>
              <w:t xml:space="preserve"> 年   月   日    时    分（北京时间）</w:t>
            </w:r>
          </w:p>
        </w:tc>
      </w:tr>
    </w:tbl>
    <w:p w14:paraId="4EF02E4E">
      <w:pPr>
        <w:widowControl w:val="0"/>
        <w:ind w:firstLine="0" w:firstLineChars="0"/>
        <w:jc w:val="both"/>
        <w:rPr>
          <w:rFonts w:ascii="Calibri" w:hAnsi="Calibri" w:eastAsia="宋体" w:cs="Times New Roman"/>
          <w:sz w:val="22"/>
          <w:szCs w:val="22"/>
        </w:rPr>
      </w:pPr>
    </w:p>
    <w:p w14:paraId="730438EC">
      <w:pPr>
        <w:widowControl w:val="0"/>
        <w:ind w:firstLine="0" w:firstLineChars="0"/>
        <w:jc w:val="both"/>
        <w:rPr>
          <w:rFonts w:ascii="Calibri" w:hAnsi="Calibri" w:eastAsia="宋体" w:cs="Times New Roman"/>
          <w:sz w:val="22"/>
          <w:szCs w:val="22"/>
        </w:rPr>
      </w:pPr>
    </w:p>
    <w:p w14:paraId="55FD50BB">
      <w:pPr>
        <w:pStyle w:val="3"/>
        <w:numPr>
          <w:ilvl w:val="0"/>
          <w:numId w:val="3"/>
        </w:numPr>
      </w:pPr>
      <w:r>
        <w:rPr>
          <w:rFonts w:ascii="Calibri" w:hAnsi="Calibri" w:eastAsia="宋体" w:cs="Times New Roman"/>
          <w:b/>
          <w:bCs/>
          <w:sz w:val="24"/>
          <w:szCs w:val="21"/>
        </w:rPr>
        <w:br w:type="page"/>
      </w:r>
      <w:bookmarkStart w:id="176" w:name="_Toc11507"/>
      <w:bookmarkStart w:id="177" w:name="_Toc18125"/>
      <w:bookmarkStart w:id="178" w:name="_Toc21703"/>
      <w:r>
        <w:rPr>
          <w:rFonts w:hint="eastAsia"/>
        </w:rPr>
        <w:t>合同条款及格式</w:t>
      </w:r>
      <w:bookmarkEnd w:id="167"/>
      <w:bookmarkEnd w:id="168"/>
      <w:bookmarkEnd w:id="169"/>
      <w:bookmarkEnd w:id="176"/>
      <w:bookmarkEnd w:id="177"/>
      <w:bookmarkEnd w:id="178"/>
    </w:p>
    <w:p w14:paraId="2328FA88">
      <w:pPr>
        <w:pStyle w:val="5"/>
        <w:jc w:val="center"/>
        <w:rPr>
          <w:rFonts w:hint="eastAsia" w:eastAsia="宋体"/>
          <w:b/>
          <w:bCs/>
          <w:lang w:eastAsia="zh-CN"/>
        </w:rPr>
      </w:pPr>
      <w:r>
        <w:rPr>
          <w:rFonts w:hint="eastAsia"/>
          <w:b/>
          <w:bCs/>
        </w:rPr>
        <w:t>合同条款及格式</w:t>
      </w:r>
      <w:r>
        <w:rPr>
          <w:rFonts w:hint="eastAsia"/>
          <w:b/>
          <w:bCs/>
          <w:lang w:eastAsia="zh-CN"/>
        </w:rPr>
        <w:t>（</w:t>
      </w:r>
      <w:r>
        <w:rPr>
          <w:rFonts w:hint="eastAsia"/>
          <w:b/>
          <w:bCs/>
          <w:lang w:val="en-US" w:eastAsia="zh-CN"/>
        </w:rPr>
        <w:t>招标人自拟</w:t>
      </w:r>
      <w:r>
        <w:rPr>
          <w:rFonts w:hint="eastAsia"/>
          <w:b/>
          <w:bCs/>
          <w:lang w:eastAsia="zh-CN"/>
        </w:rPr>
        <w:t>）</w:t>
      </w:r>
    </w:p>
    <w:p w14:paraId="30E185EF">
      <w:pPr>
        <w:jc w:val="left"/>
        <w:rPr>
          <w:rFonts w:hint="eastAsia"/>
          <w:color w:val="auto"/>
          <w:lang w:val="en-US" w:eastAsia="zh-CN"/>
        </w:rPr>
      </w:pPr>
      <w:r>
        <w:rPr>
          <w:color w:val="auto"/>
        </w:rPr>
        <w:t>注</w:t>
      </w:r>
      <w:r>
        <w:rPr>
          <w:rFonts w:hint="eastAsia"/>
          <w:color w:val="auto"/>
        </w:rPr>
        <w:t>：</w:t>
      </w:r>
      <w:r>
        <w:rPr>
          <w:rFonts w:hint="eastAsia"/>
          <w:color w:val="auto"/>
          <w:lang w:val="en-US" w:eastAsia="zh-CN"/>
        </w:rPr>
        <w:t>1招标人需根据项目内容，按照国家或地方或行业相关示范文件及要求编制。</w:t>
      </w:r>
    </w:p>
    <w:p w14:paraId="21214511">
      <w:r>
        <w:rPr>
          <w:rFonts w:hint="eastAsia"/>
          <w:color w:val="auto"/>
          <w:lang w:val="en-US" w:eastAsia="zh-CN"/>
        </w:rPr>
        <w:t>2.</w:t>
      </w:r>
      <w:r>
        <w:rPr>
          <w:rFonts w:hint="default"/>
          <w:color w:val="auto"/>
          <w:lang w:val="en-US" w:eastAsia="zh-CN"/>
        </w:rPr>
        <w:t xml:space="preserve">按照《关于完善建设工程价款结算有关办法的通知》（财建〔2022〕183号）要求，政府机关、事业单位、国有企业建设工程进度款支付应不低于已完成工程价款的80%。 </w:t>
      </w:r>
    </w:p>
    <w:p w14:paraId="02EFFE8B">
      <w:r>
        <w:rPr>
          <w:rFonts w:hint="eastAsia"/>
        </w:rPr>
        <w:br w:type="page"/>
      </w:r>
    </w:p>
    <w:p w14:paraId="13BDA753">
      <w:pPr>
        <w:pStyle w:val="3"/>
        <w:numPr>
          <w:ilvl w:val="0"/>
          <w:numId w:val="3"/>
        </w:numPr>
      </w:pPr>
      <w:bookmarkStart w:id="179" w:name="_Toc30036"/>
      <w:bookmarkStart w:id="180" w:name="_Toc9354"/>
      <w:bookmarkStart w:id="181" w:name="_Toc17893"/>
      <w:bookmarkStart w:id="182" w:name="_Toc1595"/>
      <w:bookmarkStart w:id="183" w:name="_Toc12421"/>
      <w:bookmarkStart w:id="184" w:name="_Toc6271"/>
      <w:r>
        <w:rPr>
          <w:rFonts w:hint="eastAsia"/>
        </w:rPr>
        <w:t>工程量清单（另册）</w:t>
      </w:r>
      <w:bookmarkEnd w:id="179"/>
      <w:bookmarkEnd w:id="180"/>
      <w:bookmarkEnd w:id="181"/>
      <w:bookmarkEnd w:id="182"/>
      <w:bookmarkEnd w:id="183"/>
      <w:bookmarkEnd w:id="184"/>
    </w:p>
    <w:p w14:paraId="711EA60A">
      <w:pPr>
        <w:spacing w:line="360" w:lineRule="auto"/>
        <w:ind w:firstLine="440" w:firstLineChars="200"/>
        <w:jc w:val="center"/>
        <w:rPr>
          <w:rFonts w:ascii="宋体" w:hAnsi="宋体" w:eastAsia="宋体"/>
          <w:color w:val="000000"/>
          <w:szCs w:val="21"/>
        </w:rPr>
      </w:pPr>
      <w:r>
        <w:rPr>
          <w:rFonts w:hint="eastAsia" w:ascii="宋体" w:hAnsi="宋体" w:eastAsia="宋体"/>
          <w:szCs w:val="21"/>
        </w:rPr>
        <w:t>投标人</w:t>
      </w:r>
      <w:r>
        <w:rPr>
          <w:rFonts w:ascii="宋体" w:hAnsi="宋体" w:eastAsia="宋体" w:cs="宋体"/>
          <w:szCs w:val="21"/>
        </w:rPr>
        <w:t>在</w:t>
      </w:r>
      <w:r>
        <w:rPr>
          <w:rFonts w:hint="eastAsia" w:ascii="宋体" w:hAnsi="宋体" w:eastAsia="宋体" w:cs="宋体"/>
          <w:szCs w:val="21"/>
        </w:rPr>
        <w:t>成都市公共资源电子交易云平台(</w:t>
      </w:r>
      <w:r>
        <w:rPr>
          <w:rFonts w:ascii="宋体" w:hAnsi="宋体" w:eastAsia="宋体" w:cs="宋体"/>
          <w:szCs w:val="21"/>
        </w:rPr>
        <w:t>www.cdggzy.com）下载</w:t>
      </w:r>
      <w:r>
        <w:rPr>
          <w:rFonts w:hint="eastAsia" w:ascii="宋体" w:hAnsi="宋体" w:eastAsia="宋体"/>
          <w:color w:val="000000"/>
          <w:szCs w:val="21"/>
        </w:rPr>
        <w:t>。</w:t>
      </w:r>
    </w:p>
    <w:p w14:paraId="6647EA46">
      <w:pPr>
        <w:ind w:firstLine="440" w:firstLineChars="200"/>
        <w:rPr>
          <w:rFonts w:hint="eastAsia" w:ascii="宋体" w:hAnsi="宋体" w:cs="Arial"/>
          <w:b/>
          <w:color w:val="000000"/>
          <w:szCs w:val="21"/>
        </w:rPr>
      </w:pPr>
      <w:r>
        <w:rPr>
          <w:rFonts w:hint="eastAsia" w:ascii="宋体" w:hAnsi="宋体"/>
          <w:color w:val="auto"/>
          <w:sz w:val="22"/>
          <w:szCs w:val="22"/>
          <w:highlight w:val="none"/>
        </w:rPr>
        <w:t>□</w:t>
      </w:r>
      <w:r>
        <w:rPr>
          <w:rFonts w:hint="eastAsia" w:ascii="宋体" w:hAnsi="宋体" w:eastAsia="宋体"/>
          <w:b/>
          <w:color w:val="000000"/>
          <w:szCs w:val="21"/>
        </w:rPr>
        <w:t>注</w:t>
      </w:r>
      <w:r>
        <w:rPr>
          <w:rFonts w:hint="eastAsia" w:ascii="宋体" w:hAnsi="宋体" w:eastAsia="宋体" w:cs="Arial"/>
          <w:b/>
          <w:color w:val="000000"/>
          <w:szCs w:val="21"/>
        </w:rPr>
        <w:t>：</w:t>
      </w:r>
      <w:r>
        <w:rPr>
          <w:rFonts w:hint="eastAsia" w:ascii="宋体" w:hAnsi="宋体" w:cs="Arial"/>
          <w:b/>
          <w:color w:val="000000"/>
          <w:szCs w:val="21"/>
        </w:rPr>
        <w:t>工程量清单以上传的PDF格式的文件为准，招标人提供的Excel格式的工程量清单仅供参考。</w:t>
      </w:r>
    </w:p>
    <w:p w14:paraId="1A8D82A4">
      <w:pPr>
        <w:spacing w:line="360" w:lineRule="auto"/>
        <w:ind w:firstLine="440" w:firstLineChars="200"/>
        <w:rPr>
          <w:rFonts w:hint="eastAsia" w:ascii="宋体" w:hAnsi="宋体" w:cs="Arial"/>
          <w:b/>
          <w:color w:val="000000"/>
          <w:szCs w:val="21"/>
        </w:rPr>
      </w:pPr>
      <w:r>
        <w:rPr>
          <w:rFonts w:hint="eastAsia" w:ascii="宋体" w:hAnsi="宋体"/>
          <w:color w:val="auto"/>
          <w:sz w:val="22"/>
          <w:szCs w:val="22"/>
          <w:highlight w:val="none"/>
        </w:rPr>
        <w:t>□</w:t>
      </w:r>
      <w:r>
        <w:rPr>
          <w:rFonts w:hint="eastAsia" w:ascii="宋体" w:hAnsi="宋体" w:eastAsia="宋体"/>
          <w:b/>
          <w:color w:val="000000"/>
          <w:szCs w:val="21"/>
        </w:rPr>
        <w:t>注：</w:t>
      </w:r>
      <w:r>
        <w:rPr>
          <w:rFonts w:hint="eastAsia" w:ascii="宋体" w:hAnsi="宋体" w:eastAsia="宋体" w:cs="Arial"/>
          <w:b/>
          <w:color w:val="000000"/>
          <w:szCs w:val="21"/>
        </w:rPr>
        <w:t>工程量清单以备案后上传的CJZ格式的文件为准</w:t>
      </w:r>
      <w:r>
        <w:rPr>
          <w:rFonts w:hint="eastAsia" w:ascii="宋体" w:hAnsi="宋体"/>
          <w:b w:val="0"/>
          <w:color w:val="FF0000"/>
          <w:szCs w:val="21"/>
          <w:lang w:eastAsia="zh-CN"/>
        </w:rPr>
        <w:t>（</w:t>
      </w:r>
      <w:r>
        <w:rPr>
          <w:rFonts w:hint="eastAsia"/>
          <w:color w:val="FF0000"/>
          <w:szCs w:val="22"/>
          <w:lang w:val="en-US" w:eastAsia="zh-CN"/>
        </w:rPr>
        <w:t>招标清单按照</w:t>
      </w:r>
      <w:r>
        <w:rPr>
          <w:rFonts w:hint="eastAsia"/>
          <w:color w:val="FF0000"/>
          <w:szCs w:val="22"/>
        </w:rPr>
        <w:t>四川省房屋建筑及市政工程工程量清单</w:t>
      </w:r>
      <w:r>
        <w:rPr>
          <w:rFonts w:hint="eastAsia"/>
          <w:color w:val="FF0000"/>
          <w:szCs w:val="22"/>
          <w:lang w:val="en-US" w:eastAsia="zh-CN"/>
        </w:rPr>
        <w:t>计价相关标准编制的项目适用</w:t>
      </w:r>
      <w:r>
        <w:rPr>
          <w:rFonts w:hint="eastAsia" w:ascii="宋体" w:hAnsi="宋体"/>
          <w:b w:val="0"/>
          <w:color w:val="FF0000"/>
          <w:szCs w:val="21"/>
          <w:lang w:eastAsia="zh-CN"/>
        </w:rPr>
        <w:t>）</w:t>
      </w:r>
    </w:p>
    <w:p w14:paraId="0C0CAF4A">
      <w:pPr>
        <w:ind w:firstLine="440" w:firstLineChars="200"/>
        <w:rPr>
          <w:rFonts w:hint="default"/>
          <w:lang w:val="en-US"/>
        </w:rPr>
      </w:pPr>
      <w:r>
        <w:rPr>
          <w:rFonts w:hint="eastAsia" w:ascii="宋体" w:hAnsi="宋体"/>
          <w:color w:val="auto"/>
          <w:sz w:val="22"/>
          <w:szCs w:val="22"/>
          <w:highlight w:val="none"/>
        </w:rPr>
        <w:t>□</w:t>
      </w:r>
      <w:r>
        <w:rPr>
          <w:rFonts w:hint="eastAsia" w:ascii="宋体" w:hAnsi="宋体"/>
          <w:color w:val="auto"/>
          <w:sz w:val="22"/>
          <w:szCs w:val="22"/>
          <w:highlight w:val="none"/>
          <w:lang w:eastAsia="zh-CN"/>
        </w:rPr>
        <w:t>：</w:t>
      </w:r>
      <w:r>
        <w:rPr>
          <w:rFonts w:hint="eastAsia" w:ascii="宋体" w:hAnsi="宋体"/>
          <w:color w:val="auto"/>
          <w:sz w:val="22"/>
          <w:szCs w:val="22"/>
          <w:highlight w:val="none"/>
          <w:u w:val="single"/>
          <w:lang w:val="en-US" w:eastAsia="zh-CN"/>
        </w:rPr>
        <w:t xml:space="preserve">               </w:t>
      </w:r>
      <w:r>
        <w:rPr>
          <w:rFonts w:hint="eastAsia" w:ascii="宋体" w:hAnsi="宋体"/>
          <w:color w:val="auto"/>
          <w:sz w:val="22"/>
          <w:szCs w:val="22"/>
          <w:highlight w:val="none"/>
          <w:lang w:val="en-US" w:eastAsia="zh-CN"/>
        </w:rPr>
        <w:t>。</w:t>
      </w:r>
    </w:p>
    <w:p w14:paraId="45C3193A">
      <w:pPr>
        <w:pStyle w:val="10"/>
        <w:ind w:left="0"/>
        <w:jc w:val="center"/>
        <w:rPr>
          <w:rFonts w:hint="eastAsia"/>
        </w:rPr>
      </w:pPr>
    </w:p>
    <w:p w14:paraId="7B115973">
      <w:pPr>
        <w:pStyle w:val="10"/>
        <w:ind w:left="0"/>
        <w:jc w:val="center"/>
        <w:rPr>
          <w:rFonts w:hint="eastAsia"/>
        </w:rPr>
      </w:pPr>
    </w:p>
    <w:p w14:paraId="63D7CC0B">
      <w:pPr>
        <w:pStyle w:val="10"/>
        <w:sectPr>
          <w:footerReference r:id="rId8" w:type="default"/>
          <w:pgSz w:w="12240" w:h="15840"/>
          <w:pgMar w:top="1134" w:right="1134" w:bottom="1134" w:left="1134" w:header="0" w:footer="921" w:gutter="0"/>
          <w:pgNumType w:fmt="decimal"/>
          <w:cols w:space="720" w:num="1"/>
        </w:sectPr>
      </w:pPr>
    </w:p>
    <w:p w14:paraId="01726145">
      <w:pPr>
        <w:pStyle w:val="3"/>
        <w:numPr>
          <w:ilvl w:val="0"/>
          <w:numId w:val="3"/>
        </w:numPr>
      </w:pPr>
      <w:bookmarkStart w:id="185" w:name="_Toc20523"/>
      <w:bookmarkStart w:id="186" w:name="_Toc12944"/>
      <w:bookmarkStart w:id="187" w:name="_Toc3339"/>
      <w:bookmarkStart w:id="188" w:name="_Toc13323"/>
      <w:bookmarkStart w:id="189" w:name="_Toc7559"/>
      <w:bookmarkStart w:id="190" w:name="_Toc21672"/>
      <w:r>
        <w:rPr>
          <w:rFonts w:hint="eastAsia"/>
        </w:rPr>
        <w:t>图  纸（另册）</w:t>
      </w:r>
      <w:bookmarkEnd w:id="185"/>
      <w:bookmarkEnd w:id="186"/>
      <w:bookmarkEnd w:id="187"/>
      <w:bookmarkEnd w:id="188"/>
      <w:bookmarkEnd w:id="189"/>
      <w:bookmarkEnd w:id="190"/>
    </w:p>
    <w:p w14:paraId="04FF1E85">
      <w:pPr>
        <w:pStyle w:val="10"/>
        <w:ind w:left="0"/>
        <w:jc w:val="center"/>
      </w:pPr>
      <w:r>
        <w:rPr>
          <w:rFonts w:hint="eastAsia"/>
        </w:rPr>
        <w:t>在成都市公共资源电子交易云平台(www.cdggzy.com）（以下简称“电子交易云平台”）免费下载。</w:t>
      </w:r>
    </w:p>
    <w:p w14:paraId="1E0A013E">
      <w:pPr>
        <w:sectPr>
          <w:footerReference r:id="rId9" w:type="default"/>
          <w:pgSz w:w="12240" w:h="15840"/>
          <w:pgMar w:top="1134" w:right="1134" w:bottom="1134" w:left="1134" w:header="0" w:footer="921" w:gutter="0"/>
          <w:pgNumType w:fmt="decimal"/>
          <w:cols w:space="720" w:num="1"/>
        </w:sectPr>
      </w:pPr>
    </w:p>
    <w:p w14:paraId="5CD3B2DA">
      <w:pPr>
        <w:pStyle w:val="3"/>
        <w:numPr>
          <w:ilvl w:val="0"/>
          <w:numId w:val="3"/>
        </w:numPr>
      </w:pPr>
      <w:bookmarkStart w:id="191" w:name="_Toc923"/>
      <w:bookmarkStart w:id="192" w:name="_Toc16841"/>
      <w:bookmarkStart w:id="193" w:name="_Toc2354"/>
      <w:bookmarkStart w:id="194" w:name="_Toc11237"/>
      <w:bookmarkStart w:id="195" w:name="_Toc23105"/>
      <w:bookmarkStart w:id="196" w:name="_Toc23411"/>
      <w:r>
        <w:rPr>
          <w:rFonts w:hint="eastAsia" w:ascii="宋体" w:hAnsi="宋体"/>
        </w:rPr>
        <w:t>技术标准和要求</w:t>
      </w:r>
      <w:bookmarkEnd w:id="191"/>
      <w:bookmarkEnd w:id="192"/>
      <w:bookmarkEnd w:id="193"/>
      <w:bookmarkEnd w:id="194"/>
      <w:bookmarkEnd w:id="195"/>
      <w:bookmarkEnd w:id="196"/>
    </w:p>
    <w:p w14:paraId="5AB5A843">
      <w:pPr>
        <w:pStyle w:val="10"/>
      </w:pPr>
      <w:r>
        <w:rPr>
          <w:rFonts w:hint="eastAsia"/>
        </w:rPr>
        <w:t>1、本招标工程遵守设计图纸明确的技术规范和标准。</w:t>
      </w:r>
    </w:p>
    <w:p w14:paraId="6BE7195E">
      <w:pPr>
        <w:pStyle w:val="10"/>
      </w:pPr>
      <w:r>
        <w:rPr>
          <w:rFonts w:hint="eastAsia"/>
        </w:rPr>
        <w:t>2、本招标工程执行中华人民共和国现行有关本次招标工程的施工及安装、质量检测及验收规范。</w:t>
      </w:r>
    </w:p>
    <w:p w14:paraId="3AB6E4B5">
      <w:pPr>
        <w:pStyle w:val="10"/>
      </w:pPr>
      <w:r>
        <w:rPr>
          <w:rFonts w:hint="eastAsia"/>
        </w:rPr>
        <w:t>3、本标段所涉及的上述有关技术规范和标准均由承包人自备。</w:t>
      </w:r>
    </w:p>
    <w:p w14:paraId="7382ED22">
      <w:pPr>
        <w:pStyle w:val="10"/>
        <w:sectPr>
          <w:footerReference r:id="rId10" w:type="default"/>
          <w:pgSz w:w="12240" w:h="15840"/>
          <w:pgMar w:top="1134" w:right="1134" w:bottom="1134" w:left="1134" w:header="0" w:footer="921" w:gutter="0"/>
          <w:pgNumType w:fmt="decimal"/>
          <w:cols w:space="720" w:num="1"/>
        </w:sectPr>
      </w:pPr>
      <w:r>
        <w:rPr>
          <w:rFonts w:hint="eastAsia"/>
        </w:rPr>
        <w:t>□4、其他：</w:t>
      </w:r>
      <w:r>
        <w:rPr>
          <w:rFonts w:hint="eastAsia"/>
          <w:u w:val="single"/>
        </w:rPr>
        <w:t xml:space="preserve">                           </w:t>
      </w:r>
    </w:p>
    <w:p w14:paraId="7D56D76E">
      <w:pPr>
        <w:pStyle w:val="3"/>
        <w:numPr>
          <w:ilvl w:val="0"/>
          <w:numId w:val="3"/>
        </w:numPr>
      </w:pPr>
      <w:bookmarkStart w:id="197" w:name="_Toc31210"/>
      <w:bookmarkStart w:id="198" w:name="_Toc21152"/>
      <w:bookmarkStart w:id="199" w:name="_Toc9787"/>
      <w:bookmarkStart w:id="200" w:name="_Toc4742"/>
      <w:bookmarkStart w:id="201" w:name="_Toc24086"/>
      <w:bookmarkStart w:id="202" w:name="_Toc29127"/>
      <w:r>
        <w:rPr>
          <w:rFonts w:hint="eastAsia" w:ascii="宋体" w:hAnsi="宋体"/>
        </w:rPr>
        <w:t>投标文件格式</w:t>
      </w:r>
      <w:bookmarkEnd w:id="197"/>
      <w:bookmarkEnd w:id="198"/>
      <w:bookmarkEnd w:id="199"/>
      <w:bookmarkEnd w:id="200"/>
      <w:bookmarkEnd w:id="201"/>
      <w:bookmarkEnd w:id="202"/>
    </w:p>
    <w:p w14:paraId="0E01D357">
      <w:pPr>
        <w:jc w:val="center"/>
        <w:rPr>
          <w:rFonts w:ascii="宋体" w:hAnsi="宋体"/>
          <w:szCs w:val="20"/>
          <w:u w:val="single"/>
        </w:rPr>
      </w:pPr>
      <w:r>
        <w:rPr>
          <w:rFonts w:hint="eastAsia" w:ascii="宋体" w:hAnsi="宋体"/>
          <w:sz w:val="44"/>
          <w:szCs w:val="40"/>
          <w:u w:val="single"/>
        </w:rPr>
        <w:t xml:space="preserve">                </w:t>
      </w:r>
      <w:r>
        <w:rPr>
          <w:rFonts w:ascii="宋体" w:hAnsi="宋体"/>
          <w:sz w:val="44"/>
          <w:szCs w:val="40"/>
        </w:rPr>
        <w:t>（项目名称）</w:t>
      </w:r>
      <w:r>
        <w:rPr>
          <w:rFonts w:hint="eastAsia" w:ascii="宋体" w:hAnsi="宋体"/>
          <w:sz w:val="44"/>
          <w:szCs w:val="40"/>
        </w:rPr>
        <w:t>施工</w:t>
      </w:r>
      <w:r>
        <w:rPr>
          <w:rFonts w:hint="eastAsia" w:ascii="宋体" w:hAnsi="宋体"/>
          <w:sz w:val="44"/>
          <w:szCs w:val="40"/>
          <w:u w:val="single"/>
        </w:rPr>
        <w:t xml:space="preserve">   </w:t>
      </w:r>
      <w:r>
        <w:rPr>
          <w:rFonts w:hint="eastAsia" w:ascii="宋体" w:hAnsi="宋体"/>
          <w:sz w:val="44"/>
          <w:szCs w:val="40"/>
        </w:rPr>
        <w:t>标段</w:t>
      </w:r>
    </w:p>
    <w:p w14:paraId="0DDDB194">
      <w:pPr>
        <w:jc w:val="both"/>
        <w:rPr>
          <w:sz w:val="32"/>
          <w:szCs w:val="32"/>
        </w:rPr>
      </w:pPr>
    </w:p>
    <w:p w14:paraId="5F2C2A2F">
      <w:pPr>
        <w:pStyle w:val="10"/>
        <w:rPr>
          <w:sz w:val="32"/>
          <w:szCs w:val="32"/>
        </w:rPr>
      </w:pPr>
    </w:p>
    <w:p w14:paraId="54C2B77A">
      <w:pPr>
        <w:pStyle w:val="10"/>
        <w:rPr>
          <w:sz w:val="32"/>
          <w:szCs w:val="32"/>
        </w:rPr>
      </w:pPr>
    </w:p>
    <w:p w14:paraId="537F1863">
      <w:pPr>
        <w:jc w:val="center"/>
        <w:rPr>
          <w:rFonts w:ascii="宋体" w:hAnsi="宋体"/>
          <w:sz w:val="44"/>
          <w:szCs w:val="40"/>
        </w:rPr>
      </w:pPr>
      <w:r>
        <w:rPr>
          <w:rFonts w:hint="eastAsia" w:ascii="宋体" w:hAnsi="宋体"/>
          <w:sz w:val="44"/>
          <w:szCs w:val="40"/>
        </w:rPr>
        <w:t>投 标 文 件</w:t>
      </w:r>
    </w:p>
    <w:p w14:paraId="0E0FD980">
      <w:pPr>
        <w:pStyle w:val="10"/>
        <w:ind w:left="0"/>
        <w:jc w:val="center"/>
        <w:rPr>
          <w:sz w:val="32"/>
          <w:szCs w:val="32"/>
        </w:rPr>
      </w:pPr>
    </w:p>
    <w:p w14:paraId="468362B5">
      <w:pPr>
        <w:jc w:val="center"/>
        <w:rPr>
          <w:rFonts w:hint="eastAsia" w:ascii="宋体" w:hAnsi="宋体"/>
          <w:sz w:val="32"/>
          <w:szCs w:val="28"/>
        </w:rPr>
      </w:pPr>
      <w:r>
        <w:rPr>
          <w:rFonts w:hint="eastAsia" w:ascii="宋体" w:hAnsi="宋体"/>
          <w:sz w:val="32"/>
          <w:szCs w:val="28"/>
        </w:rPr>
        <w:t xml:space="preserve">（第 </w:t>
      </w:r>
      <w:r>
        <w:rPr>
          <w:rFonts w:hint="eastAsia" w:ascii="宋体" w:hAnsi="宋体"/>
          <w:sz w:val="32"/>
          <w:szCs w:val="28"/>
          <w:lang w:val="en-US" w:eastAsia="zh-CN"/>
        </w:rPr>
        <w:t xml:space="preserve"> </w:t>
      </w:r>
      <w:r>
        <w:rPr>
          <w:rFonts w:hint="eastAsia" w:ascii="宋体" w:hAnsi="宋体"/>
          <w:sz w:val="32"/>
          <w:szCs w:val="28"/>
        </w:rPr>
        <w:t xml:space="preserve"> 册，共   册）</w:t>
      </w:r>
    </w:p>
    <w:p w14:paraId="728638F9">
      <w:pPr>
        <w:jc w:val="center"/>
        <w:rPr>
          <w:rFonts w:ascii="宋体" w:hAnsi="宋体"/>
          <w:sz w:val="44"/>
          <w:szCs w:val="44"/>
        </w:rPr>
      </w:pPr>
    </w:p>
    <w:p w14:paraId="66910651">
      <w:pPr>
        <w:rPr>
          <w:rFonts w:ascii="宋体" w:hAnsi="宋体"/>
          <w:sz w:val="28"/>
          <w:szCs w:val="28"/>
        </w:rPr>
      </w:pPr>
    </w:p>
    <w:p w14:paraId="436F10CB">
      <w:pPr>
        <w:rPr>
          <w:rFonts w:ascii="宋体" w:hAnsi="宋体"/>
          <w:sz w:val="28"/>
          <w:szCs w:val="28"/>
        </w:rPr>
      </w:pPr>
    </w:p>
    <w:p w14:paraId="7B35B42D">
      <w:pPr>
        <w:rPr>
          <w:rFonts w:ascii="宋体" w:hAnsi="宋体"/>
          <w:sz w:val="28"/>
          <w:szCs w:val="28"/>
        </w:rPr>
      </w:pPr>
    </w:p>
    <w:p w14:paraId="624BD7FF">
      <w:pPr>
        <w:rPr>
          <w:rFonts w:ascii="宋体" w:hAnsi="宋体"/>
          <w:sz w:val="28"/>
          <w:szCs w:val="28"/>
        </w:rPr>
      </w:pPr>
    </w:p>
    <w:p w14:paraId="74AE05F1">
      <w:pPr>
        <w:rPr>
          <w:rFonts w:ascii="宋体" w:hAnsi="宋体"/>
          <w:sz w:val="28"/>
          <w:szCs w:val="28"/>
        </w:rPr>
      </w:pPr>
    </w:p>
    <w:p w14:paraId="1647E0B7">
      <w:pPr>
        <w:tabs>
          <w:tab w:val="left" w:pos="5577"/>
          <w:tab w:val="left" w:pos="6942"/>
        </w:tabs>
        <w:spacing w:before="378" w:line="357" w:lineRule="auto"/>
        <w:ind w:left="1201" w:right="175"/>
        <w:jc w:val="center"/>
        <w:rPr>
          <w:rFonts w:ascii="宋体" w:hAnsi="宋体" w:cs="宋体"/>
          <w:color w:val="auto"/>
          <w:spacing w:val="-1"/>
          <w:kern w:val="0"/>
          <w:sz w:val="28"/>
          <w:szCs w:val="28"/>
          <w:highlight w:val="none"/>
          <w:lang w:eastAsia="zh-CN"/>
        </w:rPr>
      </w:pPr>
      <w:r>
        <w:rPr>
          <w:rFonts w:ascii="宋体" w:hAnsi="宋体" w:cs="宋体"/>
          <w:color w:val="auto"/>
          <w:kern w:val="0"/>
          <w:sz w:val="28"/>
          <w:szCs w:val="28"/>
          <w:highlight w:val="none"/>
          <w:lang w:eastAsia="zh-CN"/>
        </w:rPr>
        <w:t>投标人：</w:t>
      </w:r>
      <w:r>
        <w:rPr>
          <w:rFonts w:ascii="宋体" w:hAnsi="宋体" w:cs="Times New Roman"/>
          <w:color w:val="auto"/>
          <w:kern w:val="0"/>
          <w:sz w:val="28"/>
          <w:szCs w:val="28"/>
          <w:highlight w:val="none"/>
          <w:u w:val="single" w:color="000000"/>
          <w:lang w:eastAsia="zh-CN"/>
        </w:rPr>
        <w:tab/>
      </w:r>
      <w:r>
        <w:rPr>
          <w:rFonts w:ascii="宋体" w:hAnsi="宋体" w:cs="宋体"/>
          <w:color w:val="auto"/>
          <w:spacing w:val="-1"/>
          <w:kern w:val="0"/>
          <w:sz w:val="28"/>
          <w:szCs w:val="28"/>
          <w:highlight w:val="none"/>
          <w:lang w:eastAsia="zh-CN"/>
        </w:rPr>
        <w:t>（盖单位章）</w:t>
      </w:r>
    </w:p>
    <w:p w14:paraId="219FEE25">
      <w:pPr>
        <w:tabs>
          <w:tab w:val="left" w:pos="5577"/>
          <w:tab w:val="left" w:pos="6942"/>
        </w:tabs>
        <w:spacing w:before="378" w:line="357" w:lineRule="auto"/>
        <w:ind w:left="1201" w:right="175"/>
        <w:jc w:val="center"/>
        <w:rPr>
          <w:rFonts w:ascii="宋体" w:hAnsi="宋体" w:cs="宋体"/>
          <w:color w:val="auto"/>
          <w:kern w:val="0"/>
          <w:sz w:val="28"/>
          <w:szCs w:val="28"/>
          <w:highlight w:val="none"/>
          <w:lang w:eastAsia="zh-CN"/>
        </w:rPr>
      </w:pPr>
      <w:r>
        <w:rPr>
          <w:rFonts w:ascii="宋体" w:hAnsi="宋体" w:cs="宋体"/>
          <w:color w:val="auto"/>
          <w:spacing w:val="-1"/>
          <w:kern w:val="0"/>
          <w:sz w:val="28"/>
          <w:szCs w:val="28"/>
          <w:highlight w:val="none"/>
          <w:lang w:eastAsia="zh-CN"/>
        </w:rPr>
        <w:t>法定代表人或其委托代理人：</w:t>
      </w:r>
      <w:r>
        <w:rPr>
          <w:rFonts w:ascii="宋体" w:hAnsi="宋体" w:cs="Times New Roman"/>
          <w:color w:val="auto"/>
          <w:spacing w:val="-1"/>
          <w:kern w:val="0"/>
          <w:sz w:val="28"/>
          <w:szCs w:val="28"/>
          <w:highlight w:val="none"/>
          <w:u w:val="single" w:color="000000"/>
          <w:lang w:eastAsia="zh-CN"/>
        </w:rPr>
        <w:tab/>
      </w:r>
      <w:r>
        <w:rPr>
          <w:rFonts w:ascii="宋体" w:hAnsi="宋体" w:cs="宋体"/>
          <w:color w:val="auto"/>
          <w:spacing w:val="-1"/>
          <w:kern w:val="0"/>
          <w:sz w:val="28"/>
          <w:szCs w:val="28"/>
          <w:highlight w:val="none"/>
          <w:lang w:eastAsia="zh-CN"/>
        </w:rPr>
        <w:t>（</w:t>
      </w:r>
      <w:r>
        <w:rPr>
          <w:rFonts w:hint="eastAsia" w:ascii="宋体" w:hAnsi="宋体" w:cs="宋体"/>
          <w:color w:val="auto"/>
          <w:spacing w:val="-1"/>
          <w:kern w:val="0"/>
          <w:sz w:val="28"/>
          <w:szCs w:val="28"/>
          <w:highlight w:val="none"/>
          <w:lang w:eastAsia="zh-CN"/>
        </w:rPr>
        <w:t>签字或签章</w:t>
      </w:r>
      <w:r>
        <w:rPr>
          <w:rFonts w:ascii="宋体" w:hAnsi="宋体" w:cs="宋体"/>
          <w:color w:val="auto"/>
          <w:spacing w:val="-1"/>
          <w:kern w:val="0"/>
          <w:sz w:val="28"/>
          <w:szCs w:val="28"/>
          <w:highlight w:val="none"/>
          <w:lang w:eastAsia="zh-CN"/>
        </w:rPr>
        <w:t>）</w:t>
      </w:r>
    </w:p>
    <w:p w14:paraId="5DC38906">
      <w:pPr>
        <w:spacing w:before="10" w:line="240" w:lineRule="auto"/>
        <w:jc w:val="center"/>
        <w:rPr>
          <w:rFonts w:ascii="宋体" w:hAnsi="宋体" w:cs="宋体"/>
          <w:color w:val="auto"/>
          <w:kern w:val="0"/>
          <w:sz w:val="29"/>
          <w:szCs w:val="29"/>
          <w:highlight w:val="none"/>
          <w:lang w:eastAsia="zh-CN"/>
        </w:rPr>
      </w:pPr>
    </w:p>
    <w:p w14:paraId="4F51DCF3">
      <w:pPr>
        <w:tabs>
          <w:tab w:val="left" w:pos="3611"/>
          <w:tab w:val="left" w:pos="4626"/>
          <w:tab w:val="left" w:pos="5642"/>
        </w:tabs>
        <w:spacing w:before="14" w:line="240" w:lineRule="auto"/>
        <w:ind w:left="2877" w:right="175"/>
        <w:jc w:val="both"/>
        <w:rPr>
          <w:rFonts w:ascii="宋体" w:hAnsi="宋体" w:cs="宋体"/>
          <w:color w:val="auto"/>
          <w:kern w:val="0"/>
          <w:sz w:val="28"/>
          <w:szCs w:val="28"/>
          <w:highlight w:val="none"/>
          <w:lang w:eastAsia="zh-CN"/>
        </w:rPr>
      </w:pPr>
      <w:r>
        <w:rPr>
          <w:rFonts w:ascii="宋体" w:hAnsi="宋体" w:cs="Times New Roman"/>
          <w:color w:val="auto"/>
          <w:kern w:val="0"/>
          <w:sz w:val="28"/>
          <w:szCs w:val="28"/>
          <w:highlight w:val="none"/>
          <w:u w:val="single" w:color="000000"/>
          <w:lang w:eastAsia="zh-CN"/>
        </w:rPr>
        <w:tab/>
      </w:r>
      <w:r>
        <w:rPr>
          <w:rFonts w:ascii="宋体" w:hAnsi="宋体" w:cs="宋体"/>
          <w:color w:val="auto"/>
          <w:kern w:val="0"/>
          <w:sz w:val="28"/>
          <w:szCs w:val="28"/>
          <w:highlight w:val="none"/>
          <w:lang w:eastAsia="zh-CN"/>
        </w:rPr>
        <w:t>年</w:t>
      </w:r>
      <w:r>
        <w:rPr>
          <w:rFonts w:ascii="宋体" w:hAnsi="宋体" w:cs="Times New Roman"/>
          <w:color w:val="auto"/>
          <w:kern w:val="0"/>
          <w:sz w:val="28"/>
          <w:szCs w:val="28"/>
          <w:highlight w:val="none"/>
          <w:u w:val="single" w:color="000000"/>
          <w:lang w:eastAsia="zh-CN"/>
        </w:rPr>
        <w:tab/>
      </w:r>
      <w:r>
        <w:rPr>
          <w:rFonts w:ascii="宋体" w:hAnsi="宋体" w:cs="宋体"/>
          <w:color w:val="auto"/>
          <w:kern w:val="0"/>
          <w:sz w:val="28"/>
          <w:szCs w:val="28"/>
          <w:highlight w:val="none"/>
          <w:lang w:eastAsia="zh-CN"/>
        </w:rPr>
        <w:t>月</w:t>
      </w:r>
      <w:r>
        <w:rPr>
          <w:rFonts w:ascii="宋体" w:hAnsi="宋体" w:cs="Times New Roman"/>
          <w:color w:val="auto"/>
          <w:kern w:val="0"/>
          <w:sz w:val="28"/>
          <w:szCs w:val="28"/>
          <w:highlight w:val="none"/>
          <w:u w:val="single" w:color="000000"/>
          <w:lang w:eastAsia="zh-CN"/>
        </w:rPr>
        <w:tab/>
      </w:r>
      <w:r>
        <w:rPr>
          <w:rFonts w:ascii="宋体" w:hAnsi="宋体" w:cs="宋体"/>
          <w:color w:val="auto"/>
          <w:kern w:val="0"/>
          <w:sz w:val="28"/>
          <w:szCs w:val="28"/>
          <w:highlight w:val="none"/>
          <w:lang w:eastAsia="zh-CN"/>
        </w:rPr>
        <w:t>日</w:t>
      </w:r>
    </w:p>
    <w:p w14:paraId="24D21960">
      <w:pPr>
        <w:jc w:val="both"/>
        <w:rPr>
          <w:sz w:val="32"/>
          <w:szCs w:val="32"/>
        </w:rPr>
      </w:pPr>
    </w:p>
    <w:p w14:paraId="2367284D">
      <w:pPr>
        <w:jc w:val="center"/>
        <w:rPr>
          <w:sz w:val="32"/>
          <w:szCs w:val="32"/>
        </w:rPr>
      </w:pPr>
      <w:r>
        <w:rPr>
          <w:sz w:val="32"/>
          <w:szCs w:val="32"/>
        </w:rPr>
        <w:br w:type="page"/>
      </w:r>
    </w:p>
    <w:p w14:paraId="084263E6">
      <w:pPr>
        <w:pStyle w:val="10"/>
        <w:jc w:val="center"/>
        <w:rPr>
          <w:b/>
          <w:bCs/>
          <w:sz w:val="32"/>
          <w:szCs w:val="28"/>
        </w:rPr>
      </w:pPr>
      <w:r>
        <w:rPr>
          <w:rFonts w:hint="eastAsia"/>
          <w:b/>
          <w:bCs/>
          <w:sz w:val="32"/>
          <w:szCs w:val="28"/>
        </w:rPr>
        <w:t>目  录</w:t>
      </w:r>
    </w:p>
    <w:p w14:paraId="7E12DE6B">
      <w:pPr>
        <w:pStyle w:val="10"/>
        <w:rPr>
          <w:sz w:val="28"/>
          <w:szCs w:val="24"/>
        </w:rPr>
      </w:pPr>
    </w:p>
    <w:p w14:paraId="64DEA8DC">
      <w:pPr>
        <w:pStyle w:val="10"/>
      </w:pPr>
      <w:r>
        <w:rPr>
          <w:rFonts w:hint="eastAsia"/>
        </w:rPr>
        <w:t>一、投标函及投标函附录</w:t>
      </w:r>
    </w:p>
    <w:p w14:paraId="3937F414">
      <w:pPr>
        <w:pStyle w:val="10"/>
      </w:pPr>
      <w:r>
        <w:rPr>
          <w:rFonts w:hint="eastAsia"/>
        </w:rPr>
        <w:t>二、法定代表人身份证明（适用于无委托代理人的情况）</w:t>
      </w:r>
    </w:p>
    <w:p w14:paraId="45C842BD">
      <w:pPr>
        <w:pStyle w:val="10"/>
      </w:pPr>
      <w:r>
        <w:rPr>
          <w:rFonts w:hint="eastAsia"/>
        </w:rPr>
        <w:t>二、授权委托书（适用于有委托代理人的情况）</w:t>
      </w:r>
    </w:p>
    <w:p w14:paraId="19F0CCC2">
      <w:pPr>
        <w:pStyle w:val="10"/>
        <w:rPr>
          <w:rFonts w:hint="eastAsia"/>
        </w:rPr>
      </w:pPr>
      <w:r>
        <w:rPr>
          <w:rFonts w:hint="eastAsia"/>
        </w:rPr>
        <w:t>三、联合体协议书</w:t>
      </w:r>
    </w:p>
    <w:p w14:paraId="470CCBB6">
      <w:pPr>
        <w:pStyle w:val="10"/>
        <w:rPr>
          <w:rFonts w:hint="default" w:eastAsia="宋体"/>
          <w:lang w:val="en-US" w:eastAsia="zh-CN"/>
        </w:rPr>
      </w:pPr>
      <w:r>
        <w:rPr>
          <w:rFonts w:hint="eastAsia"/>
          <w:lang w:val="en-US" w:eastAsia="zh-CN"/>
        </w:rPr>
        <w:t>四、投标保证金</w:t>
      </w:r>
    </w:p>
    <w:p w14:paraId="5503F1A0">
      <w:pPr>
        <w:pStyle w:val="10"/>
      </w:pPr>
      <w:r>
        <w:rPr>
          <w:rFonts w:hint="eastAsia"/>
          <w:lang w:val="en-US" w:eastAsia="zh-CN"/>
        </w:rPr>
        <w:t>五</w:t>
      </w:r>
      <w:r>
        <w:rPr>
          <w:rFonts w:hint="eastAsia"/>
        </w:rPr>
        <w:t>、已标价工程量清单</w:t>
      </w:r>
    </w:p>
    <w:p w14:paraId="0AE03E20">
      <w:pPr>
        <w:pStyle w:val="10"/>
      </w:pPr>
      <w:r>
        <w:rPr>
          <w:rFonts w:hint="eastAsia"/>
          <w:lang w:val="en-US" w:eastAsia="zh-CN"/>
        </w:rPr>
        <w:t>六</w:t>
      </w:r>
      <w:r>
        <w:rPr>
          <w:rFonts w:hint="eastAsia"/>
        </w:rPr>
        <w:t>、施工组织设计</w:t>
      </w:r>
    </w:p>
    <w:p w14:paraId="2DEE90FA">
      <w:pPr>
        <w:pStyle w:val="10"/>
      </w:pPr>
      <w:r>
        <w:rPr>
          <w:rFonts w:hint="eastAsia"/>
          <w:lang w:val="en-US" w:eastAsia="zh-CN"/>
        </w:rPr>
        <w:t>七</w:t>
      </w:r>
      <w:r>
        <w:rPr>
          <w:rFonts w:hint="eastAsia"/>
        </w:rPr>
        <w:t>、项目管理机构</w:t>
      </w:r>
    </w:p>
    <w:p w14:paraId="387206BB">
      <w:pPr>
        <w:pStyle w:val="10"/>
      </w:pPr>
      <w:r>
        <w:rPr>
          <w:rFonts w:hint="eastAsia"/>
          <w:lang w:val="en-US" w:eastAsia="zh-CN"/>
        </w:rPr>
        <w:t>八</w:t>
      </w:r>
      <w:r>
        <w:rPr>
          <w:rFonts w:hint="eastAsia"/>
        </w:rPr>
        <w:t>、资格审查资料</w:t>
      </w:r>
    </w:p>
    <w:p w14:paraId="46F42B1D">
      <w:pPr>
        <w:pStyle w:val="10"/>
      </w:pPr>
      <w:r>
        <w:rPr>
          <w:rFonts w:hint="eastAsia"/>
          <w:lang w:val="en-US" w:eastAsia="zh-CN"/>
        </w:rPr>
        <w:t>九</w:t>
      </w:r>
      <w:r>
        <w:rPr>
          <w:rFonts w:hint="eastAsia"/>
        </w:rPr>
        <w:t>、其他资料</w:t>
      </w:r>
    </w:p>
    <w:p w14:paraId="2066D524">
      <w:pPr>
        <w:pStyle w:val="10"/>
      </w:pPr>
    </w:p>
    <w:p w14:paraId="73DA8EB2">
      <w:pPr>
        <w:pStyle w:val="10"/>
      </w:pPr>
    </w:p>
    <w:p w14:paraId="5C3912D2">
      <w:pPr>
        <w:pStyle w:val="10"/>
      </w:pPr>
    </w:p>
    <w:p w14:paraId="773BBBD5">
      <w:pPr>
        <w:pStyle w:val="10"/>
      </w:pPr>
    </w:p>
    <w:p w14:paraId="40BAD066">
      <w:pPr>
        <w:spacing w:line="360" w:lineRule="auto"/>
        <w:ind w:right="31" w:rightChars="14" w:hanging="4" w:firstLineChars="0"/>
        <w:rPr>
          <w:rFonts w:ascii="宋体" w:hAnsi="宋体"/>
          <w:szCs w:val="21"/>
        </w:rPr>
      </w:pPr>
      <w:r>
        <w:rPr>
          <w:rFonts w:hint="eastAsia" w:ascii="宋体" w:hAnsi="宋体"/>
          <w:szCs w:val="21"/>
        </w:rPr>
        <w:t>注：</w:t>
      </w:r>
      <w:r>
        <w:rPr>
          <w:rFonts w:ascii="宋体" w:hAnsi="宋体"/>
          <w:szCs w:val="21"/>
        </w:rPr>
        <w:t>1、上述目录供投标人参考，投标人根据情况可自行对投标文件进行分册，目录可按照具体内容自动生成。</w:t>
      </w:r>
    </w:p>
    <w:p w14:paraId="4E11731B">
      <w:pPr>
        <w:numPr>
          <w:ilvl w:val="0"/>
          <w:numId w:val="4"/>
        </w:numPr>
        <w:spacing w:line="360" w:lineRule="auto"/>
        <w:ind w:right="31" w:rightChars="14" w:hanging="4" w:firstLineChars="0"/>
        <w:rPr>
          <w:rFonts w:hint="default" w:ascii="宋体" w:hAnsi="宋体" w:cs="Times New Roman"/>
          <w:szCs w:val="21"/>
        </w:rPr>
      </w:pPr>
      <w:r>
        <w:rPr>
          <w:rFonts w:hint="default" w:ascii="宋体" w:hAnsi="宋体" w:cs="Times New Roman"/>
          <w:szCs w:val="21"/>
        </w:rPr>
        <w:t>如投标人没有组成联合体参加投标，删除“</w:t>
      </w:r>
      <w:r>
        <w:rPr>
          <w:rFonts w:hint="eastAsia" w:ascii="宋体" w:hAnsi="宋体" w:cs="Times New Roman"/>
          <w:szCs w:val="21"/>
          <w:lang w:val="en-US" w:eastAsia="zh-CN"/>
        </w:rPr>
        <w:t>三</w:t>
      </w:r>
      <w:r>
        <w:rPr>
          <w:rFonts w:hint="default" w:ascii="宋体" w:hAnsi="宋体" w:cs="Times New Roman"/>
          <w:szCs w:val="21"/>
        </w:rPr>
        <w:t>、联合体协议书”，以下章节的序号依次递补。</w:t>
      </w:r>
    </w:p>
    <w:p w14:paraId="49ED62F5">
      <w:pPr>
        <w:numPr>
          <w:ilvl w:val="0"/>
          <w:numId w:val="4"/>
        </w:numPr>
        <w:spacing w:line="360" w:lineRule="auto"/>
        <w:ind w:right="31" w:rightChars="14" w:hanging="4" w:firstLineChars="0"/>
      </w:pPr>
      <w:r>
        <w:rPr>
          <w:rFonts w:ascii="宋体" w:hAnsi="宋体"/>
          <w:szCs w:val="21"/>
        </w:rPr>
        <w:t>投标文件中的“注”仅为更好的为投标人解释投标文件</w:t>
      </w:r>
      <w:r>
        <w:rPr>
          <w:rFonts w:hint="eastAsia" w:ascii="宋体" w:hAnsi="宋体"/>
          <w:szCs w:val="21"/>
        </w:rPr>
        <w:t>格式，各投标人在编制投标文件时，可自行删除“注”的内容。</w:t>
      </w:r>
    </w:p>
    <w:p w14:paraId="03C3E913">
      <w:pPr>
        <w:pStyle w:val="10"/>
        <w:ind w:left="0"/>
      </w:pPr>
      <w:r>
        <w:rPr>
          <w:rFonts w:hint="eastAsia"/>
        </w:rPr>
        <w:br w:type="page"/>
      </w:r>
    </w:p>
    <w:p w14:paraId="11849F39">
      <w:pPr>
        <w:pStyle w:val="4"/>
        <w:numPr>
          <w:ilvl w:val="0"/>
          <w:numId w:val="5"/>
        </w:numPr>
        <w:jc w:val="center"/>
      </w:pPr>
      <w:r>
        <w:rPr>
          <w:rFonts w:hint="eastAsia"/>
        </w:rPr>
        <w:t>投标函及投标函附录</w:t>
      </w:r>
    </w:p>
    <w:p w14:paraId="0D51F694">
      <w:pPr>
        <w:pStyle w:val="5"/>
        <w:numPr>
          <w:ilvl w:val="0"/>
          <w:numId w:val="6"/>
        </w:numPr>
        <w:jc w:val="center"/>
        <w:rPr>
          <w:b/>
          <w:bCs/>
        </w:rPr>
      </w:pPr>
      <w:r>
        <w:rPr>
          <w:rFonts w:hint="eastAsia"/>
          <w:b/>
          <w:bCs/>
        </w:rPr>
        <w:t>投标函</w:t>
      </w:r>
    </w:p>
    <w:p w14:paraId="6C5132D2">
      <w:pPr>
        <w:pStyle w:val="10"/>
      </w:pPr>
      <w:r>
        <w:rPr>
          <w:u w:val="single"/>
        </w:rPr>
        <w:t xml:space="preserve">                        </w:t>
      </w:r>
      <w:r>
        <w:t>（招标人名称）：</w:t>
      </w:r>
    </w:p>
    <w:p w14:paraId="56CE9F74">
      <w:pPr>
        <w:pStyle w:val="10"/>
        <w:ind w:firstLine="440" w:firstLineChars="200"/>
      </w:pPr>
      <w:r>
        <w:t>1．我方已仔细研究了</w:t>
      </w:r>
      <w:r>
        <w:rPr>
          <w:u w:val="single"/>
        </w:rPr>
        <w:t xml:space="preserve">          </w:t>
      </w:r>
      <w:r>
        <w:t>（项目名称）</w:t>
      </w:r>
      <w:r>
        <w:rPr>
          <w:rFonts w:hint="eastAsia"/>
          <w:lang w:eastAsia="zh-CN"/>
        </w:rPr>
        <w:t>施工</w:t>
      </w:r>
      <w:r>
        <w:rPr>
          <w:rFonts w:hint="eastAsia"/>
          <w:u w:val="single"/>
        </w:rPr>
        <w:t xml:space="preserve">   </w:t>
      </w:r>
      <w:r>
        <w:rPr>
          <w:rFonts w:hint="eastAsia"/>
        </w:rPr>
        <w:t>标段</w:t>
      </w:r>
      <w:r>
        <w:t>招标文件的全部内容，愿意以人民币（大写）</w:t>
      </w:r>
      <w:r>
        <w:rPr>
          <w:u w:val="single"/>
        </w:rPr>
        <w:t xml:space="preserve">         </w:t>
      </w:r>
      <w:r>
        <w:t>（¥</w:t>
      </w:r>
      <w:r>
        <w:rPr>
          <w:u w:val="single"/>
        </w:rPr>
        <w:t xml:space="preserve">           </w:t>
      </w:r>
      <w:r>
        <w:t>）的投标总报价，</w:t>
      </w:r>
      <w:r>
        <w:rPr>
          <w:rFonts w:hint="eastAsia"/>
        </w:rPr>
        <w:t>工期</w:t>
      </w:r>
      <w:r>
        <w:rPr>
          <w:rFonts w:hint="eastAsia"/>
          <w:u w:val="single"/>
        </w:rPr>
        <w:t xml:space="preserve">   </w:t>
      </w:r>
      <w:r>
        <w:rPr>
          <w:rFonts w:hint="eastAsia"/>
        </w:rPr>
        <w:t>日历天，</w:t>
      </w:r>
      <w:r>
        <w:t>按合同约定实施和完成承包工程</w:t>
      </w:r>
      <w:r>
        <w:rPr>
          <w:rFonts w:hint="eastAsia"/>
        </w:rPr>
        <w:t>/项目</w:t>
      </w:r>
      <w:r>
        <w:t>，修补工程</w:t>
      </w:r>
      <w:r>
        <w:rPr>
          <w:rFonts w:hint="eastAsia"/>
        </w:rPr>
        <w:t>/项目</w:t>
      </w:r>
      <w:r>
        <w:t>中的任何缺陷，工程</w:t>
      </w:r>
      <w:r>
        <w:rPr>
          <w:rFonts w:hint="eastAsia"/>
        </w:rPr>
        <w:t>/项目</w:t>
      </w:r>
      <w:r>
        <w:t>质量达到</w:t>
      </w:r>
      <w:r>
        <w:rPr>
          <w:u w:val="single"/>
        </w:rPr>
        <w:t xml:space="preserve">           </w:t>
      </w:r>
      <w:r>
        <w:t>。</w:t>
      </w:r>
    </w:p>
    <w:p w14:paraId="3DCDAB03">
      <w:pPr>
        <w:pStyle w:val="10"/>
        <w:ind w:firstLine="440" w:firstLineChars="200"/>
      </w:pPr>
      <w:r>
        <w:t>2．我方承诺在</w:t>
      </w:r>
      <w:r>
        <w:rPr>
          <w:rFonts w:hint="eastAsia"/>
        </w:rPr>
        <w:t>招标文件规定的</w:t>
      </w:r>
      <w:r>
        <w:t>投标有效期内不修改、撤销投标文件。</w:t>
      </w:r>
    </w:p>
    <w:p w14:paraId="16E4995E">
      <w:pPr>
        <w:pStyle w:val="10"/>
        <w:ind w:firstLine="440" w:firstLineChars="200"/>
      </w:pPr>
      <w:r>
        <w:t>3．随同本投标函提交投标保证金一份，金额为人民币（大写）</w:t>
      </w:r>
      <w:r>
        <w:rPr>
          <w:u w:val="single"/>
        </w:rPr>
        <w:t xml:space="preserve">        </w:t>
      </w:r>
      <w:r>
        <w:t>（¥</w:t>
      </w:r>
      <w:r>
        <w:rPr>
          <w:u w:val="single"/>
        </w:rPr>
        <w:t xml:space="preserve"> </w:t>
      </w:r>
      <w:r>
        <w:rPr>
          <w:rFonts w:hint="eastAsia"/>
          <w:u w:val="single"/>
        </w:rPr>
        <w:t xml:space="preserve">   </w:t>
      </w:r>
      <w:r>
        <w:rPr>
          <w:u w:val="single"/>
        </w:rPr>
        <w:t xml:space="preserve">   </w:t>
      </w:r>
      <w:r>
        <w:t>）。</w:t>
      </w:r>
    </w:p>
    <w:p w14:paraId="6D8E298A">
      <w:pPr>
        <w:pStyle w:val="10"/>
        <w:ind w:firstLine="440" w:firstLineChars="200"/>
      </w:pPr>
      <w:r>
        <w:t>4．如我方中标：</w:t>
      </w:r>
    </w:p>
    <w:p w14:paraId="4B778410">
      <w:pPr>
        <w:pStyle w:val="10"/>
        <w:ind w:firstLine="440" w:firstLineChars="200"/>
      </w:pPr>
      <w:r>
        <w:t>（1）我方承诺在收到中标通知书后，在中标通知书规定的期限内与你方签订合同。</w:t>
      </w:r>
    </w:p>
    <w:p w14:paraId="763C3368">
      <w:pPr>
        <w:pStyle w:val="10"/>
        <w:ind w:firstLine="440" w:firstLineChars="200"/>
      </w:pPr>
      <w:r>
        <w:t>（2）随同本投标函递交的投标函附录属于合同文件的组成部分。</w:t>
      </w:r>
    </w:p>
    <w:p w14:paraId="159D666C">
      <w:pPr>
        <w:pStyle w:val="10"/>
        <w:ind w:firstLine="440" w:firstLineChars="200"/>
      </w:pPr>
      <w:r>
        <w:t>（3）我方承诺按照招标文件规定向你方递交履约担保。</w:t>
      </w:r>
    </w:p>
    <w:p w14:paraId="2ACA0DE4">
      <w:pPr>
        <w:pStyle w:val="10"/>
        <w:ind w:firstLine="440" w:firstLineChars="200"/>
      </w:pPr>
      <w:r>
        <w:t>（</w:t>
      </w:r>
      <w:r>
        <w:rPr>
          <w:rFonts w:hint="eastAsia"/>
        </w:rPr>
        <w:t>4</w:t>
      </w:r>
      <w:r>
        <w:t>）我方承诺在合同约定的期限内完成并移交全部合同工程。</w:t>
      </w:r>
    </w:p>
    <w:p w14:paraId="44771FDC">
      <w:pPr>
        <w:pStyle w:val="10"/>
        <w:ind w:left="0" w:firstLine="880" w:firstLineChars="400"/>
      </w:pPr>
      <w:r>
        <w:rPr>
          <w:rFonts w:hint="eastAsia"/>
        </w:rPr>
        <w:t>5．</w:t>
      </w:r>
      <w:r>
        <w:rPr>
          <w:u w:val="single"/>
        </w:rPr>
        <w:t xml:space="preserve">                                       </w:t>
      </w:r>
      <w:r>
        <w:t>（</w:t>
      </w:r>
      <w:r>
        <w:rPr>
          <w:rFonts w:hint="eastAsia"/>
        </w:rPr>
        <w:t>其他</w:t>
      </w:r>
      <w:r>
        <w:t>补充说明）。</w:t>
      </w:r>
    </w:p>
    <w:p w14:paraId="14ACE453">
      <w:pPr>
        <w:pStyle w:val="10"/>
        <w:tabs>
          <w:tab w:val="left" w:pos="2693"/>
        </w:tabs>
      </w:pPr>
      <w:r>
        <w:tab/>
      </w:r>
    </w:p>
    <w:p w14:paraId="0E9FF7EC">
      <w:pPr>
        <w:ind w:firstLine="4609" w:firstLineChars="2095"/>
        <w:jc w:val="both"/>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投 标 人</w:t>
      </w:r>
      <w:r>
        <w:rPr>
          <w:rFonts w:hint="eastAsia" w:asciiTheme="minorEastAsia" w:hAnsiTheme="minorEastAsia" w:eastAsiaTheme="minorEastAsia" w:cstheme="minorEastAsia"/>
          <w:spacing w:val="-3"/>
          <w:szCs w:val="22"/>
        </w:rPr>
        <w:t>：</w:t>
      </w:r>
      <w:r>
        <w:rPr>
          <w:rFonts w:hint="eastAsia" w:asciiTheme="minorEastAsia" w:hAnsiTheme="minorEastAsia" w:eastAsiaTheme="minorEastAsia" w:cstheme="minorEastAsia"/>
          <w:spacing w:val="-3"/>
          <w:szCs w:val="22"/>
          <w:u w:val="single"/>
        </w:rPr>
        <w:t xml:space="preserve">                            </w:t>
      </w:r>
      <w:r>
        <w:rPr>
          <w:rFonts w:hint="eastAsia" w:asciiTheme="minorEastAsia" w:hAnsiTheme="minorEastAsia" w:eastAsiaTheme="minorEastAsia" w:cstheme="minorEastAsia"/>
          <w:szCs w:val="22"/>
        </w:rPr>
        <w:t>（盖</w:t>
      </w:r>
      <w:r>
        <w:rPr>
          <w:rFonts w:hint="eastAsia" w:asciiTheme="minorEastAsia" w:hAnsiTheme="minorEastAsia" w:eastAsiaTheme="minorEastAsia" w:cstheme="minorEastAsia"/>
          <w:spacing w:val="-3"/>
          <w:szCs w:val="22"/>
        </w:rPr>
        <w:t>单</w:t>
      </w:r>
      <w:r>
        <w:rPr>
          <w:rFonts w:hint="eastAsia" w:asciiTheme="minorEastAsia" w:hAnsiTheme="minorEastAsia" w:eastAsiaTheme="minorEastAsia" w:cstheme="minorEastAsia"/>
          <w:szCs w:val="22"/>
        </w:rPr>
        <w:t>位</w:t>
      </w:r>
      <w:r>
        <w:rPr>
          <w:rFonts w:hint="eastAsia" w:asciiTheme="minorEastAsia" w:hAnsiTheme="minorEastAsia" w:eastAsiaTheme="minorEastAsia" w:cstheme="minorEastAsia"/>
          <w:spacing w:val="-3"/>
          <w:szCs w:val="22"/>
        </w:rPr>
        <w:t>章</w:t>
      </w:r>
      <w:r>
        <w:rPr>
          <w:rFonts w:hint="eastAsia" w:asciiTheme="minorEastAsia" w:hAnsiTheme="minorEastAsia" w:eastAsiaTheme="minorEastAsia" w:cstheme="minorEastAsia"/>
          <w:szCs w:val="22"/>
        </w:rPr>
        <w:t>）</w:t>
      </w:r>
    </w:p>
    <w:p w14:paraId="06629CF0">
      <w:pPr>
        <w:ind w:firstLine="4609" w:firstLineChars="2095"/>
        <w:jc w:val="both"/>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法</w:t>
      </w:r>
      <w:r>
        <w:rPr>
          <w:rFonts w:hint="eastAsia" w:asciiTheme="minorEastAsia" w:hAnsiTheme="minorEastAsia" w:eastAsiaTheme="minorEastAsia" w:cstheme="minorEastAsia"/>
          <w:spacing w:val="-3"/>
          <w:szCs w:val="22"/>
        </w:rPr>
        <w:t>定</w:t>
      </w:r>
      <w:r>
        <w:rPr>
          <w:rFonts w:hint="eastAsia" w:asciiTheme="minorEastAsia" w:hAnsiTheme="minorEastAsia" w:eastAsiaTheme="minorEastAsia" w:cstheme="minorEastAsia"/>
          <w:szCs w:val="22"/>
        </w:rPr>
        <w:t>代</w:t>
      </w:r>
      <w:r>
        <w:rPr>
          <w:rFonts w:hint="eastAsia" w:asciiTheme="minorEastAsia" w:hAnsiTheme="minorEastAsia" w:eastAsiaTheme="minorEastAsia" w:cstheme="minorEastAsia"/>
          <w:spacing w:val="-3"/>
          <w:szCs w:val="22"/>
        </w:rPr>
        <w:t>表</w:t>
      </w:r>
      <w:r>
        <w:rPr>
          <w:rFonts w:hint="eastAsia" w:asciiTheme="minorEastAsia" w:hAnsiTheme="minorEastAsia" w:eastAsiaTheme="minorEastAsia" w:cstheme="minorEastAsia"/>
          <w:szCs w:val="22"/>
        </w:rPr>
        <w:t>人</w:t>
      </w:r>
      <w:r>
        <w:rPr>
          <w:rFonts w:hint="eastAsia" w:asciiTheme="minorEastAsia" w:hAnsiTheme="minorEastAsia" w:eastAsiaTheme="minorEastAsia" w:cstheme="minorEastAsia"/>
          <w:spacing w:val="-3"/>
          <w:szCs w:val="22"/>
        </w:rPr>
        <w:t>或</w:t>
      </w:r>
      <w:r>
        <w:rPr>
          <w:rFonts w:hint="eastAsia" w:asciiTheme="minorEastAsia" w:hAnsiTheme="minorEastAsia" w:eastAsiaTheme="minorEastAsia" w:cstheme="minorEastAsia"/>
          <w:szCs w:val="22"/>
        </w:rPr>
        <w:t>其</w:t>
      </w:r>
      <w:r>
        <w:rPr>
          <w:rFonts w:hint="eastAsia" w:asciiTheme="minorEastAsia" w:hAnsiTheme="minorEastAsia" w:eastAsiaTheme="minorEastAsia" w:cstheme="minorEastAsia"/>
          <w:spacing w:val="-3"/>
          <w:szCs w:val="22"/>
        </w:rPr>
        <w:t>委</w:t>
      </w:r>
      <w:r>
        <w:rPr>
          <w:rFonts w:hint="eastAsia" w:asciiTheme="minorEastAsia" w:hAnsiTheme="minorEastAsia" w:eastAsiaTheme="minorEastAsia" w:cstheme="minorEastAsia"/>
          <w:szCs w:val="22"/>
        </w:rPr>
        <w:t>托</w:t>
      </w:r>
      <w:r>
        <w:rPr>
          <w:rFonts w:hint="eastAsia" w:asciiTheme="minorEastAsia" w:hAnsiTheme="minorEastAsia" w:eastAsiaTheme="minorEastAsia" w:cstheme="minorEastAsia"/>
          <w:spacing w:val="-3"/>
          <w:szCs w:val="22"/>
        </w:rPr>
        <w:t>代理</w:t>
      </w:r>
      <w:r>
        <w:rPr>
          <w:rFonts w:hint="eastAsia" w:asciiTheme="minorEastAsia" w:hAnsiTheme="minorEastAsia" w:eastAsiaTheme="minorEastAsia" w:cstheme="minorEastAsia"/>
          <w:szCs w:val="22"/>
        </w:rPr>
        <w:t>人：</w:t>
      </w:r>
      <w:r>
        <w:rPr>
          <w:rFonts w:hint="eastAsia" w:asciiTheme="minorEastAsia" w:hAnsiTheme="minorEastAsia" w:eastAsiaTheme="minorEastAsia" w:cstheme="minorEastAsia"/>
          <w:szCs w:val="22"/>
          <w:u w:val="single"/>
        </w:rPr>
        <w:t xml:space="preserve">           </w:t>
      </w:r>
      <w:r>
        <w:rPr>
          <w:rFonts w:hint="eastAsia" w:asciiTheme="minorEastAsia" w:hAnsiTheme="minorEastAsia" w:eastAsiaTheme="minorEastAsia" w:cstheme="minorEastAsia"/>
          <w:szCs w:val="22"/>
        </w:rPr>
        <w:t>（</w:t>
      </w:r>
      <w:r>
        <w:rPr>
          <w:rFonts w:hint="eastAsia" w:asciiTheme="minorEastAsia" w:hAnsiTheme="minorEastAsia" w:eastAsiaTheme="minorEastAsia" w:cstheme="minorEastAsia"/>
          <w:szCs w:val="22"/>
          <w:lang w:val="en-US" w:eastAsia="zh-CN"/>
        </w:rPr>
        <w:t>签字或签章</w:t>
      </w:r>
      <w:r>
        <w:rPr>
          <w:rFonts w:hint="eastAsia" w:asciiTheme="minorEastAsia" w:hAnsiTheme="minorEastAsia" w:eastAsiaTheme="minorEastAsia" w:cstheme="minorEastAsia"/>
          <w:szCs w:val="22"/>
        </w:rPr>
        <w:t>）</w:t>
      </w:r>
    </w:p>
    <w:p w14:paraId="0E8EA468">
      <w:pPr>
        <w:pStyle w:val="10"/>
        <w:ind w:left="0"/>
        <w:jc w:val="right"/>
      </w:pP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rPr>
        <w:t>年</w:t>
      </w: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rPr>
        <w:t>月</w:t>
      </w: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rPr>
        <w:t>日</w:t>
      </w:r>
    </w:p>
    <w:p w14:paraId="49216DA5">
      <w:pPr>
        <w:pStyle w:val="10"/>
        <w:rPr>
          <w:rFonts w:asciiTheme="minorEastAsia" w:hAnsiTheme="minorEastAsia" w:eastAsiaTheme="minorEastAsia" w:cstheme="minorEastAsia"/>
          <w:szCs w:val="22"/>
        </w:rPr>
      </w:pPr>
    </w:p>
    <w:p w14:paraId="7FC7D263">
      <w:pPr>
        <w:pStyle w:val="10"/>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注：投标报价的单位应与公布的</w:t>
      </w:r>
      <w:r>
        <w:rPr>
          <w:rFonts w:hint="eastAsia" w:asciiTheme="minorEastAsia" w:hAnsiTheme="minorEastAsia" w:eastAsiaTheme="minorEastAsia" w:cstheme="minorEastAsia"/>
          <w:szCs w:val="22"/>
          <w:lang w:eastAsia="zh-CN"/>
        </w:rPr>
        <w:t>最高投标限价</w:t>
      </w:r>
      <w:r>
        <w:rPr>
          <w:rFonts w:hint="eastAsia" w:asciiTheme="minorEastAsia" w:hAnsiTheme="minorEastAsia" w:eastAsiaTheme="minorEastAsia" w:cstheme="minorEastAsia"/>
          <w:szCs w:val="22"/>
        </w:rPr>
        <w:t>一致，小数点后保留位数不作实质性要求。</w:t>
      </w:r>
      <w:r>
        <w:rPr>
          <w:rFonts w:hint="eastAsia" w:asciiTheme="minorEastAsia" w:hAnsiTheme="minorEastAsia" w:eastAsiaTheme="minorEastAsia" w:cstheme="minorEastAsia"/>
          <w:szCs w:val="22"/>
        </w:rPr>
        <w:br w:type="page"/>
      </w:r>
    </w:p>
    <w:p w14:paraId="5DBE81EA">
      <w:pPr>
        <w:pStyle w:val="5"/>
        <w:numPr>
          <w:ilvl w:val="0"/>
          <w:numId w:val="6"/>
        </w:numPr>
        <w:jc w:val="center"/>
        <w:rPr>
          <w:b/>
          <w:bCs/>
        </w:rPr>
      </w:pPr>
      <w:r>
        <w:rPr>
          <w:rFonts w:hint="eastAsia"/>
          <w:b/>
          <w:bCs/>
        </w:rPr>
        <w:t>投标文件真实性和不存在限制投标情形的声明</w:t>
      </w:r>
    </w:p>
    <w:p w14:paraId="0CE06895">
      <w:pPr>
        <w:ind w:firstLine="424" w:firstLineChars="200"/>
        <w:jc w:val="both"/>
        <w:rPr>
          <w:rFonts w:ascii="宋体" w:hAnsi="宋体" w:cs="宋体"/>
          <w:spacing w:val="-4"/>
          <w:kern w:val="0"/>
          <w:szCs w:val="22"/>
        </w:rPr>
      </w:pPr>
    </w:p>
    <w:p w14:paraId="754CD1BC">
      <w:pPr>
        <w:spacing w:line="360" w:lineRule="auto"/>
        <w:ind w:left="376" w:leftChars="171"/>
        <w:rPr>
          <w:rFonts w:hint="eastAsia" w:ascii="宋体" w:hAnsi="宋体"/>
        </w:rPr>
      </w:pPr>
      <w:r>
        <w:rPr>
          <w:rFonts w:hint="eastAsia" w:ascii="宋体" w:hAnsi="宋体"/>
          <w:sz w:val="28"/>
          <w:u w:val="single"/>
        </w:rPr>
        <w:t xml:space="preserve">            </w:t>
      </w:r>
      <w:r>
        <w:rPr>
          <w:rFonts w:hint="eastAsia" w:ascii="宋体" w:hAnsi="宋体"/>
        </w:rPr>
        <w:t>（招标人名称）：</w:t>
      </w:r>
    </w:p>
    <w:p w14:paraId="22B5F4B3">
      <w:pPr>
        <w:spacing w:line="360" w:lineRule="auto"/>
        <w:ind w:left="376" w:leftChars="171" w:firstLine="435"/>
        <w:rPr>
          <w:rFonts w:hint="eastAsia" w:ascii="宋体" w:hAnsi="宋体"/>
        </w:rPr>
      </w:pPr>
      <w:r>
        <w:rPr>
          <w:rFonts w:hint="eastAsia" w:ascii="宋体" w:hAnsi="宋体"/>
        </w:rPr>
        <w:t>我方在此声明，所递交的投标文件（包括有关资料、澄清）真实可信，不存在虚假（包括隐瞒）。</w:t>
      </w:r>
    </w:p>
    <w:p w14:paraId="01C4733E">
      <w:pPr>
        <w:spacing w:line="360" w:lineRule="auto"/>
        <w:ind w:left="376" w:leftChars="171" w:firstLine="435"/>
        <w:rPr>
          <w:rFonts w:hint="eastAsia" w:ascii="宋体" w:hAnsi="宋体"/>
        </w:rPr>
      </w:pPr>
      <w:r>
        <w:rPr>
          <w:rFonts w:hint="eastAsia" w:ascii="宋体" w:hAnsi="宋体"/>
        </w:rPr>
        <w:t>经我方认真核查，本投标人不存在第二章“投标人须知”第1.4.3项规定的任何一种情形。</w:t>
      </w:r>
    </w:p>
    <w:p w14:paraId="55C47D80">
      <w:pPr>
        <w:ind w:firstLine="880" w:firstLineChars="400"/>
        <w:jc w:val="both"/>
        <w:rPr>
          <w:rFonts w:ascii="宋体" w:hAnsi="宋体" w:cs="宋体"/>
          <w:spacing w:val="-4"/>
          <w:kern w:val="0"/>
          <w:szCs w:val="22"/>
        </w:rPr>
      </w:pPr>
      <w:r>
        <w:rPr>
          <w:rFonts w:hint="eastAsia" w:ascii="宋体" w:hAnsi="宋体"/>
        </w:rPr>
        <w:t>我方承诺，如存在以上两种行为，我方自愿按第二章“投标人须知前附表”第</w:t>
      </w:r>
      <w:r>
        <w:rPr>
          <w:rFonts w:hint="eastAsia" w:ascii="宋体" w:hAnsi="宋体"/>
          <w:szCs w:val="21"/>
        </w:rPr>
        <w:t>10.1</w:t>
      </w:r>
      <w:r>
        <w:rPr>
          <w:rFonts w:ascii="宋体" w:hAnsi="宋体"/>
          <w:szCs w:val="21"/>
        </w:rPr>
        <w:t>0</w:t>
      </w:r>
      <w:r>
        <w:rPr>
          <w:rFonts w:hint="eastAsia" w:ascii="宋体" w:hAnsi="宋体"/>
          <w:szCs w:val="21"/>
        </w:rPr>
        <w:t>项</w:t>
      </w:r>
      <w:r>
        <w:rPr>
          <w:rFonts w:hint="eastAsia" w:ascii="宋体" w:hAnsi="宋体"/>
        </w:rPr>
        <w:t>和其他有关规定承担责任。</w:t>
      </w:r>
      <w:r>
        <w:rPr>
          <w:rFonts w:hint="eastAsia" w:ascii="宋体" w:hAnsi="宋体" w:cs="宋体"/>
          <w:spacing w:val="-4"/>
          <w:kern w:val="0"/>
          <w:szCs w:val="22"/>
        </w:rPr>
        <w:t xml:space="preserve">  </w:t>
      </w:r>
    </w:p>
    <w:p w14:paraId="06AC4CA4">
      <w:pPr>
        <w:ind w:firstLine="424" w:firstLineChars="200"/>
        <w:jc w:val="right"/>
        <w:rPr>
          <w:rFonts w:ascii="宋体" w:hAnsi="宋体" w:cs="宋体"/>
          <w:spacing w:val="-4"/>
          <w:kern w:val="0"/>
          <w:szCs w:val="22"/>
        </w:rPr>
      </w:pPr>
      <w:r>
        <w:rPr>
          <w:rFonts w:hint="eastAsia" w:ascii="宋体" w:hAnsi="宋体" w:cs="宋体"/>
          <w:spacing w:val="-4"/>
          <w:kern w:val="0"/>
          <w:szCs w:val="22"/>
        </w:rPr>
        <w:t>单位名称：</w:t>
      </w: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u w:val="single"/>
        </w:rPr>
        <w:t>（</w:t>
      </w:r>
      <w:r>
        <w:rPr>
          <w:rFonts w:hint="eastAsia" w:ascii="宋体" w:hAnsi="宋体" w:cs="宋体"/>
          <w:spacing w:val="-4"/>
          <w:kern w:val="0"/>
          <w:szCs w:val="22"/>
        </w:rPr>
        <w:t>盖单位章）</w:t>
      </w:r>
    </w:p>
    <w:p w14:paraId="488CA72E">
      <w:pPr>
        <w:ind w:firstLine="424" w:firstLineChars="200"/>
        <w:jc w:val="right"/>
        <w:rPr>
          <w:rFonts w:ascii="宋体" w:hAnsi="宋体" w:cs="宋体"/>
          <w:spacing w:val="-4"/>
          <w:kern w:val="0"/>
          <w:szCs w:val="22"/>
        </w:rPr>
      </w:pPr>
      <w:r>
        <w:rPr>
          <w:rFonts w:hint="eastAsia" w:ascii="宋体" w:hAnsi="宋体" w:cs="宋体"/>
          <w:spacing w:val="-4"/>
          <w:kern w:val="0"/>
          <w:szCs w:val="22"/>
        </w:rPr>
        <w:t>法定代表人：</w:t>
      </w: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u w:val="single"/>
        </w:rPr>
        <w:t>（</w:t>
      </w:r>
      <w:r>
        <w:rPr>
          <w:rFonts w:hint="eastAsia" w:asciiTheme="minorEastAsia" w:hAnsiTheme="minorEastAsia" w:eastAsiaTheme="minorEastAsia" w:cstheme="minorEastAsia"/>
          <w:szCs w:val="22"/>
          <w:lang w:val="en-US" w:eastAsia="zh-CN"/>
        </w:rPr>
        <w:t>签字或签章</w:t>
      </w:r>
      <w:r>
        <w:rPr>
          <w:rFonts w:hint="eastAsia" w:ascii="宋体" w:hAnsi="宋体" w:cs="宋体"/>
          <w:spacing w:val="-4"/>
          <w:kern w:val="0"/>
          <w:szCs w:val="22"/>
        </w:rPr>
        <w:t>）</w:t>
      </w:r>
    </w:p>
    <w:p w14:paraId="40E47E47">
      <w:pPr>
        <w:ind w:firstLine="424" w:firstLineChars="200"/>
        <w:jc w:val="right"/>
        <w:rPr>
          <w:rFonts w:ascii="宋体" w:hAnsi="宋体" w:cs="宋体"/>
          <w:spacing w:val="-4"/>
          <w:kern w:val="0"/>
          <w:szCs w:val="22"/>
        </w:rPr>
      </w:pP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rPr>
        <w:t>年</w:t>
      </w: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rPr>
        <w:t>月</w:t>
      </w:r>
      <w:r>
        <w:rPr>
          <w:rFonts w:hint="eastAsia" w:ascii="宋体" w:hAnsi="宋体" w:cs="宋体"/>
          <w:spacing w:val="-4"/>
          <w:kern w:val="0"/>
          <w:szCs w:val="22"/>
          <w:u w:val="single"/>
          <w:lang w:val="en-US" w:eastAsia="zh-CN"/>
        </w:rPr>
        <w:t xml:space="preserve">   </w:t>
      </w:r>
      <w:r>
        <w:rPr>
          <w:rFonts w:hint="eastAsia" w:ascii="宋体" w:hAnsi="宋体" w:cs="宋体"/>
          <w:spacing w:val="-4"/>
          <w:kern w:val="0"/>
          <w:szCs w:val="22"/>
        </w:rPr>
        <w:t>日</w:t>
      </w:r>
    </w:p>
    <w:p w14:paraId="1212778C">
      <w:pPr>
        <w:ind w:firstLine="424" w:firstLineChars="200"/>
        <w:jc w:val="both"/>
        <w:rPr>
          <w:rFonts w:ascii="宋体" w:hAnsi="宋体" w:cs="宋体"/>
          <w:spacing w:val="-4"/>
          <w:kern w:val="0"/>
          <w:szCs w:val="22"/>
        </w:rPr>
      </w:pPr>
      <w:r>
        <w:rPr>
          <w:rFonts w:hint="eastAsia" w:ascii="宋体" w:hAnsi="宋体" w:cs="宋体"/>
          <w:spacing w:val="-4"/>
          <w:kern w:val="0"/>
          <w:szCs w:val="22"/>
        </w:rPr>
        <w:t xml:space="preserve">  </w:t>
      </w:r>
    </w:p>
    <w:p w14:paraId="4474ADF4">
      <w:pPr>
        <w:ind w:firstLine="424" w:firstLineChars="200"/>
        <w:jc w:val="both"/>
        <w:rPr>
          <w:rFonts w:ascii="宋体" w:hAnsi="宋体" w:cs="宋体"/>
          <w:spacing w:val="-4"/>
          <w:kern w:val="0"/>
          <w:szCs w:val="22"/>
        </w:rPr>
      </w:pPr>
    </w:p>
    <w:p w14:paraId="15F04347">
      <w:pPr>
        <w:ind w:firstLine="424" w:firstLineChars="200"/>
        <w:jc w:val="both"/>
        <w:rPr>
          <w:rFonts w:ascii="宋体" w:hAnsi="宋体" w:cs="宋体"/>
          <w:spacing w:val="-4"/>
          <w:kern w:val="0"/>
          <w:szCs w:val="22"/>
        </w:rPr>
      </w:pPr>
      <w:r>
        <w:rPr>
          <w:rFonts w:hint="eastAsia" w:ascii="宋体" w:hAnsi="宋体" w:cs="宋体"/>
          <w:spacing w:val="-4"/>
          <w:kern w:val="0"/>
          <w:szCs w:val="22"/>
        </w:rPr>
        <w:t xml:space="preserve"> 注：若为联合体投标，需提供所有联合体各方的投标文件真实性和不存在限制投标情形的声明。</w:t>
      </w:r>
    </w:p>
    <w:p w14:paraId="751E1E9F">
      <w:pPr>
        <w:rPr>
          <w:bCs/>
        </w:rPr>
      </w:pPr>
      <w:r>
        <w:rPr>
          <w:rFonts w:hint="eastAsia"/>
          <w:bCs/>
        </w:rPr>
        <w:br w:type="page"/>
      </w:r>
    </w:p>
    <w:p w14:paraId="69C272AA">
      <w:pPr>
        <w:pStyle w:val="5"/>
        <w:numPr>
          <w:ilvl w:val="0"/>
          <w:numId w:val="6"/>
        </w:numPr>
        <w:jc w:val="center"/>
        <w:rPr>
          <w:b/>
          <w:bCs/>
        </w:rPr>
      </w:pPr>
      <w:r>
        <w:rPr>
          <w:rFonts w:hint="eastAsia"/>
          <w:b/>
          <w:bCs/>
        </w:rPr>
        <w:t>投标函附录</w:t>
      </w:r>
    </w:p>
    <w:tbl>
      <w:tblPr>
        <w:tblStyle w:val="19"/>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4020"/>
        <w:gridCol w:w="4210"/>
        <w:gridCol w:w="905"/>
      </w:tblGrid>
      <w:tr w14:paraId="5929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35" w:type="dxa"/>
            <w:vAlign w:val="center"/>
          </w:tcPr>
          <w:p w14:paraId="53701791">
            <w:pPr>
              <w:keepNext w:val="0"/>
              <w:keepLines w:val="0"/>
              <w:suppressLineNumbers w:val="0"/>
              <w:spacing w:before="0" w:beforeAutospacing="0" w:after="0" w:afterAutospacing="0" w:line="24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序号</w:t>
            </w:r>
          </w:p>
        </w:tc>
        <w:tc>
          <w:tcPr>
            <w:tcW w:w="4020" w:type="dxa"/>
            <w:vAlign w:val="center"/>
          </w:tcPr>
          <w:p w14:paraId="75E04A7F">
            <w:pPr>
              <w:keepNext w:val="0"/>
              <w:keepLines w:val="0"/>
              <w:suppressLineNumbers w:val="0"/>
              <w:spacing w:before="0" w:beforeAutospacing="0" w:after="0" w:afterAutospacing="0" w:line="24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条款名称</w:t>
            </w:r>
          </w:p>
        </w:tc>
        <w:tc>
          <w:tcPr>
            <w:tcW w:w="4210" w:type="dxa"/>
            <w:vAlign w:val="center"/>
          </w:tcPr>
          <w:p w14:paraId="2B630A31">
            <w:pPr>
              <w:keepNext w:val="0"/>
              <w:keepLines w:val="0"/>
              <w:suppressLineNumbers w:val="0"/>
              <w:spacing w:before="0" w:beforeAutospacing="0" w:after="0" w:afterAutospacing="0" w:line="240" w:lineRule="auto"/>
              <w:ind w:left="376" w:leftChars="171"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约定内容</w:t>
            </w:r>
          </w:p>
        </w:tc>
        <w:tc>
          <w:tcPr>
            <w:tcW w:w="905" w:type="dxa"/>
            <w:vAlign w:val="center"/>
          </w:tcPr>
          <w:p w14:paraId="6A622CF6">
            <w:pPr>
              <w:keepNext w:val="0"/>
              <w:keepLines w:val="0"/>
              <w:suppressLineNumbers w:val="0"/>
              <w:spacing w:before="0" w:beforeAutospacing="0" w:after="0" w:afterAutospacing="0" w:line="24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备注</w:t>
            </w:r>
          </w:p>
        </w:tc>
      </w:tr>
      <w:tr w14:paraId="60DD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35" w:type="dxa"/>
            <w:vAlign w:val="center"/>
          </w:tcPr>
          <w:p w14:paraId="16AB7269">
            <w:pPr>
              <w:keepNext w:val="0"/>
              <w:keepLines w:val="0"/>
              <w:suppressLineNumbers w:val="0"/>
              <w:spacing w:before="0" w:beforeAutospacing="0" w:after="0" w:afterAutospacing="0" w:line="240" w:lineRule="auto"/>
              <w:ind w:left="0" w:right="0" w:firstLine="110" w:firstLineChars="5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1</w:t>
            </w:r>
          </w:p>
        </w:tc>
        <w:tc>
          <w:tcPr>
            <w:tcW w:w="4020" w:type="dxa"/>
            <w:vAlign w:val="center"/>
          </w:tcPr>
          <w:p w14:paraId="69CA1838">
            <w:pPr>
              <w:keepNext w:val="0"/>
              <w:keepLines w:val="0"/>
              <w:suppressLineNumbers w:val="0"/>
              <w:spacing w:before="0" w:beforeAutospacing="0" w:after="0" w:afterAutospacing="0" w:line="24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项目经理（项目负责人）</w:t>
            </w:r>
          </w:p>
        </w:tc>
        <w:tc>
          <w:tcPr>
            <w:tcW w:w="4210" w:type="dxa"/>
            <w:vAlign w:val="center"/>
          </w:tcPr>
          <w:p w14:paraId="185EE98F">
            <w:pPr>
              <w:keepNext w:val="0"/>
              <w:keepLines w:val="0"/>
              <w:suppressLineNumbers w:val="0"/>
              <w:spacing w:before="0" w:beforeAutospacing="0" w:after="0" w:afterAutospacing="0" w:line="240" w:lineRule="auto"/>
              <w:ind w:left="0" w:right="0" w:firstLine="0" w:firstLineChars="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姓名：</w:t>
            </w:r>
          </w:p>
        </w:tc>
        <w:tc>
          <w:tcPr>
            <w:tcW w:w="905" w:type="dxa"/>
          </w:tcPr>
          <w:p w14:paraId="58557611">
            <w:pPr>
              <w:keepNext w:val="0"/>
              <w:keepLines w:val="0"/>
              <w:suppressLineNumbers w:val="0"/>
              <w:spacing w:before="0" w:beforeAutospacing="0" w:after="0" w:afterAutospacing="0" w:line="240" w:lineRule="auto"/>
              <w:ind w:left="376" w:leftChars="171" w:right="0" w:firstLine="420"/>
              <w:jc w:val="both"/>
              <w:rPr>
                <w:rFonts w:hint="eastAsia" w:ascii="宋体" w:hAnsi="宋体" w:eastAsia="宋体" w:cs="Times New Roman"/>
                <w:kern w:val="0"/>
                <w:sz w:val="22"/>
                <w:szCs w:val="22"/>
              </w:rPr>
            </w:pPr>
          </w:p>
        </w:tc>
      </w:tr>
      <w:tr w14:paraId="7653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35" w:type="dxa"/>
            <w:vAlign w:val="center"/>
          </w:tcPr>
          <w:p w14:paraId="568AC650">
            <w:pPr>
              <w:keepNext w:val="0"/>
              <w:keepLines w:val="0"/>
              <w:suppressLineNumbers w:val="0"/>
              <w:spacing w:before="0" w:beforeAutospacing="0" w:after="0" w:afterAutospacing="0" w:line="240" w:lineRule="auto"/>
              <w:ind w:left="0" w:right="0" w:firstLine="110" w:firstLineChars="5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2</w:t>
            </w:r>
          </w:p>
        </w:tc>
        <w:tc>
          <w:tcPr>
            <w:tcW w:w="4020" w:type="dxa"/>
            <w:vAlign w:val="center"/>
          </w:tcPr>
          <w:p w14:paraId="20AA53F9">
            <w:pPr>
              <w:keepNext w:val="0"/>
              <w:keepLines w:val="0"/>
              <w:suppressLineNumbers w:val="0"/>
              <w:spacing w:before="0" w:beforeAutospacing="0" w:after="0" w:afterAutospacing="0" w:line="24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工期</w:t>
            </w:r>
          </w:p>
        </w:tc>
        <w:tc>
          <w:tcPr>
            <w:tcW w:w="4210" w:type="dxa"/>
            <w:vAlign w:val="center"/>
          </w:tcPr>
          <w:p w14:paraId="48D9738F">
            <w:pPr>
              <w:keepNext w:val="0"/>
              <w:keepLines w:val="0"/>
              <w:suppressLineNumbers w:val="0"/>
              <w:spacing w:before="0" w:beforeAutospacing="0" w:after="0" w:afterAutospacing="0" w:line="240" w:lineRule="auto"/>
              <w:ind w:left="0" w:leftChars="0" w:right="0"/>
              <w:jc w:val="both"/>
              <w:rPr>
                <w:rFonts w:hint="eastAsia" w:ascii="宋体" w:hAnsi="宋体" w:eastAsia="宋体" w:cs="Times New Roman"/>
                <w:kern w:val="0"/>
                <w:sz w:val="22"/>
                <w:szCs w:val="22"/>
                <w:u w:val="single"/>
              </w:rPr>
            </w:pPr>
            <w:r>
              <w:rPr>
                <w:rFonts w:hint="eastAsia" w:ascii="宋体" w:hAnsi="宋体" w:eastAsia="宋体" w:cs="Times New Roman"/>
                <w:kern w:val="0"/>
                <w:sz w:val="22"/>
                <w:szCs w:val="22"/>
              </w:rPr>
              <w:t>天数:</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日历天</w:t>
            </w:r>
          </w:p>
        </w:tc>
        <w:tc>
          <w:tcPr>
            <w:tcW w:w="905" w:type="dxa"/>
          </w:tcPr>
          <w:p w14:paraId="0CC34F0E">
            <w:pPr>
              <w:keepNext w:val="0"/>
              <w:keepLines w:val="0"/>
              <w:suppressLineNumbers w:val="0"/>
              <w:spacing w:before="0" w:beforeAutospacing="0" w:after="0" w:afterAutospacing="0" w:line="240" w:lineRule="auto"/>
              <w:ind w:left="376" w:leftChars="171" w:right="0" w:firstLine="420"/>
              <w:jc w:val="both"/>
              <w:rPr>
                <w:rFonts w:hint="eastAsia" w:ascii="宋体" w:hAnsi="宋体" w:eastAsia="宋体" w:cs="Times New Roman"/>
                <w:kern w:val="0"/>
                <w:sz w:val="22"/>
                <w:szCs w:val="22"/>
              </w:rPr>
            </w:pPr>
          </w:p>
        </w:tc>
      </w:tr>
      <w:tr w14:paraId="78D5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35" w:type="dxa"/>
            <w:vAlign w:val="center"/>
          </w:tcPr>
          <w:p w14:paraId="09139973">
            <w:pPr>
              <w:keepNext w:val="0"/>
              <w:keepLines w:val="0"/>
              <w:suppressLineNumbers w:val="0"/>
              <w:spacing w:before="0" w:beforeAutospacing="0" w:after="0" w:afterAutospacing="0" w:line="240" w:lineRule="auto"/>
              <w:ind w:left="0" w:right="0" w:firstLine="110" w:firstLineChars="5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3</w:t>
            </w:r>
          </w:p>
        </w:tc>
        <w:tc>
          <w:tcPr>
            <w:tcW w:w="4020" w:type="dxa"/>
            <w:vAlign w:val="center"/>
          </w:tcPr>
          <w:p w14:paraId="177BB45B">
            <w:pPr>
              <w:keepNext w:val="0"/>
              <w:keepLines w:val="0"/>
              <w:suppressLineNumbers w:val="0"/>
              <w:spacing w:before="0" w:beforeAutospacing="0" w:after="0" w:afterAutospacing="0" w:line="24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质量要求</w:t>
            </w:r>
          </w:p>
        </w:tc>
        <w:tc>
          <w:tcPr>
            <w:tcW w:w="4210" w:type="dxa"/>
            <w:vAlign w:val="center"/>
          </w:tcPr>
          <w:p w14:paraId="0F895664">
            <w:pPr>
              <w:keepNext w:val="0"/>
              <w:keepLines w:val="0"/>
              <w:suppressLineNumbers w:val="0"/>
              <w:spacing w:before="0" w:beforeAutospacing="0" w:after="0" w:afterAutospacing="0" w:line="240" w:lineRule="auto"/>
              <w:ind w:left="0" w:leftChars="0" w:right="0"/>
              <w:jc w:val="both"/>
              <w:rPr>
                <w:rFonts w:hint="eastAsia" w:ascii="宋体" w:hAnsi="宋体" w:eastAsia="宋体" w:cs="Times New Roman"/>
                <w:kern w:val="0"/>
                <w:sz w:val="22"/>
                <w:szCs w:val="22"/>
                <w:u w:val="single"/>
              </w:rPr>
            </w:pPr>
            <w:r>
              <w:rPr>
                <w:rFonts w:hint="eastAsia" w:ascii="宋体" w:hAnsi="宋体" w:eastAsia="宋体" w:cs="Times New Roman"/>
                <w:kern w:val="0"/>
                <w:sz w:val="22"/>
                <w:szCs w:val="22"/>
                <w:u w:val="single"/>
              </w:rPr>
              <w:t xml:space="preserve">          </w:t>
            </w:r>
          </w:p>
        </w:tc>
        <w:tc>
          <w:tcPr>
            <w:tcW w:w="905" w:type="dxa"/>
          </w:tcPr>
          <w:p w14:paraId="0E791714">
            <w:pPr>
              <w:keepNext w:val="0"/>
              <w:keepLines w:val="0"/>
              <w:suppressLineNumbers w:val="0"/>
              <w:spacing w:before="0" w:beforeAutospacing="0" w:after="0" w:afterAutospacing="0" w:line="240" w:lineRule="auto"/>
              <w:ind w:left="376" w:leftChars="171" w:right="0" w:firstLine="420"/>
              <w:jc w:val="both"/>
              <w:rPr>
                <w:rFonts w:hint="eastAsia" w:ascii="宋体" w:hAnsi="宋体" w:eastAsia="宋体" w:cs="Times New Roman"/>
                <w:kern w:val="0"/>
                <w:sz w:val="22"/>
                <w:szCs w:val="22"/>
              </w:rPr>
            </w:pPr>
          </w:p>
        </w:tc>
      </w:tr>
      <w:tr w14:paraId="3E4D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35" w:type="dxa"/>
            <w:vAlign w:val="center"/>
          </w:tcPr>
          <w:p w14:paraId="68BF82C5">
            <w:pPr>
              <w:keepNext w:val="0"/>
              <w:keepLines w:val="0"/>
              <w:suppressLineNumbers w:val="0"/>
              <w:spacing w:before="0" w:beforeAutospacing="0" w:after="0" w:afterAutospacing="0" w:line="240" w:lineRule="auto"/>
              <w:ind w:left="0" w:right="0" w:firstLine="110" w:firstLineChars="5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4</w:t>
            </w:r>
          </w:p>
        </w:tc>
        <w:tc>
          <w:tcPr>
            <w:tcW w:w="4020" w:type="dxa"/>
            <w:vAlign w:val="center"/>
          </w:tcPr>
          <w:p w14:paraId="6BA330FE">
            <w:pPr>
              <w:keepNext w:val="0"/>
              <w:keepLines w:val="0"/>
              <w:suppressLineNumbers w:val="0"/>
              <w:autoSpaceDE w:val="0"/>
              <w:autoSpaceDN w:val="0"/>
              <w:adjustRightInd w:val="0"/>
              <w:spacing w:before="0" w:beforeAutospacing="0" w:after="0" w:afterAutospacing="0" w:line="240" w:lineRule="auto"/>
              <w:ind w:left="0" w:right="-20"/>
              <w:jc w:val="center"/>
              <w:rPr>
                <w:rFonts w:hint="eastAsia" w:ascii="宋体" w:hAnsi="宋体" w:eastAsia="宋体" w:cs="Times New Roman"/>
                <w:kern w:val="0"/>
                <w:sz w:val="22"/>
                <w:szCs w:val="22"/>
              </w:rPr>
            </w:pPr>
            <w:r>
              <w:rPr>
                <w:rFonts w:hint="eastAsia" w:ascii="宋体" w:hAnsi="宋体" w:eastAsia="宋体" w:cs="MingLiU"/>
                <w:kern w:val="0"/>
                <w:sz w:val="22"/>
                <w:szCs w:val="22"/>
              </w:rPr>
              <w:t>是否接受招标文件中的合同条款</w:t>
            </w:r>
          </w:p>
        </w:tc>
        <w:tc>
          <w:tcPr>
            <w:tcW w:w="4210" w:type="dxa"/>
            <w:vAlign w:val="center"/>
          </w:tcPr>
          <w:p w14:paraId="7CDFF119">
            <w:pPr>
              <w:keepNext w:val="0"/>
              <w:keepLines w:val="0"/>
              <w:suppressLineNumbers w:val="0"/>
              <w:autoSpaceDE w:val="0"/>
              <w:autoSpaceDN w:val="0"/>
              <w:adjustRightInd w:val="0"/>
              <w:spacing w:before="0" w:beforeAutospacing="0" w:after="0" w:afterAutospacing="0" w:line="240" w:lineRule="auto"/>
              <w:ind w:left="0" w:leftChars="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是</w:t>
            </w:r>
          </w:p>
        </w:tc>
        <w:tc>
          <w:tcPr>
            <w:tcW w:w="905" w:type="dxa"/>
          </w:tcPr>
          <w:p w14:paraId="0EA5CBD1">
            <w:pPr>
              <w:keepNext w:val="0"/>
              <w:keepLines w:val="0"/>
              <w:suppressLineNumbers w:val="0"/>
              <w:spacing w:before="0" w:beforeAutospacing="0" w:after="0" w:afterAutospacing="0" w:line="240" w:lineRule="auto"/>
              <w:ind w:left="376" w:leftChars="171" w:right="0" w:firstLine="420"/>
              <w:jc w:val="both"/>
              <w:rPr>
                <w:rFonts w:hint="eastAsia" w:ascii="宋体" w:hAnsi="宋体" w:eastAsia="宋体" w:cs="Times New Roman"/>
                <w:kern w:val="0"/>
                <w:sz w:val="22"/>
                <w:szCs w:val="22"/>
              </w:rPr>
            </w:pPr>
          </w:p>
        </w:tc>
      </w:tr>
      <w:tr w14:paraId="2E58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35" w:type="dxa"/>
            <w:vAlign w:val="center"/>
          </w:tcPr>
          <w:p w14:paraId="2428501E">
            <w:pPr>
              <w:keepNext w:val="0"/>
              <w:keepLines w:val="0"/>
              <w:suppressLineNumbers w:val="0"/>
              <w:spacing w:before="0" w:beforeAutospacing="0" w:after="0" w:afterAutospacing="0" w:line="240" w:lineRule="auto"/>
              <w:ind w:left="0" w:right="0" w:firstLine="110" w:firstLineChars="5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5</w:t>
            </w:r>
          </w:p>
        </w:tc>
        <w:tc>
          <w:tcPr>
            <w:tcW w:w="4020" w:type="dxa"/>
            <w:vAlign w:val="center"/>
          </w:tcPr>
          <w:p w14:paraId="750BA84F">
            <w:pPr>
              <w:keepNext w:val="0"/>
              <w:keepLines w:val="0"/>
              <w:suppressLineNumbers w:val="0"/>
              <w:autoSpaceDE w:val="0"/>
              <w:autoSpaceDN w:val="0"/>
              <w:adjustRightInd w:val="0"/>
              <w:spacing w:before="0" w:beforeAutospacing="0" w:after="0" w:afterAutospacing="0" w:line="240" w:lineRule="auto"/>
              <w:ind w:left="0" w:right="-20"/>
              <w:jc w:val="center"/>
              <w:rPr>
                <w:rFonts w:hint="eastAsia" w:ascii="宋体" w:hAnsi="宋体" w:eastAsia="宋体" w:cs="MingLiU"/>
                <w:kern w:val="0"/>
                <w:sz w:val="22"/>
                <w:szCs w:val="22"/>
              </w:rPr>
            </w:pPr>
            <w:r>
              <w:rPr>
                <w:rFonts w:hint="eastAsia" w:ascii="宋体" w:hAnsi="宋体" w:eastAsia="宋体" w:cs="MingLiU"/>
                <w:kern w:val="0"/>
                <w:sz w:val="22"/>
                <w:szCs w:val="22"/>
              </w:rPr>
              <w:t>投标有效期</w:t>
            </w:r>
          </w:p>
        </w:tc>
        <w:tc>
          <w:tcPr>
            <w:tcW w:w="4210" w:type="dxa"/>
            <w:vAlign w:val="center"/>
          </w:tcPr>
          <w:p w14:paraId="3071B20C">
            <w:pPr>
              <w:keepNext w:val="0"/>
              <w:keepLines w:val="0"/>
              <w:suppressLineNumbers w:val="0"/>
              <w:autoSpaceDE w:val="0"/>
              <w:autoSpaceDN w:val="0"/>
              <w:adjustRightInd w:val="0"/>
              <w:spacing w:before="0" w:beforeAutospacing="0" w:after="0" w:afterAutospacing="0" w:line="240" w:lineRule="auto"/>
              <w:ind w:left="0" w:leftChars="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天数:</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日历天（从投标截止之日算起）</w:t>
            </w:r>
          </w:p>
        </w:tc>
        <w:tc>
          <w:tcPr>
            <w:tcW w:w="905" w:type="dxa"/>
          </w:tcPr>
          <w:p w14:paraId="107A403A">
            <w:pPr>
              <w:keepNext w:val="0"/>
              <w:keepLines w:val="0"/>
              <w:suppressLineNumbers w:val="0"/>
              <w:spacing w:before="0" w:beforeAutospacing="0" w:after="0" w:afterAutospacing="0" w:line="240" w:lineRule="auto"/>
              <w:ind w:left="376" w:leftChars="171" w:right="0" w:firstLine="420"/>
              <w:jc w:val="both"/>
              <w:rPr>
                <w:rFonts w:hint="eastAsia" w:ascii="宋体" w:hAnsi="宋体" w:eastAsia="宋体" w:cs="Times New Roman"/>
                <w:kern w:val="0"/>
                <w:sz w:val="22"/>
                <w:szCs w:val="22"/>
              </w:rPr>
            </w:pPr>
          </w:p>
        </w:tc>
      </w:tr>
      <w:tr w14:paraId="3A3C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35" w:type="dxa"/>
            <w:vAlign w:val="center"/>
          </w:tcPr>
          <w:p w14:paraId="603DF615">
            <w:pPr>
              <w:keepNext w:val="0"/>
              <w:keepLines w:val="0"/>
              <w:suppressLineNumbers w:val="0"/>
              <w:spacing w:before="0" w:beforeAutospacing="0" w:after="0" w:afterAutospacing="0" w:line="240" w:lineRule="auto"/>
              <w:ind w:left="0" w:right="0" w:firstLine="110" w:firstLineChars="5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6</w:t>
            </w:r>
          </w:p>
        </w:tc>
        <w:tc>
          <w:tcPr>
            <w:tcW w:w="4020" w:type="dxa"/>
            <w:vAlign w:val="center"/>
          </w:tcPr>
          <w:p w14:paraId="205CCEF2">
            <w:pPr>
              <w:keepNext w:val="0"/>
              <w:keepLines w:val="0"/>
              <w:suppressLineNumbers w:val="0"/>
              <w:autoSpaceDE w:val="0"/>
              <w:autoSpaceDN w:val="0"/>
              <w:adjustRightInd w:val="0"/>
              <w:spacing w:before="0" w:beforeAutospacing="0" w:after="0" w:afterAutospacing="0" w:line="240" w:lineRule="auto"/>
              <w:ind w:left="0" w:right="-20"/>
              <w:jc w:val="center"/>
              <w:rPr>
                <w:rFonts w:hint="eastAsia" w:ascii="宋体" w:hAnsi="宋体" w:eastAsia="宋体" w:cs="MingLiU"/>
                <w:kern w:val="0"/>
                <w:sz w:val="22"/>
                <w:szCs w:val="22"/>
              </w:rPr>
            </w:pPr>
            <w:r>
              <w:rPr>
                <w:rFonts w:hint="eastAsia" w:ascii="宋体" w:hAnsi="宋体" w:eastAsia="宋体" w:cs="MingLiU"/>
                <w:kern w:val="0"/>
                <w:sz w:val="22"/>
                <w:szCs w:val="22"/>
              </w:rPr>
              <w:t>是否响应招标文件中的技术标准及要求</w:t>
            </w:r>
          </w:p>
        </w:tc>
        <w:tc>
          <w:tcPr>
            <w:tcW w:w="4210" w:type="dxa"/>
            <w:vAlign w:val="center"/>
          </w:tcPr>
          <w:p w14:paraId="6360F7EF">
            <w:pPr>
              <w:keepNext w:val="0"/>
              <w:keepLines w:val="0"/>
              <w:suppressLineNumbers w:val="0"/>
              <w:autoSpaceDE w:val="0"/>
              <w:autoSpaceDN w:val="0"/>
              <w:adjustRightInd w:val="0"/>
              <w:spacing w:before="0" w:beforeAutospacing="0" w:after="0" w:afterAutospacing="0" w:line="240" w:lineRule="auto"/>
              <w:ind w:left="0" w:leftChars="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是</w:t>
            </w:r>
          </w:p>
        </w:tc>
        <w:tc>
          <w:tcPr>
            <w:tcW w:w="905" w:type="dxa"/>
          </w:tcPr>
          <w:p w14:paraId="66481198">
            <w:pPr>
              <w:keepNext w:val="0"/>
              <w:keepLines w:val="0"/>
              <w:suppressLineNumbers w:val="0"/>
              <w:spacing w:before="0" w:beforeAutospacing="0" w:after="0" w:afterAutospacing="0" w:line="240" w:lineRule="auto"/>
              <w:ind w:left="376" w:leftChars="171" w:right="0" w:firstLine="420"/>
              <w:jc w:val="both"/>
              <w:rPr>
                <w:rFonts w:hint="eastAsia" w:ascii="宋体" w:hAnsi="宋体" w:eastAsia="宋体" w:cs="Times New Roman"/>
                <w:kern w:val="0"/>
                <w:sz w:val="22"/>
                <w:szCs w:val="22"/>
              </w:rPr>
            </w:pPr>
          </w:p>
        </w:tc>
      </w:tr>
      <w:tr w14:paraId="3289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35" w:type="dxa"/>
            <w:vAlign w:val="center"/>
          </w:tcPr>
          <w:p w14:paraId="0F89B1C8">
            <w:pPr>
              <w:keepNext w:val="0"/>
              <w:keepLines w:val="0"/>
              <w:suppressLineNumbers w:val="0"/>
              <w:spacing w:before="0" w:beforeAutospacing="0" w:after="0" w:afterAutospacing="0" w:line="240" w:lineRule="auto"/>
              <w:ind w:left="0" w:right="0" w:firstLine="110" w:firstLineChars="5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7</w:t>
            </w:r>
          </w:p>
        </w:tc>
        <w:tc>
          <w:tcPr>
            <w:tcW w:w="4020" w:type="dxa"/>
            <w:vAlign w:val="center"/>
          </w:tcPr>
          <w:p w14:paraId="15E0A7EC">
            <w:pPr>
              <w:keepNext w:val="0"/>
              <w:keepLines w:val="0"/>
              <w:suppressLineNumbers w:val="0"/>
              <w:autoSpaceDE w:val="0"/>
              <w:autoSpaceDN w:val="0"/>
              <w:adjustRightInd w:val="0"/>
              <w:spacing w:before="0" w:beforeAutospacing="0" w:after="0" w:afterAutospacing="0" w:line="240" w:lineRule="auto"/>
              <w:ind w:left="0" w:right="-20"/>
              <w:jc w:val="center"/>
              <w:rPr>
                <w:rFonts w:hint="eastAsia" w:ascii="宋体" w:hAnsi="宋体" w:eastAsia="宋体" w:cs="MingLiU"/>
                <w:kern w:val="0"/>
                <w:sz w:val="22"/>
                <w:szCs w:val="22"/>
              </w:rPr>
            </w:pPr>
            <w:r>
              <w:rPr>
                <w:rFonts w:hint="eastAsia" w:ascii="宋体" w:hAnsi="宋体" w:eastAsia="宋体" w:cs="MingLiU"/>
                <w:kern w:val="0"/>
                <w:sz w:val="22"/>
                <w:szCs w:val="22"/>
              </w:rPr>
              <w:t>是否响应招标文件中的招标范围</w:t>
            </w:r>
          </w:p>
        </w:tc>
        <w:tc>
          <w:tcPr>
            <w:tcW w:w="4210" w:type="dxa"/>
            <w:vAlign w:val="center"/>
          </w:tcPr>
          <w:p w14:paraId="12EA4461">
            <w:pPr>
              <w:keepNext w:val="0"/>
              <w:keepLines w:val="0"/>
              <w:suppressLineNumbers w:val="0"/>
              <w:autoSpaceDE w:val="0"/>
              <w:autoSpaceDN w:val="0"/>
              <w:adjustRightInd w:val="0"/>
              <w:spacing w:before="0" w:beforeAutospacing="0" w:after="0" w:afterAutospacing="0" w:line="240" w:lineRule="auto"/>
              <w:ind w:left="0" w:leftChars="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是</w:t>
            </w:r>
          </w:p>
        </w:tc>
        <w:tc>
          <w:tcPr>
            <w:tcW w:w="905" w:type="dxa"/>
          </w:tcPr>
          <w:p w14:paraId="1CF677FC">
            <w:pPr>
              <w:keepNext w:val="0"/>
              <w:keepLines w:val="0"/>
              <w:suppressLineNumbers w:val="0"/>
              <w:spacing w:before="0" w:beforeAutospacing="0" w:after="0" w:afterAutospacing="0" w:line="240" w:lineRule="auto"/>
              <w:ind w:left="376" w:leftChars="171" w:right="0" w:firstLine="420"/>
              <w:jc w:val="both"/>
              <w:rPr>
                <w:rFonts w:hint="eastAsia" w:ascii="宋体" w:hAnsi="宋体" w:eastAsia="宋体" w:cs="Times New Roman"/>
                <w:kern w:val="0"/>
                <w:sz w:val="22"/>
                <w:szCs w:val="22"/>
              </w:rPr>
            </w:pPr>
          </w:p>
        </w:tc>
      </w:tr>
      <w:tr w14:paraId="0FCE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35" w:type="dxa"/>
            <w:vAlign w:val="center"/>
          </w:tcPr>
          <w:p w14:paraId="48D5989F">
            <w:pPr>
              <w:keepNext w:val="0"/>
              <w:keepLines w:val="0"/>
              <w:suppressLineNumbers w:val="0"/>
              <w:spacing w:before="0" w:beforeAutospacing="0" w:after="0" w:afterAutospacing="0" w:line="240" w:lineRule="auto"/>
              <w:ind w:left="-22" w:leftChars="-10" w:right="-108"/>
              <w:jc w:val="center"/>
              <w:rPr>
                <w:rFonts w:hint="eastAsia" w:ascii="宋体" w:hAnsi="宋体" w:eastAsia="宋体" w:cs="Times New Roman"/>
                <w:kern w:val="0"/>
                <w:sz w:val="22"/>
                <w:szCs w:val="22"/>
              </w:rPr>
            </w:pPr>
          </w:p>
        </w:tc>
        <w:tc>
          <w:tcPr>
            <w:tcW w:w="4020" w:type="dxa"/>
            <w:vAlign w:val="center"/>
          </w:tcPr>
          <w:p w14:paraId="4FA69220">
            <w:pPr>
              <w:keepNext w:val="0"/>
              <w:keepLines w:val="0"/>
              <w:suppressLineNumbers w:val="0"/>
              <w:autoSpaceDE w:val="0"/>
              <w:autoSpaceDN w:val="0"/>
              <w:adjustRightInd w:val="0"/>
              <w:spacing w:before="0" w:beforeAutospacing="0" w:after="0" w:afterAutospacing="0" w:line="240" w:lineRule="auto"/>
              <w:ind w:left="0" w:right="-20"/>
              <w:jc w:val="center"/>
              <w:rPr>
                <w:rFonts w:hint="eastAsia" w:ascii="宋体" w:hAnsi="宋体" w:eastAsia="宋体" w:cs="MingLiU"/>
                <w:kern w:val="0"/>
                <w:sz w:val="22"/>
                <w:szCs w:val="22"/>
              </w:rPr>
            </w:pPr>
          </w:p>
        </w:tc>
        <w:tc>
          <w:tcPr>
            <w:tcW w:w="4210" w:type="dxa"/>
            <w:vAlign w:val="center"/>
          </w:tcPr>
          <w:p w14:paraId="7F24BEFC">
            <w:pPr>
              <w:keepNext w:val="0"/>
              <w:keepLines w:val="0"/>
              <w:suppressLineNumbers w:val="0"/>
              <w:autoSpaceDE w:val="0"/>
              <w:autoSpaceDN w:val="0"/>
              <w:adjustRightInd w:val="0"/>
              <w:spacing w:before="0" w:beforeAutospacing="0" w:after="0" w:afterAutospacing="0" w:line="240" w:lineRule="auto"/>
              <w:ind w:left="376" w:leftChars="171" w:right="0"/>
              <w:jc w:val="center"/>
              <w:rPr>
                <w:rFonts w:hint="eastAsia" w:ascii="宋体" w:hAnsi="宋体" w:eastAsia="宋体" w:cs="Times New Roman"/>
                <w:kern w:val="0"/>
                <w:sz w:val="22"/>
                <w:szCs w:val="22"/>
              </w:rPr>
            </w:pPr>
          </w:p>
        </w:tc>
        <w:tc>
          <w:tcPr>
            <w:tcW w:w="905" w:type="dxa"/>
            <w:vAlign w:val="center"/>
          </w:tcPr>
          <w:p w14:paraId="11476CCC">
            <w:pPr>
              <w:keepNext w:val="0"/>
              <w:keepLines w:val="0"/>
              <w:suppressLineNumbers w:val="0"/>
              <w:spacing w:before="0" w:beforeAutospacing="0" w:after="0" w:afterAutospacing="0" w:line="240" w:lineRule="auto"/>
              <w:ind w:left="0" w:right="0"/>
              <w:jc w:val="center"/>
              <w:rPr>
                <w:rFonts w:hint="eastAsia" w:ascii="宋体" w:hAnsi="宋体" w:eastAsia="宋体" w:cs="Times New Roman"/>
                <w:kern w:val="0"/>
                <w:sz w:val="22"/>
                <w:szCs w:val="22"/>
              </w:rPr>
            </w:pPr>
          </w:p>
        </w:tc>
      </w:tr>
    </w:tbl>
    <w:p w14:paraId="01B52AAF">
      <w:pPr>
        <w:tabs>
          <w:tab w:val="left" w:pos="7381"/>
        </w:tabs>
        <w:spacing w:before="78" w:line="240" w:lineRule="exact"/>
        <w:ind w:left="2761" w:firstLine="480" w:firstLineChars="200"/>
        <w:jc w:val="center"/>
        <w:rPr>
          <w:rFonts w:ascii="Times New Roman" w:hAnsi="Times New Roman" w:cs="Times New Roman"/>
          <w:sz w:val="24"/>
          <w:szCs w:val="20"/>
        </w:rPr>
      </w:pPr>
    </w:p>
    <w:p w14:paraId="7384D589">
      <w:pPr>
        <w:tabs>
          <w:tab w:val="left" w:pos="7381"/>
        </w:tabs>
        <w:spacing w:before="78"/>
        <w:ind w:firstLine="2880" w:firstLineChars="1200"/>
        <w:jc w:val="right"/>
        <w:rPr>
          <w:rFonts w:ascii="Times New Roman" w:hAnsi="Times New Roman" w:cs="Times New Roman"/>
          <w:sz w:val="24"/>
          <w:szCs w:val="20"/>
        </w:rPr>
      </w:pPr>
      <w:bookmarkStart w:id="203" w:name="_Hlk45804649"/>
    </w:p>
    <w:p w14:paraId="3754F303">
      <w:pPr>
        <w:tabs>
          <w:tab w:val="left" w:pos="7381"/>
        </w:tabs>
        <w:spacing w:before="78"/>
        <w:ind w:firstLine="2880" w:firstLineChars="1200"/>
        <w:jc w:val="right"/>
        <w:rPr>
          <w:rFonts w:ascii="Times New Roman" w:hAnsi="Times New Roman" w:cs="Times New Roman"/>
          <w:sz w:val="24"/>
          <w:szCs w:val="20"/>
        </w:rPr>
      </w:pPr>
    </w:p>
    <w:p w14:paraId="6DE8D466">
      <w:pPr>
        <w:tabs>
          <w:tab w:val="left" w:pos="6541"/>
        </w:tabs>
        <w:spacing w:before="173"/>
        <w:ind w:left="2761" w:firstLine="1200" w:firstLineChars="500"/>
        <w:jc w:val="right"/>
        <w:rPr>
          <w:rFonts w:ascii="Times New Roman" w:hAnsi="Times New Roman" w:cs="Times New Roman"/>
          <w:sz w:val="24"/>
          <w:szCs w:val="20"/>
        </w:rPr>
      </w:pPr>
    </w:p>
    <w:bookmarkEnd w:id="203"/>
    <w:p w14:paraId="11F30248">
      <w:r>
        <w:rPr>
          <w:rFonts w:hint="eastAsia"/>
        </w:rPr>
        <w:br w:type="page"/>
      </w:r>
    </w:p>
    <w:p w14:paraId="649A5A51">
      <w:pPr>
        <w:pStyle w:val="4"/>
        <w:numPr>
          <w:ilvl w:val="0"/>
          <w:numId w:val="5"/>
        </w:numPr>
        <w:jc w:val="center"/>
      </w:pPr>
      <w:r>
        <w:rPr>
          <w:rFonts w:hint="eastAsia"/>
        </w:rPr>
        <w:t>法定代表人身份证明</w:t>
      </w:r>
    </w:p>
    <w:p w14:paraId="0A99DFDB">
      <w:pPr>
        <w:rPr>
          <w:rFonts w:asciiTheme="minorEastAsia" w:hAnsiTheme="minorEastAsia" w:eastAsiaTheme="minorEastAsia" w:cstheme="minorEastAsia"/>
          <w:sz w:val="24"/>
        </w:rPr>
      </w:pPr>
    </w:p>
    <w:p w14:paraId="6B149008">
      <w:pPr>
        <w:spacing w:line="360" w:lineRule="auto"/>
        <w:ind w:left="376" w:leftChars="171" w:firstLine="440" w:firstLineChars="200"/>
        <w:jc w:val="both"/>
        <w:rPr>
          <w:rFonts w:hint="eastAsia" w:ascii="宋体" w:hAnsi="宋体" w:eastAsia="宋体" w:cs="Times New Roman"/>
          <w:kern w:val="0"/>
          <w:sz w:val="22"/>
          <w:szCs w:val="22"/>
        </w:rPr>
      </w:pPr>
    </w:p>
    <w:p w14:paraId="7B159718">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单位名称：_______________________________</w:t>
      </w:r>
    </w:p>
    <w:p w14:paraId="353BF575">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单位性质：_______________________________</w:t>
      </w:r>
    </w:p>
    <w:p w14:paraId="55ABBDC4">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地址：_______________________________</w:t>
      </w:r>
    </w:p>
    <w:p w14:paraId="00C0C552">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成立时间：</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年</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月</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日</w:t>
      </w:r>
    </w:p>
    <w:p w14:paraId="39C88E55">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经营期限：_______________________________</w:t>
      </w:r>
    </w:p>
    <w:p w14:paraId="50A7DFFB">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姓名：</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系</w:t>
      </w:r>
      <w:r>
        <w:rPr>
          <w:rFonts w:hint="eastAsia" w:ascii="宋体" w:hAnsi="宋体" w:eastAsia="宋体" w:cs="Times New Roman"/>
          <w:kern w:val="0"/>
          <w:sz w:val="22"/>
          <w:szCs w:val="22"/>
          <w:u w:val="single"/>
        </w:rPr>
        <w:t xml:space="preserve">          （单位名称）</w:t>
      </w:r>
      <w:r>
        <w:rPr>
          <w:rFonts w:hint="eastAsia" w:ascii="宋体" w:hAnsi="宋体" w:eastAsia="宋体" w:cs="Times New Roman"/>
          <w:kern w:val="0"/>
          <w:sz w:val="22"/>
          <w:szCs w:val="22"/>
        </w:rPr>
        <w:t>的法定代表人。（职务：</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电话</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w:t>
      </w:r>
    </w:p>
    <w:p w14:paraId="7CDC074D">
      <w:pPr>
        <w:spacing w:line="360" w:lineRule="auto"/>
        <w:ind w:left="376" w:leftChars="171" w:firstLine="440" w:firstLineChars="200"/>
        <w:jc w:val="both"/>
        <w:rPr>
          <w:rFonts w:hint="eastAsia" w:ascii="宋体" w:hAnsi="宋体" w:eastAsia="宋体" w:cs="Times New Roman"/>
          <w:kern w:val="0"/>
          <w:sz w:val="22"/>
          <w:szCs w:val="22"/>
        </w:rPr>
      </w:pPr>
    </w:p>
    <w:p w14:paraId="35BADD94">
      <w:pPr>
        <w:spacing w:line="360" w:lineRule="auto"/>
        <w:ind w:left="376" w:leftChars="171" w:firstLine="880" w:firstLineChars="4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特此证明。</w:t>
      </w:r>
    </w:p>
    <w:p w14:paraId="57D60782">
      <w:pPr>
        <w:spacing w:line="360" w:lineRule="auto"/>
        <w:ind w:left="376" w:leftChars="171" w:firstLine="440" w:firstLineChars="200"/>
        <w:jc w:val="both"/>
        <w:rPr>
          <w:rFonts w:hint="eastAsia" w:ascii="宋体" w:hAnsi="宋体" w:eastAsia="宋体" w:cs="Times New Roman"/>
          <w:kern w:val="0"/>
          <w:sz w:val="22"/>
          <w:szCs w:val="22"/>
        </w:rPr>
      </w:pPr>
    </w:p>
    <w:p w14:paraId="7C5F3484">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附：法定代表人身份证扫描件</w:t>
      </w:r>
    </w:p>
    <w:p w14:paraId="764E1FF9">
      <w:pPr>
        <w:spacing w:line="360" w:lineRule="auto"/>
        <w:ind w:left="376" w:leftChars="171" w:firstLine="440" w:firstLineChars="200"/>
        <w:jc w:val="both"/>
        <w:rPr>
          <w:rFonts w:hint="eastAsia" w:ascii="宋体" w:hAnsi="宋体" w:eastAsia="宋体" w:cs="Times New Roman"/>
          <w:kern w:val="0"/>
          <w:sz w:val="22"/>
          <w:szCs w:val="22"/>
        </w:rPr>
      </w:pPr>
    </w:p>
    <w:p w14:paraId="7D36C6C5">
      <w:pPr>
        <w:spacing w:line="360" w:lineRule="auto"/>
        <w:ind w:left="376" w:leftChars="171" w:firstLine="4400" w:firstLineChars="2000"/>
        <w:jc w:val="right"/>
        <w:rPr>
          <w:rFonts w:hint="eastAsia" w:ascii="宋体" w:hAnsi="宋体" w:eastAsia="宋体" w:cs="Times New Roman"/>
          <w:kern w:val="0"/>
          <w:sz w:val="22"/>
          <w:szCs w:val="22"/>
        </w:rPr>
      </w:pPr>
      <w:r>
        <w:rPr>
          <w:rFonts w:hint="eastAsia" w:ascii="宋体" w:hAnsi="宋体" w:eastAsia="宋体" w:cs="Times New Roman"/>
          <w:kern w:val="0"/>
          <w:sz w:val="22"/>
          <w:szCs w:val="22"/>
        </w:rPr>
        <w:t>单位名称：</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（盖单位章）</w:t>
      </w:r>
    </w:p>
    <w:p w14:paraId="573A7536">
      <w:pPr>
        <w:spacing w:line="360" w:lineRule="auto"/>
        <w:ind w:left="376" w:leftChars="171" w:firstLine="4730" w:firstLineChars="2150"/>
        <w:jc w:val="both"/>
        <w:rPr>
          <w:rFonts w:hint="eastAsia" w:ascii="宋体" w:hAnsi="宋体" w:eastAsia="宋体" w:cs="Times New Roman"/>
          <w:kern w:val="0"/>
          <w:sz w:val="22"/>
          <w:szCs w:val="22"/>
          <w:u w:val="single"/>
        </w:rPr>
      </w:pPr>
    </w:p>
    <w:p w14:paraId="28DF9467">
      <w:pPr>
        <w:spacing w:line="360" w:lineRule="auto"/>
        <w:ind w:left="376" w:leftChars="171" w:firstLine="4730" w:firstLineChars="2150"/>
        <w:jc w:val="right"/>
        <w:rPr>
          <w:rFonts w:hint="eastAsia" w:ascii="宋体" w:hAnsi="宋体" w:eastAsia="宋体" w:cs="Times New Roman"/>
          <w:kern w:val="0"/>
          <w:sz w:val="22"/>
          <w:szCs w:val="22"/>
        </w:rPr>
      </w:pPr>
      <w:r>
        <w:rPr>
          <w:rFonts w:hint="eastAsia" w:ascii="宋体" w:hAnsi="宋体" w:eastAsia="宋体" w:cs="Times New Roman"/>
          <w:kern w:val="0"/>
          <w:sz w:val="22"/>
          <w:szCs w:val="22"/>
        </w:rPr>
        <w:t>日期:</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年</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月</w:t>
      </w:r>
      <w:r>
        <w:rPr>
          <w:rFonts w:hint="eastAsia" w:ascii="宋体" w:hAnsi="宋体" w:eastAsia="宋体" w:cs="Times New Roman"/>
          <w:kern w:val="0"/>
          <w:sz w:val="22"/>
          <w:szCs w:val="22"/>
          <w:u w:val="single"/>
        </w:rPr>
        <w:t xml:space="preserve">    </w:t>
      </w:r>
      <w:r>
        <w:rPr>
          <w:rFonts w:hint="eastAsia" w:ascii="宋体" w:hAnsi="宋体" w:eastAsia="宋体" w:cs="Times New Roman"/>
          <w:kern w:val="0"/>
          <w:sz w:val="22"/>
          <w:szCs w:val="22"/>
        </w:rPr>
        <w:t>日</w:t>
      </w:r>
    </w:p>
    <w:p w14:paraId="5F0E125C">
      <w:pPr>
        <w:spacing w:line="360" w:lineRule="auto"/>
        <w:ind w:left="376" w:leftChars="171" w:firstLine="4730" w:firstLineChars="2150"/>
        <w:jc w:val="both"/>
        <w:rPr>
          <w:rFonts w:hint="eastAsia" w:ascii="宋体" w:hAnsi="宋体" w:eastAsia="宋体" w:cs="Times New Roman"/>
          <w:kern w:val="0"/>
          <w:sz w:val="22"/>
          <w:szCs w:val="22"/>
        </w:rPr>
      </w:pPr>
    </w:p>
    <w:p w14:paraId="607DC0E1">
      <w:pPr>
        <w:spacing w:line="360" w:lineRule="auto"/>
        <w:ind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注：若为联合体投标，需提供所有联合体各方的法定代表人身份证明书。</w:t>
      </w:r>
    </w:p>
    <w:p w14:paraId="6341D5BF">
      <w:pPr>
        <w:pStyle w:val="10"/>
      </w:pPr>
    </w:p>
    <w:p w14:paraId="2BAFE890">
      <w:pPr>
        <w:pStyle w:val="10"/>
      </w:pPr>
      <w:r>
        <w:rPr>
          <w:rFonts w:hint="eastAsia"/>
        </w:rPr>
        <w:br w:type="page"/>
      </w:r>
    </w:p>
    <w:p w14:paraId="5A9CF739">
      <w:pPr>
        <w:pStyle w:val="4"/>
        <w:jc w:val="center"/>
      </w:pPr>
      <w:r>
        <w:rPr>
          <w:rFonts w:hint="eastAsia"/>
        </w:rPr>
        <w:t>二、授权委托书</w:t>
      </w:r>
    </w:p>
    <w:p w14:paraId="1EA6108D">
      <w:pPr>
        <w:ind w:firstLine="440" w:firstLineChars="200"/>
        <w:jc w:val="both"/>
        <w:rPr>
          <w:rFonts w:asciiTheme="minorEastAsia" w:hAnsiTheme="minorEastAsia" w:eastAsiaTheme="minorEastAsia" w:cstheme="minorEastAsia"/>
          <w:kern w:val="0"/>
          <w:szCs w:val="22"/>
        </w:rPr>
      </w:pPr>
    </w:p>
    <w:p w14:paraId="47260421">
      <w:pPr>
        <w:ind w:firstLine="440" w:firstLineChars="2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本人</w:t>
      </w:r>
      <w:r>
        <w:rPr>
          <w:rFonts w:hint="eastAsia"/>
          <w:u w:val="single"/>
        </w:rPr>
        <w:t xml:space="preserve">      </w:t>
      </w:r>
      <w:r>
        <w:rPr>
          <w:rFonts w:hint="eastAsia" w:asciiTheme="minorEastAsia" w:hAnsiTheme="minorEastAsia" w:eastAsiaTheme="minorEastAsia" w:cstheme="minorEastAsia"/>
          <w:kern w:val="0"/>
          <w:szCs w:val="22"/>
        </w:rPr>
        <w:t>（姓名）系</w:t>
      </w:r>
      <w:r>
        <w:rPr>
          <w:rFonts w:hint="eastAsia"/>
          <w:u w:val="single"/>
        </w:rPr>
        <w:t xml:space="preserve">      </w:t>
      </w:r>
      <w:r>
        <w:rPr>
          <w:rFonts w:hint="eastAsia" w:asciiTheme="minorEastAsia" w:hAnsiTheme="minorEastAsia" w:eastAsiaTheme="minorEastAsia" w:cstheme="minorEastAsia"/>
          <w:kern w:val="0"/>
          <w:szCs w:val="22"/>
        </w:rPr>
        <w:t>（投标人名称）的法定代表人，现委托本单位人员</w:t>
      </w:r>
      <w:r>
        <w:rPr>
          <w:rFonts w:hint="eastAsia"/>
          <w:u w:val="single"/>
        </w:rPr>
        <w:t xml:space="preserve">      </w:t>
      </w:r>
      <w:r>
        <w:rPr>
          <w:rFonts w:hint="eastAsia" w:asciiTheme="minorEastAsia" w:hAnsiTheme="minorEastAsia" w:eastAsiaTheme="minorEastAsia" w:cstheme="minorEastAsia"/>
          <w:kern w:val="0"/>
          <w:szCs w:val="22"/>
        </w:rPr>
        <w:t>（姓名）为我方代理人。代理人根据授权，以我方名义签署、澄清、说明、补正、递交、撤回、修改</w:t>
      </w:r>
      <w:r>
        <w:rPr>
          <w:rFonts w:hint="eastAsia"/>
          <w:u w:val="single"/>
        </w:rPr>
        <w:t xml:space="preserve">      </w:t>
      </w:r>
      <w:r>
        <w:rPr>
          <w:rFonts w:hint="eastAsia" w:asciiTheme="minorEastAsia" w:hAnsiTheme="minorEastAsia" w:eastAsiaTheme="minorEastAsia" w:cstheme="minorEastAsia"/>
          <w:kern w:val="0"/>
          <w:szCs w:val="22"/>
        </w:rPr>
        <w:t>（项目名称）</w:t>
      </w:r>
      <w:r>
        <w:rPr>
          <w:rFonts w:hint="eastAsia" w:asciiTheme="minorEastAsia" w:hAnsiTheme="minorEastAsia" w:eastAsiaTheme="minorEastAsia" w:cstheme="minorEastAsia"/>
          <w:kern w:val="0"/>
          <w:szCs w:val="22"/>
          <w:lang w:eastAsia="zh-CN"/>
        </w:rPr>
        <w:t>施工</w:t>
      </w:r>
      <w:r>
        <w:rPr>
          <w:rFonts w:hint="eastAsia"/>
          <w:u w:val="single"/>
        </w:rPr>
        <w:t xml:space="preserve">   </w:t>
      </w:r>
      <w:r>
        <w:rPr>
          <w:rFonts w:hint="eastAsia"/>
        </w:rPr>
        <w:t>标段</w:t>
      </w:r>
      <w:r>
        <w:rPr>
          <w:rFonts w:hint="eastAsia" w:asciiTheme="minorEastAsia" w:hAnsiTheme="minorEastAsia" w:eastAsiaTheme="minorEastAsia" w:cstheme="minorEastAsia"/>
          <w:kern w:val="0"/>
          <w:szCs w:val="22"/>
        </w:rPr>
        <w:t>投标文件、签订合同和处理有关事宜</w:t>
      </w:r>
      <w:bookmarkStart w:id="204" w:name="_Hlk45804906"/>
      <w:r>
        <w:rPr>
          <w:rFonts w:hint="eastAsia" w:asciiTheme="minorEastAsia" w:hAnsiTheme="minorEastAsia" w:eastAsiaTheme="minorEastAsia" w:cstheme="minorEastAsia"/>
          <w:kern w:val="0"/>
          <w:szCs w:val="22"/>
        </w:rPr>
        <w:t>（向有关行政监督部门投诉另行授权）</w:t>
      </w:r>
      <w:bookmarkEnd w:id="204"/>
      <w:r>
        <w:rPr>
          <w:rFonts w:hint="eastAsia" w:asciiTheme="minorEastAsia" w:hAnsiTheme="minorEastAsia" w:eastAsiaTheme="minorEastAsia" w:cstheme="minorEastAsia"/>
          <w:kern w:val="0"/>
          <w:szCs w:val="22"/>
        </w:rPr>
        <w:t>，其法律后果由我方承担。</w:t>
      </w:r>
    </w:p>
    <w:p w14:paraId="345343BD">
      <w:pPr>
        <w:ind w:firstLine="440" w:firstLineChars="2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委托期限：自本授权委托书签署之日起至第二章“投标人须知”前附表3.3.1规定的“投标有效期”结束为止。</w:t>
      </w:r>
    </w:p>
    <w:p w14:paraId="45B8E2C0">
      <w:pPr>
        <w:ind w:firstLine="440" w:firstLineChars="2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代理人无转委托权。</w:t>
      </w:r>
    </w:p>
    <w:p w14:paraId="5A01688C">
      <w:pPr>
        <w:ind w:firstLine="440" w:firstLineChars="2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附：（1）法定代表人身份证明</w:t>
      </w:r>
    </w:p>
    <w:p w14:paraId="3F1D266A">
      <w:pPr>
        <w:ind w:firstLine="880" w:firstLineChars="4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（2）委托代理人身份证扫描件、</w:t>
      </w:r>
      <w:r>
        <w:rPr>
          <w:rFonts w:hint="eastAsia" w:ascii="宋体" w:hAnsi="宋体"/>
          <w:sz w:val="21"/>
          <w:szCs w:val="21"/>
        </w:rPr>
        <w:t>□</w:t>
      </w:r>
      <w:r>
        <w:rPr>
          <w:rFonts w:hint="eastAsia" w:asciiTheme="minorEastAsia" w:hAnsiTheme="minorEastAsia" w:eastAsiaTheme="minorEastAsia" w:cstheme="minorEastAsia"/>
          <w:kern w:val="0"/>
          <w:szCs w:val="22"/>
        </w:rPr>
        <w:t>投标人为其缴纳的社保（提供最近6个月连续缴费证明）扫描件</w:t>
      </w:r>
    </w:p>
    <w:p w14:paraId="660941F6">
      <w:pPr>
        <w:ind w:firstLine="4180" w:firstLineChars="19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 xml:space="preserve">  </w:t>
      </w:r>
    </w:p>
    <w:p w14:paraId="7CB72138">
      <w:pPr>
        <w:ind w:left="1320" w:leftChars="600" w:firstLine="4180" w:firstLineChars="19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投标</w:t>
      </w:r>
      <w:r>
        <w:rPr>
          <w:rFonts w:hint="eastAsia" w:asciiTheme="minorEastAsia" w:hAnsiTheme="minorEastAsia" w:eastAsiaTheme="minorEastAsia" w:cstheme="minorEastAsia"/>
          <w:spacing w:val="-3"/>
          <w:kern w:val="0"/>
          <w:szCs w:val="22"/>
        </w:rPr>
        <w:t>人：</w:t>
      </w:r>
      <w:r>
        <w:rPr>
          <w:rFonts w:hint="eastAsia" w:asciiTheme="minorEastAsia" w:hAnsiTheme="minorEastAsia" w:eastAsiaTheme="minorEastAsia" w:cstheme="minorEastAsia"/>
          <w:kern w:val="0"/>
          <w:szCs w:val="22"/>
          <w:u w:val="single"/>
        </w:rPr>
        <w:t xml:space="preserve">                 </w:t>
      </w:r>
      <w:r>
        <w:rPr>
          <w:rFonts w:hint="eastAsia" w:asciiTheme="minorEastAsia" w:hAnsiTheme="minorEastAsia" w:eastAsiaTheme="minorEastAsia" w:cstheme="minorEastAsia"/>
          <w:kern w:val="0"/>
          <w:szCs w:val="22"/>
        </w:rPr>
        <w:t>（盖</w:t>
      </w:r>
      <w:r>
        <w:rPr>
          <w:rFonts w:hint="eastAsia" w:asciiTheme="minorEastAsia" w:hAnsiTheme="minorEastAsia" w:eastAsiaTheme="minorEastAsia" w:cstheme="minorEastAsia"/>
          <w:spacing w:val="-3"/>
          <w:kern w:val="0"/>
          <w:szCs w:val="22"/>
        </w:rPr>
        <w:t>单</w:t>
      </w:r>
      <w:r>
        <w:rPr>
          <w:rFonts w:hint="eastAsia" w:asciiTheme="minorEastAsia" w:hAnsiTheme="minorEastAsia" w:eastAsiaTheme="minorEastAsia" w:cstheme="minorEastAsia"/>
          <w:kern w:val="0"/>
          <w:szCs w:val="22"/>
        </w:rPr>
        <w:t>位</w:t>
      </w:r>
      <w:r>
        <w:rPr>
          <w:rFonts w:hint="eastAsia" w:asciiTheme="minorEastAsia" w:hAnsiTheme="minorEastAsia" w:eastAsiaTheme="minorEastAsia" w:cstheme="minorEastAsia"/>
          <w:spacing w:val="-3"/>
          <w:kern w:val="0"/>
          <w:szCs w:val="22"/>
        </w:rPr>
        <w:t>章</w:t>
      </w:r>
      <w:r>
        <w:rPr>
          <w:rFonts w:hint="eastAsia" w:asciiTheme="minorEastAsia" w:hAnsiTheme="minorEastAsia" w:eastAsiaTheme="minorEastAsia" w:cstheme="minorEastAsia"/>
          <w:kern w:val="0"/>
          <w:szCs w:val="22"/>
        </w:rPr>
        <w:t>）</w:t>
      </w:r>
    </w:p>
    <w:p w14:paraId="13D0EFC9">
      <w:pPr>
        <w:ind w:left="1320" w:leftChars="600" w:firstLine="4180" w:firstLineChars="19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法定</w:t>
      </w:r>
      <w:r>
        <w:rPr>
          <w:rFonts w:hint="eastAsia" w:asciiTheme="minorEastAsia" w:hAnsiTheme="minorEastAsia" w:eastAsiaTheme="minorEastAsia" w:cstheme="minorEastAsia"/>
          <w:spacing w:val="-3"/>
          <w:kern w:val="0"/>
          <w:szCs w:val="22"/>
        </w:rPr>
        <w:t>代</w:t>
      </w:r>
      <w:r>
        <w:rPr>
          <w:rFonts w:hint="eastAsia" w:asciiTheme="minorEastAsia" w:hAnsiTheme="minorEastAsia" w:eastAsiaTheme="minorEastAsia" w:cstheme="minorEastAsia"/>
          <w:kern w:val="0"/>
          <w:szCs w:val="22"/>
        </w:rPr>
        <w:t>表</w:t>
      </w:r>
      <w:r>
        <w:rPr>
          <w:rFonts w:hint="eastAsia" w:asciiTheme="minorEastAsia" w:hAnsiTheme="minorEastAsia" w:eastAsiaTheme="minorEastAsia" w:cstheme="minorEastAsia"/>
          <w:spacing w:val="-3"/>
          <w:kern w:val="0"/>
          <w:szCs w:val="22"/>
        </w:rPr>
        <w:t>人：</w:t>
      </w:r>
      <w:r>
        <w:rPr>
          <w:rFonts w:hint="eastAsia" w:asciiTheme="minorEastAsia" w:hAnsiTheme="minorEastAsia" w:eastAsiaTheme="minorEastAsia" w:cstheme="minorEastAsia"/>
          <w:kern w:val="0"/>
          <w:szCs w:val="22"/>
          <w:u w:val="single"/>
        </w:rPr>
        <w:t xml:space="preserve">                 </w:t>
      </w:r>
      <w:r>
        <w:rPr>
          <w:rFonts w:hint="eastAsia" w:asciiTheme="minorEastAsia" w:hAnsiTheme="minorEastAsia" w:eastAsiaTheme="minorEastAsia" w:cstheme="minorEastAsia"/>
          <w:kern w:val="0"/>
          <w:szCs w:val="22"/>
        </w:rPr>
        <w:t>（</w:t>
      </w:r>
      <w:r>
        <w:rPr>
          <w:rFonts w:hint="eastAsia" w:asciiTheme="minorEastAsia" w:hAnsiTheme="minorEastAsia" w:eastAsiaTheme="minorEastAsia" w:cstheme="minorEastAsia"/>
          <w:kern w:val="0"/>
          <w:szCs w:val="22"/>
          <w:lang w:eastAsia="zh-CN"/>
        </w:rPr>
        <w:t>签章</w:t>
      </w:r>
      <w:r>
        <w:rPr>
          <w:rFonts w:hint="eastAsia" w:asciiTheme="minorEastAsia" w:hAnsiTheme="minorEastAsia" w:eastAsiaTheme="minorEastAsia" w:cstheme="minorEastAsia"/>
          <w:kern w:val="0"/>
          <w:szCs w:val="22"/>
        </w:rPr>
        <w:t>）</w:t>
      </w:r>
    </w:p>
    <w:p w14:paraId="34F7D4FC">
      <w:pPr>
        <w:ind w:left="1320" w:leftChars="600" w:firstLine="4180" w:firstLineChars="19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身份</w:t>
      </w:r>
      <w:r>
        <w:rPr>
          <w:rFonts w:hint="eastAsia" w:asciiTheme="minorEastAsia" w:hAnsiTheme="minorEastAsia" w:eastAsiaTheme="minorEastAsia" w:cstheme="minorEastAsia"/>
          <w:spacing w:val="-3"/>
          <w:kern w:val="0"/>
          <w:szCs w:val="22"/>
        </w:rPr>
        <w:t>证</w:t>
      </w:r>
      <w:r>
        <w:rPr>
          <w:rFonts w:hint="eastAsia" w:asciiTheme="minorEastAsia" w:hAnsiTheme="minorEastAsia" w:eastAsiaTheme="minorEastAsia" w:cstheme="minorEastAsia"/>
          <w:kern w:val="0"/>
          <w:szCs w:val="22"/>
        </w:rPr>
        <w:t>号</w:t>
      </w:r>
      <w:r>
        <w:rPr>
          <w:rFonts w:hint="eastAsia" w:asciiTheme="minorEastAsia" w:hAnsiTheme="minorEastAsia" w:eastAsiaTheme="minorEastAsia" w:cstheme="minorEastAsia"/>
          <w:spacing w:val="-3"/>
          <w:kern w:val="0"/>
          <w:szCs w:val="22"/>
        </w:rPr>
        <w:t>码：</w:t>
      </w:r>
      <w:r>
        <w:rPr>
          <w:rFonts w:hint="eastAsia" w:asciiTheme="minorEastAsia" w:hAnsiTheme="minorEastAsia" w:eastAsiaTheme="minorEastAsia" w:cstheme="minorEastAsia"/>
          <w:kern w:val="0"/>
          <w:szCs w:val="22"/>
          <w:u w:val="single"/>
        </w:rPr>
        <w:t xml:space="preserve">                         </w:t>
      </w:r>
    </w:p>
    <w:p w14:paraId="1B3F3F6B">
      <w:pPr>
        <w:ind w:left="1320" w:leftChars="600" w:firstLine="4180" w:firstLineChars="19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委托</w:t>
      </w:r>
      <w:r>
        <w:rPr>
          <w:rFonts w:hint="eastAsia" w:asciiTheme="minorEastAsia" w:hAnsiTheme="minorEastAsia" w:eastAsiaTheme="minorEastAsia" w:cstheme="minorEastAsia"/>
          <w:spacing w:val="-3"/>
          <w:kern w:val="0"/>
          <w:szCs w:val="22"/>
        </w:rPr>
        <w:t>代</w:t>
      </w:r>
      <w:r>
        <w:rPr>
          <w:rFonts w:hint="eastAsia" w:asciiTheme="minorEastAsia" w:hAnsiTheme="minorEastAsia" w:eastAsiaTheme="minorEastAsia" w:cstheme="minorEastAsia"/>
          <w:kern w:val="0"/>
          <w:szCs w:val="22"/>
        </w:rPr>
        <w:t>理</w:t>
      </w:r>
      <w:r>
        <w:rPr>
          <w:rFonts w:hint="eastAsia" w:asciiTheme="minorEastAsia" w:hAnsiTheme="minorEastAsia" w:eastAsiaTheme="minorEastAsia" w:cstheme="minorEastAsia"/>
          <w:spacing w:val="-3"/>
          <w:kern w:val="0"/>
          <w:szCs w:val="22"/>
        </w:rPr>
        <w:t>人：</w:t>
      </w:r>
      <w:r>
        <w:rPr>
          <w:rFonts w:hint="eastAsia" w:asciiTheme="minorEastAsia" w:hAnsiTheme="minorEastAsia" w:eastAsiaTheme="minorEastAsia" w:cstheme="minorEastAsia"/>
          <w:kern w:val="0"/>
          <w:szCs w:val="22"/>
          <w:u w:val="single"/>
        </w:rPr>
        <w:t xml:space="preserve">                 </w:t>
      </w:r>
      <w:r>
        <w:rPr>
          <w:rFonts w:hint="eastAsia" w:asciiTheme="minorEastAsia" w:hAnsiTheme="minorEastAsia" w:eastAsiaTheme="minorEastAsia" w:cstheme="minorEastAsia"/>
          <w:kern w:val="0"/>
          <w:szCs w:val="22"/>
        </w:rPr>
        <w:t>（</w:t>
      </w:r>
      <w:r>
        <w:rPr>
          <w:rFonts w:hint="eastAsia" w:asciiTheme="minorEastAsia" w:hAnsiTheme="minorEastAsia" w:eastAsiaTheme="minorEastAsia" w:cstheme="minorEastAsia"/>
          <w:kern w:val="0"/>
          <w:szCs w:val="22"/>
          <w:lang w:val="en-US" w:eastAsia="zh-CN"/>
        </w:rPr>
        <w:t>签字</w:t>
      </w:r>
      <w:r>
        <w:rPr>
          <w:rFonts w:hint="eastAsia" w:asciiTheme="minorEastAsia" w:hAnsiTheme="minorEastAsia" w:eastAsiaTheme="minorEastAsia" w:cstheme="minorEastAsia"/>
          <w:kern w:val="0"/>
          <w:szCs w:val="22"/>
        </w:rPr>
        <w:t>）</w:t>
      </w:r>
    </w:p>
    <w:p w14:paraId="2E2B1DDF">
      <w:pPr>
        <w:ind w:left="1320" w:leftChars="600" w:firstLine="4180" w:firstLineChars="19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身份</w:t>
      </w:r>
      <w:r>
        <w:rPr>
          <w:rFonts w:hint="eastAsia" w:asciiTheme="minorEastAsia" w:hAnsiTheme="minorEastAsia" w:eastAsiaTheme="minorEastAsia" w:cstheme="minorEastAsia"/>
          <w:spacing w:val="-3"/>
          <w:kern w:val="0"/>
          <w:szCs w:val="22"/>
        </w:rPr>
        <w:t>证</w:t>
      </w:r>
      <w:r>
        <w:rPr>
          <w:rFonts w:hint="eastAsia" w:asciiTheme="minorEastAsia" w:hAnsiTheme="minorEastAsia" w:eastAsiaTheme="minorEastAsia" w:cstheme="minorEastAsia"/>
          <w:kern w:val="0"/>
          <w:szCs w:val="22"/>
        </w:rPr>
        <w:t>号</w:t>
      </w:r>
      <w:r>
        <w:rPr>
          <w:rFonts w:hint="eastAsia" w:asciiTheme="minorEastAsia" w:hAnsiTheme="minorEastAsia" w:eastAsiaTheme="minorEastAsia" w:cstheme="minorEastAsia"/>
          <w:spacing w:val="-3"/>
          <w:kern w:val="0"/>
          <w:szCs w:val="22"/>
        </w:rPr>
        <w:t>码：</w:t>
      </w:r>
      <w:r>
        <w:rPr>
          <w:rFonts w:hint="eastAsia" w:asciiTheme="minorEastAsia" w:hAnsiTheme="minorEastAsia" w:eastAsiaTheme="minorEastAsia" w:cstheme="minorEastAsia"/>
          <w:kern w:val="0"/>
          <w:szCs w:val="22"/>
          <w:u w:val="single"/>
        </w:rPr>
        <w:t xml:space="preserve">                         </w:t>
      </w:r>
    </w:p>
    <w:p w14:paraId="384D8E12">
      <w:pPr>
        <w:ind w:left="1320" w:leftChars="600" w:firstLine="4180" w:firstLineChars="1900"/>
        <w:jc w:val="both"/>
        <w:rPr>
          <w:rFonts w:asciiTheme="minorEastAsia" w:hAnsiTheme="minorEastAsia" w:eastAsiaTheme="minorEastAsia" w:cstheme="minorEastAsia"/>
          <w:kern w:val="0"/>
          <w:szCs w:val="22"/>
          <w:u w:val="single"/>
        </w:rPr>
      </w:pPr>
    </w:p>
    <w:p w14:paraId="5957E4C7">
      <w:pPr>
        <w:ind w:left="1320" w:leftChars="600" w:firstLine="6160" w:firstLineChars="28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u w:val="single"/>
        </w:rPr>
        <w:t xml:space="preserve">     </w:t>
      </w:r>
      <w:r>
        <w:rPr>
          <w:rFonts w:hint="eastAsia" w:asciiTheme="minorEastAsia" w:hAnsiTheme="minorEastAsia" w:eastAsiaTheme="minorEastAsia" w:cstheme="minorEastAsia"/>
          <w:kern w:val="0"/>
          <w:szCs w:val="22"/>
        </w:rPr>
        <w:t>年</w:t>
      </w:r>
      <w:r>
        <w:rPr>
          <w:rFonts w:hint="eastAsia" w:asciiTheme="minorEastAsia" w:hAnsiTheme="minorEastAsia" w:eastAsiaTheme="minorEastAsia" w:cstheme="minorEastAsia"/>
          <w:kern w:val="0"/>
          <w:szCs w:val="22"/>
          <w:u w:val="single"/>
        </w:rPr>
        <w:t xml:space="preserve">   </w:t>
      </w:r>
      <w:r>
        <w:rPr>
          <w:rFonts w:hint="eastAsia" w:asciiTheme="minorEastAsia" w:hAnsiTheme="minorEastAsia" w:eastAsiaTheme="minorEastAsia" w:cstheme="minorEastAsia"/>
          <w:spacing w:val="-3"/>
          <w:kern w:val="0"/>
          <w:szCs w:val="22"/>
        </w:rPr>
        <w:t>月</w:t>
      </w:r>
      <w:r>
        <w:rPr>
          <w:rFonts w:hint="eastAsia" w:asciiTheme="minorEastAsia" w:hAnsiTheme="minorEastAsia" w:eastAsiaTheme="minorEastAsia" w:cstheme="minorEastAsia"/>
          <w:spacing w:val="-3"/>
          <w:kern w:val="0"/>
          <w:szCs w:val="22"/>
          <w:u w:val="single"/>
        </w:rPr>
        <w:t xml:space="preserve">   </w:t>
      </w:r>
      <w:r>
        <w:rPr>
          <w:rFonts w:hint="eastAsia" w:asciiTheme="minorEastAsia" w:hAnsiTheme="minorEastAsia" w:eastAsiaTheme="minorEastAsia" w:cstheme="minorEastAsia"/>
          <w:kern w:val="0"/>
          <w:szCs w:val="22"/>
        </w:rPr>
        <w:t>日</w:t>
      </w:r>
    </w:p>
    <w:p w14:paraId="27876619">
      <w:pPr>
        <w:spacing w:after="120" w:afterLines="50"/>
        <w:ind w:firstLine="2310" w:firstLineChars="1050"/>
        <w:jc w:val="both"/>
        <w:rPr>
          <w:rFonts w:asciiTheme="minorEastAsia" w:hAnsiTheme="minorEastAsia" w:eastAsiaTheme="minorEastAsia" w:cstheme="minorEastAsia"/>
          <w:kern w:val="0"/>
          <w:szCs w:val="22"/>
        </w:rPr>
      </w:pPr>
    </w:p>
    <w:p w14:paraId="13A2992C">
      <w:pPr>
        <w:ind w:firstLine="440" w:firstLineChars="200"/>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注： （1）法定代表人不亲自投标而委托代理人投标适用。</w:t>
      </w:r>
    </w:p>
    <w:p w14:paraId="52110289">
      <w:pPr>
        <w:ind w:firstLine="952" w:firstLineChars="433"/>
        <w:jc w:val="both"/>
        <w:rPr>
          <w:rFonts w:asciiTheme="minorEastAsia" w:hAnsiTheme="minorEastAsia" w:eastAsiaTheme="minorEastAsia" w:cstheme="minorEastAsia"/>
          <w:kern w:val="0"/>
          <w:szCs w:val="22"/>
        </w:rPr>
      </w:pPr>
      <w:r>
        <w:rPr>
          <w:rFonts w:hint="eastAsia" w:asciiTheme="minorEastAsia" w:hAnsiTheme="minorEastAsia" w:eastAsiaTheme="minorEastAsia" w:cstheme="minorEastAsia"/>
          <w:kern w:val="0"/>
          <w:szCs w:val="22"/>
        </w:rPr>
        <w:t>（2）法定代表人委托他人投标的，委托代理人应是投标人本单位的人员。</w:t>
      </w:r>
    </w:p>
    <w:p w14:paraId="6581E8FB">
      <w:pPr>
        <w:ind w:firstLine="909" w:firstLineChars="433"/>
        <w:rPr>
          <w:rFonts w:asciiTheme="minorEastAsia" w:hAnsiTheme="minorEastAsia" w:eastAsiaTheme="minorEastAsia" w:cstheme="minorEastAsia"/>
          <w:kern w:val="0"/>
          <w:szCs w:val="22"/>
        </w:rPr>
      </w:pPr>
      <w:r>
        <w:rPr>
          <w:rFonts w:hint="eastAsia" w:ascii="宋体" w:hAnsi="宋体"/>
          <w:sz w:val="21"/>
          <w:szCs w:val="21"/>
        </w:rPr>
        <w:t>□</w:t>
      </w:r>
      <w:r>
        <w:rPr>
          <w:rFonts w:hint="eastAsia" w:asciiTheme="minorEastAsia" w:hAnsiTheme="minorEastAsia" w:eastAsiaTheme="minorEastAsia" w:cstheme="minorEastAsia"/>
          <w:kern w:val="0"/>
          <w:szCs w:val="22"/>
        </w:rPr>
        <w:t>（3）最近6个月（企业设立不足6个月，从设立时起，下同）连续缴费的社保是指从购买招标文件时间的上一个月或上上个月起算，往前推6个月的连续、不间断，每个月都缴纳了社保费。</w:t>
      </w:r>
    </w:p>
    <w:p w14:paraId="630F6D2D">
      <w:r>
        <w:br w:type="page"/>
      </w:r>
    </w:p>
    <w:p w14:paraId="2552F253">
      <w:pPr>
        <w:pStyle w:val="4"/>
        <w:numPr>
          <w:ilvl w:val="0"/>
          <w:numId w:val="5"/>
        </w:numPr>
        <w:jc w:val="center"/>
        <w:rPr>
          <w:rFonts w:ascii="Calibri" w:hAnsi="Calibri" w:eastAsia="宋体" w:cs="Times New Roman"/>
          <w:b/>
          <w:bCs w:val="0"/>
          <w:sz w:val="28"/>
          <w:szCs w:val="28"/>
        </w:rPr>
      </w:pPr>
      <w:r>
        <w:rPr>
          <w:rFonts w:hint="eastAsia" w:ascii="Calibri" w:hAnsi="Calibri" w:eastAsia="宋体" w:cs="Times New Roman"/>
          <w:b/>
          <w:bCs/>
          <w:sz w:val="28"/>
          <w:szCs w:val="28"/>
        </w:rPr>
        <w:t>联合体协议书</w:t>
      </w:r>
    </w:p>
    <w:p w14:paraId="620201C6">
      <w:pPr>
        <w:spacing w:line="500" w:lineRule="exact"/>
        <w:ind w:firstLine="442" w:firstLineChars="200"/>
        <w:jc w:val="center"/>
        <w:rPr>
          <w:rFonts w:hint="eastAsia" w:ascii="宋体" w:hAnsi="宋体" w:eastAsia="宋体" w:cs="Times New Roman"/>
          <w:b/>
          <w:kern w:val="0"/>
          <w:sz w:val="22"/>
          <w:szCs w:val="22"/>
        </w:rPr>
      </w:pPr>
    </w:p>
    <w:p w14:paraId="6B2493E6">
      <w:pPr>
        <w:topLinePunct/>
        <w:spacing w:line="44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（所有成员单位名称）自愿组成</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（联合体名称）联合体，共同参加</w:t>
      </w:r>
      <w:r>
        <w:rPr>
          <w:rFonts w:hint="eastAsia" w:ascii="宋体" w:hAnsi="宋体" w:eastAsia="宋体" w:cs="Times New Roman"/>
          <w:color w:val="000000"/>
          <w:kern w:val="0"/>
          <w:sz w:val="22"/>
          <w:szCs w:val="22"/>
          <w:u w:val="single"/>
        </w:rPr>
        <w:t xml:space="preserve">    </w:t>
      </w:r>
      <w:r>
        <w:rPr>
          <w:rFonts w:hint="eastAsia" w:ascii="宋体" w:hAnsi="宋体" w:eastAsia="宋体" w:cs="Times New Roman"/>
          <w:color w:val="000000"/>
          <w:kern w:val="0"/>
          <w:sz w:val="22"/>
          <w:szCs w:val="22"/>
          <w:u w:val="none"/>
        </w:rPr>
        <w:t>（项目名称）</w:t>
      </w:r>
      <w:r>
        <w:rPr>
          <w:rFonts w:hint="eastAsia" w:ascii="宋体" w:hAnsi="宋体" w:eastAsia="宋体" w:cs="Times New Roman"/>
          <w:color w:val="000000"/>
          <w:kern w:val="0"/>
          <w:sz w:val="22"/>
          <w:szCs w:val="22"/>
        </w:rPr>
        <w:t>投标。现就联合体投标事宜订立如下协议。</w:t>
      </w:r>
    </w:p>
    <w:p w14:paraId="5679A990">
      <w:pPr>
        <w:topLinePunct/>
        <w:spacing w:line="44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1、</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（某成员单位名称）为</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（联合体名称）牵头人。</w:t>
      </w:r>
    </w:p>
    <w:p w14:paraId="68C4F492">
      <w:pPr>
        <w:topLinePunct/>
        <w:spacing w:line="44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43418973">
      <w:pPr>
        <w:topLinePunct/>
        <w:spacing w:line="44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3、联合体将严格按照招标文件的各项要求，递交投标文件，履行合同，并对外承担连带责任。</w:t>
      </w:r>
    </w:p>
    <w:p w14:paraId="72422630">
      <w:pPr>
        <w:topLinePunct/>
        <w:spacing w:line="44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4、联合体各成员单位内部的职责分工如下：</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w:t>
      </w:r>
    </w:p>
    <w:p w14:paraId="0A55CC80">
      <w:pPr>
        <w:topLinePunct/>
        <w:spacing w:line="44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 xml:space="preserve">5、本协议书自签署之日起生效，合同履行完毕后自动失效。 </w:t>
      </w:r>
    </w:p>
    <w:p w14:paraId="3434FDE5">
      <w:pPr>
        <w:topLinePunct/>
        <w:spacing w:line="440" w:lineRule="exact"/>
        <w:ind w:firstLine="440" w:firstLineChars="200"/>
        <w:jc w:val="both"/>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6、本协议书一式</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份，联合体成员和招标人各执一份。</w:t>
      </w:r>
    </w:p>
    <w:p w14:paraId="1686A2F1">
      <w:pPr>
        <w:topLinePunct/>
        <w:spacing w:line="440" w:lineRule="exact"/>
        <w:jc w:val="both"/>
        <w:rPr>
          <w:rFonts w:hint="eastAsia" w:ascii="宋体" w:hAnsi="宋体" w:eastAsia="宋体" w:cs="Times New Roman"/>
          <w:color w:val="000000"/>
          <w:kern w:val="0"/>
          <w:sz w:val="22"/>
          <w:szCs w:val="22"/>
        </w:rPr>
      </w:pPr>
    </w:p>
    <w:p w14:paraId="4C513D55">
      <w:pPr>
        <w:topLinePunct/>
        <w:spacing w:line="440" w:lineRule="exact"/>
        <w:jc w:val="right"/>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牵头人名称：</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（盖单位章）</w:t>
      </w:r>
    </w:p>
    <w:p w14:paraId="174E017C">
      <w:pPr>
        <w:wordWrap w:val="0"/>
        <w:topLinePunct/>
        <w:spacing w:line="440" w:lineRule="exact"/>
        <w:ind w:right="-29" w:firstLine="3960" w:firstLineChars="1800"/>
        <w:jc w:val="right"/>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法定代表人：</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w:t>
      </w:r>
      <w:r>
        <w:rPr>
          <w:rFonts w:hint="eastAsia"/>
          <w:sz w:val="22"/>
          <w:szCs w:val="22"/>
          <w:lang w:val="en-US" w:eastAsia="zh-CN"/>
        </w:rPr>
        <w:t>签章</w:t>
      </w:r>
      <w:r>
        <w:rPr>
          <w:rFonts w:hint="eastAsia" w:ascii="宋体" w:hAnsi="宋体" w:eastAsia="宋体" w:cs="Times New Roman"/>
          <w:color w:val="000000"/>
          <w:kern w:val="0"/>
          <w:sz w:val="22"/>
          <w:szCs w:val="22"/>
        </w:rPr>
        <w:t>）</w:t>
      </w:r>
    </w:p>
    <w:p w14:paraId="005A5A0B">
      <w:pPr>
        <w:topLinePunct/>
        <w:spacing w:line="440" w:lineRule="exact"/>
        <w:jc w:val="right"/>
        <w:rPr>
          <w:rFonts w:hint="eastAsia" w:ascii="宋体" w:hAnsi="宋体" w:eastAsia="宋体" w:cs="Times New Roman"/>
          <w:color w:val="000000"/>
          <w:kern w:val="0"/>
          <w:sz w:val="22"/>
          <w:szCs w:val="22"/>
        </w:rPr>
      </w:pPr>
    </w:p>
    <w:p w14:paraId="3E5293C6">
      <w:pPr>
        <w:wordWrap w:val="0"/>
        <w:topLinePunct/>
        <w:spacing w:line="440" w:lineRule="exact"/>
        <w:jc w:val="right"/>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其他成员一名称：</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（盖单位章）</w:t>
      </w:r>
    </w:p>
    <w:p w14:paraId="77988E57">
      <w:pPr>
        <w:wordWrap w:val="0"/>
        <w:topLinePunct/>
        <w:spacing w:line="440" w:lineRule="exact"/>
        <w:ind w:right="-29" w:firstLine="3960" w:firstLineChars="1800"/>
        <w:jc w:val="right"/>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法定代表人：</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w:t>
      </w:r>
      <w:r>
        <w:rPr>
          <w:rFonts w:hint="eastAsia"/>
          <w:sz w:val="22"/>
          <w:szCs w:val="22"/>
          <w:lang w:val="en-US" w:eastAsia="zh-CN"/>
        </w:rPr>
        <w:t>签章</w:t>
      </w:r>
      <w:r>
        <w:rPr>
          <w:rFonts w:hint="eastAsia" w:ascii="宋体" w:hAnsi="宋体" w:eastAsia="宋体" w:cs="Times New Roman"/>
          <w:color w:val="000000"/>
          <w:kern w:val="0"/>
          <w:sz w:val="22"/>
          <w:szCs w:val="22"/>
        </w:rPr>
        <w:t>）</w:t>
      </w:r>
    </w:p>
    <w:p w14:paraId="64F8EFCA">
      <w:pPr>
        <w:tabs>
          <w:tab w:val="left" w:pos="7938"/>
        </w:tabs>
        <w:topLinePunct/>
        <w:spacing w:line="440" w:lineRule="exact"/>
        <w:ind w:right="420" w:firstLine="8019" w:firstLineChars="3645"/>
        <w:jc w:val="both"/>
        <w:rPr>
          <w:rFonts w:hint="eastAsia" w:ascii="宋体" w:hAnsi="宋体" w:eastAsia="宋体" w:cs="Times New Roman"/>
          <w:color w:val="000000"/>
          <w:kern w:val="0"/>
          <w:sz w:val="22"/>
          <w:szCs w:val="22"/>
          <w:u w:val="single"/>
        </w:rPr>
      </w:pPr>
      <w:r>
        <w:rPr>
          <w:rFonts w:hint="eastAsia" w:ascii="宋体" w:hAnsi="宋体" w:cs="Times New Roman"/>
          <w:color w:val="000000"/>
          <w:kern w:val="0"/>
          <w:sz w:val="22"/>
          <w:szCs w:val="22"/>
          <w:u w:val="single"/>
          <w:lang w:eastAsia="zh-CN"/>
        </w:rPr>
        <w:t>……</w:t>
      </w:r>
    </w:p>
    <w:p w14:paraId="31FB3200">
      <w:pPr>
        <w:topLinePunct/>
        <w:spacing w:line="440" w:lineRule="exact"/>
        <w:ind w:right="630"/>
        <w:jc w:val="both"/>
        <w:rPr>
          <w:rFonts w:hint="eastAsia" w:ascii="宋体" w:hAnsi="宋体" w:eastAsia="宋体" w:cs="Times New Roman"/>
          <w:color w:val="000000"/>
          <w:kern w:val="0"/>
          <w:sz w:val="22"/>
          <w:szCs w:val="22"/>
        </w:rPr>
      </w:pPr>
    </w:p>
    <w:p w14:paraId="0F241CC9">
      <w:pPr>
        <w:topLinePunct/>
        <w:spacing w:line="440" w:lineRule="exact"/>
        <w:jc w:val="right"/>
        <w:rPr>
          <w:rFonts w:hint="eastAsia" w:ascii="宋体" w:hAnsi="宋体" w:eastAsia="宋体" w:cs="Times New Roman"/>
          <w:color w:val="000000"/>
          <w:kern w:val="0"/>
          <w:sz w:val="22"/>
          <w:szCs w:val="22"/>
        </w:rPr>
      </w:pPr>
    </w:p>
    <w:p w14:paraId="26CE908D">
      <w:pPr>
        <w:spacing w:line="240" w:lineRule="auto"/>
        <w:ind w:firstLine="3016" w:firstLineChars="1371"/>
        <w:jc w:val="right"/>
        <w:rPr>
          <w:rFonts w:hint="eastAsia" w:ascii="宋体" w:hAnsi="宋体" w:eastAsia="宋体" w:cs="Times New Roman"/>
          <w:color w:val="000000"/>
          <w:kern w:val="0"/>
          <w:sz w:val="22"/>
          <w:szCs w:val="22"/>
        </w:rPr>
      </w:pP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年</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月</w:t>
      </w:r>
      <w:r>
        <w:rPr>
          <w:rFonts w:hint="eastAsia" w:ascii="宋体" w:hAnsi="宋体" w:eastAsia="宋体" w:cs="Times New Roman"/>
          <w:kern w:val="0"/>
          <w:sz w:val="22"/>
          <w:szCs w:val="22"/>
          <w:u w:val="single"/>
        </w:rPr>
        <w:t xml:space="preserve">     </w:t>
      </w:r>
      <w:r>
        <w:rPr>
          <w:rFonts w:hint="eastAsia" w:ascii="宋体" w:hAnsi="宋体" w:eastAsia="宋体" w:cs="Times New Roman"/>
          <w:color w:val="000000"/>
          <w:kern w:val="0"/>
          <w:sz w:val="22"/>
          <w:szCs w:val="22"/>
        </w:rPr>
        <w:t>日</w:t>
      </w:r>
    </w:p>
    <w:p w14:paraId="632FCA84">
      <w:pPr>
        <w:spacing w:line="360" w:lineRule="auto"/>
        <w:ind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w:t>
      </w:r>
    </w:p>
    <w:p w14:paraId="6BFAB794">
      <w:pPr>
        <w:spacing w:line="360" w:lineRule="auto"/>
        <w:ind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1、本协议书为联合体投标时适用，非联合体投标时不需填报。如投标人没有组成联合体参加投标，删除“三、联合体协议书”，以下章节的序号依次递补。如“四、</w:t>
      </w:r>
      <w:r>
        <w:rPr>
          <w:rFonts w:hint="eastAsia" w:ascii="宋体" w:hAnsi="宋体" w:cs="Times New Roman"/>
          <w:kern w:val="0"/>
          <w:sz w:val="22"/>
          <w:szCs w:val="22"/>
          <w:lang w:val="en-US" w:eastAsia="zh-CN"/>
        </w:rPr>
        <w:t>投标保证金</w:t>
      </w:r>
      <w:r>
        <w:rPr>
          <w:rFonts w:hint="eastAsia" w:ascii="宋体" w:hAnsi="宋体" w:eastAsia="宋体" w:cs="Times New Roman"/>
          <w:kern w:val="0"/>
          <w:sz w:val="22"/>
          <w:szCs w:val="22"/>
        </w:rPr>
        <w:t>”变为“三、</w:t>
      </w:r>
      <w:r>
        <w:rPr>
          <w:rFonts w:hint="eastAsia" w:ascii="宋体" w:hAnsi="宋体" w:cs="Times New Roman"/>
          <w:kern w:val="0"/>
          <w:sz w:val="22"/>
          <w:szCs w:val="22"/>
          <w:lang w:val="en-US" w:eastAsia="zh-CN"/>
        </w:rPr>
        <w:t>投标保证金</w:t>
      </w:r>
      <w:r>
        <w:rPr>
          <w:rFonts w:hint="eastAsia" w:ascii="宋体" w:hAnsi="宋体" w:eastAsia="宋体" w:cs="Times New Roman"/>
          <w:kern w:val="0"/>
          <w:sz w:val="22"/>
          <w:szCs w:val="22"/>
        </w:rPr>
        <w:t>”，其他的依次类推。</w:t>
      </w:r>
    </w:p>
    <w:p w14:paraId="5328C7AD">
      <w:pPr>
        <w:pStyle w:val="10"/>
        <w:rPr>
          <w:rFonts w:ascii="宋体" w:hAnsi="宋体" w:eastAsia="宋体" w:cs="Times New Roman"/>
          <w:kern w:val="0"/>
          <w:sz w:val="22"/>
          <w:szCs w:val="22"/>
        </w:rPr>
      </w:pPr>
      <w:r>
        <w:rPr>
          <w:rFonts w:ascii="宋体" w:hAnsi="宋体" w:eastAsia="宋体" w:cs="Times New Roman"/>
          <w:kern w:val="0"/>
          <w:sz w:val="22"/>
          <w:szCs w:val="22"/>
        </w:rPr>
        <w:t>2</w:t>
      </w:r>
      <w:r>
        <w:rPr>
          <w:rFonts w:hint="eastAsia" w:ascii="宋体" w:hAnsi="宋体" w:eastAsia="宋体" w:cs="Times New Roman"/>
          <w:kern w:val="0"/>
          <w:sz w:val="22"/>
          <w:szCs w:val="22"/>
        </w:rPr>
        <w:t>、</w:t>
      </w:r>
      <w:r>
        <w:rPr>
          <w:rFonts w:ascii="宋体" w:hAnsi="宋体" w:eastAsia="宋体" w:cs="Times New Roman"/>
          <w:kern w:val="0"/>
          <w:sz w:val="22"/>
          <w:szCs w:val="22"/>
        </w:rPr>
        <w:t>其中涉及联合体成员数量的格式内容可根据实际情况可以修改。</w:t>
      </w:r>
    </w:p>
    <w:p w14:paraId="67BEAA74">
      <w:pPr>
        <w:pStyle w:val="10"/>
        <w:rPr>
          <w:rFonts w:ascii="宋体" w:hAnsi="宋体" w:eastAsia="宋体" w:cs="Times New Roman"/>
          <w:kern w:val="0"/>
          <w:sz w:val="21"/>
          <w:szCs w:val="21"/>
        </w:rPr>
      </w:pPr>
    </w:p>
    <w:p w14:paraId="07C48CCF">
      <w:r>
        <w:br w:type="page"/>
      </w:r>
    </w:p>
    <w:p w14:paraId="27606B73">
      <w:pPr>
        <w:pStyle w:val="4"/>
        <w:numPr>
          <w:ilvl w:val="0"/>
          <w:numId w:val="5"/>
        </w:numPr>
        <w:jc w:val="center"/>
        <w:rPr>
          <w:rFonts w:ascii="宋体" w:hAnsi="宋体"/>
          <w:sz w:val="28"/>
          <w:szCs w:val="20"/>
        </w:rPr>
      </w:pPr>
      <w:r>
        <w:rPr>
          <w:rFonts w:hint="eastAsia" w:ascii="宋体" w:hAnsi="宋体"/>
          <w:sz w:val="28"/>
          <w:szCs w:val="20"/>
        </w:rPr>
        <w:t>投标保证金</w:t>
      </w:r>
    </w:p>
    <w:p w14:paraId="3906D6A5">
      <w:pPr>
        <w:ind w:right="31" w:rightChars="14" w:hanging="4"/>
        <w:rPr>
          <w:rFonts w:ascii="宋体" w:hAnsi="宋体"/>
          <w:sz w:val="24"/>
        </w:rPr>
      </w:pPr>
    </w:p>
    <w:p w14:paraId="72A8F8CC">
      <w:pPr>
        <w:keepNext w:val="0"/>
        <w:keepLines w:val="0"/>
        <w:pageBreakBefore w:val="0"/>
        <w:widowControl w:val="0"/>
        <w:tabs>
          <w:tab w:val="left" w:pos="680"/>
        </w:tabs>
        <w:kinsoku/>
        <w:wordWrap/>
        <w:overflowPunct/>
        <w:topLinePunct w:val="0"/>
        <w:autoSpaceDE/>
        <w:autoSpaceDN/>
        <w:bidi w:val="0"/>
        <w:adjustRightInd/>
        <w:snapToGrid/>
        <w:spacing w:line="360" w:lineRule="auto"/>
        <w:ind w:right="31" w:rightChars="14" w:hanging="4" w:firstLineChars="0"/>
        <w:textAlignment w:val="auto"/>
        <w:rPr>
          <w:rFonts w:hint="eastAsia" w:ascii="宋体" w:hAnsi="宋体"/>
          <w:szCs w:val="21"/>
        </w:rPr>
      </w:pPr>
      <w:r>
        <w:rPr>
          <w:rFonts w:hint="eastAsia" w:ascii="宋体" w:hAnsi="宋体"/>
          <w:szCs w:val="21"/>
        </w:rPr>
        <w:t>（1）若采用转账方式，投标人应附银行给投标人的转账回单扫描件、人民银行颁发的基本存款账户开户许可证或基本存款账户信息证明材料扫描件。</w:t>
      </w:r>
    </w:p>
    <w:p w14:paraId="41682194">
      <w:pPr>
        <w:keepNext w:val="0"/>
        <w:keepLines w:val="0"/>
        <w:pageBreakBefore w:val="0"/>
        <w:widowControl w:val="0"/>
        <w:tabs>
          <w:tab w:val="left" w:pos="680"/>
        </w:tabs>
        <w:kinsoku/>
        <w:wordWrap/>
        <w:overflowPunct/>
        <w:topLinePunct w:val="0"/>
        <w:autoSpaceDE/>
        <w:autoSpaceDN/>
        <w:bidi w:val="0"/>
        <w:adjustRightInd/>
        <w:snapToGrid/>
        <w:spacing w:line="360" w:lineRule="auto"/>
        <w:ind w:right="31" w:rightChars="14" w:hanging="4" w:firstLineChars="0"/>
        <w:textAlignment w:val="auto"/>
        <w:rPr>
          <w:rFonts w:ascii="宋体" w:hAnsi="宋体"/>
          <w:szCs w:val="21"/>
        </w:rPr>
      </w:pPr>
      <w:r>
        <w:rPr>
          <w:rFonts w:hint="eastAsia" w:ascii="宋体" w:hAnsi="宋体"/>
          <w:szCs w:val="21"/>
        </w:rPr>
        <w:t>（2）若采用电子保函或电子保证保险保单方式，投标文件中无需附相应材料。</w:t>
      </w:r>
    </w:p>
    <w:p w14:paraId="01A5DCC4">
      <w:pPr>
        <w:pStyle w:val="10"/>
        <w:jc w:val="both"/>
        <w:sectPr>
          <w:footerReference r:id="rId11" w:type="default"/>
          <w:pgSz w:w="12240" w:h="15840"/>
          <w:pgMar w:top="1134" w:right="1134" w:bottom="1134" w:left="1134" w:header="0" w:footer="921" w:gutter="0"/>
          <w:pgNumType w:fmt="decimal"/>
          <w:cols w:space="720" w:num="1"/>
        </w:sectPr>
      </w:pPr>
    </w:p>
    <w:p w14:paraId="3520F29C">
      <w:pPr>
        <w:pStyle w:val="4"/>
        <w:numPr>
          <w:ilvl w:val="0"/>
          <w:numId w:val="5"/>
        </w:numPr>
        <w:jc w:val="center"/>
        <w:rPr>
          <w:rFonts w:hint="eastAsia" w:ascii="宋体" w:hAnsi="宋体" w:eastAsia="宋体" w:cs="Times New Roman"/>
          <w:b/>
          <w:bCs/>
          <w:sz w:val="28"/>
          <w:szCs w:val="28"/>
        </w:rPr>
      </w:pPr>
      <w:r>
        <w:rPr>
          <w:rFonts w:hint="eastAsia" w:ascii="宋体" w:hAnsi="宋体" w:eastAsia="宋体" w:cs="Times New Roman"/>
          <w:b/>
          <w:bCs/>
          <w:sz w:val="28"/>
          <w:szCs w:val="28"/>
        </w:rPr>
        <w:t>已标价工程量清单</w:t>
      </w:r>
    </w:p>
    <w:p w14:paraId="201EA952">
      <w:pPr>
        <w:spacing w:line="240" w:lineRule="auto"/>
        <w:jc w:val="both"/>
        <w:rPr>
          <w:rFonts w:hint="eastAsia" w:ascii="宋体" w:hAnsi="宋体" w:eastAsia="宋体" w:cs="Times New Roman"/>
          <w:kern w:val="0"/>
          <w:sz w:val="22"/>
          <w:szCs w:val="24"/>
        </w:rPr>
      </w:pPr>
    </w:p>
    <w:p w14:paraId="2D6F09F5">
      <w:pPr>
        <w:spacing w:line="360" w:lineRule="auto"/>
        <w:ind w:left="376" w:leftChars="171" w:firstLine="440" w:firstLineChars="20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（详见招标人提供的工程量清单要求）</w:t>
      </w:r>
    </w:p>
    <w:p w14:paraId="63BA90D0">
      <w:pPr>
        <w:pStyle w:val="10"/>
        <w:ind w:left="0"/>
        <w:jc w:val="center"/>
      </w:pPr>
    </w:p>
    <w:p w14:paraId="37D92292">
      <w:r>
        <w:rPr>
          <w:rFonts w:hint="eastAsia"/>
        </w:rPr>
        <w:br w:type="page"/>
      </w:r>
    </w:p>
    <w:p w14:paraId="4E8E1004">
      <w:pPr>
        <w:pStyle w:val="4"/>
        <w:numPr>
          <w:ilvl w:val="0"/>
          <w:numId w:val="5"/>
        </w:numPr>
        <w:jc w:val="center"/>
      </w:pPr>
      <w:bookmarkStart w:id="205" w:name="_Toc152042585"/>
      <w:bookmarkStart w:id="206" w:name="_Toc144974864"/>
      <w:bookmarkStart w:id="207" w:name="_Toc296602609"/>
      <w:bookmarkStart w:id="208" w:name="_Toc247085882"/>
      <w:bookmarkStart w:id="209" w:name="_Toc152045796"/>
      <w:bookmarkStart w:id="210" w:name="_Toc179632816"/>
      <w:bookmarkStart w:id="211" w:name="_Toc68800244"/>
      <w:bookmarkStart w:id="212" w:name="_Toc68889790"/>
      <w:bookmarkStart w:id="213" w:name="_Toc246996364"/>
      <w:bookmarkStart w:id="214" w:name="_Toc246997107"/>
      <w:r>
        <w:rPr>
          <w:rFonts w:hint="eastAsia"/>
        </w:rPr>
        <w:t>施工组织设计</w:t>
      </w:r>
      <w:bookmarkEnd w:id="205"/>
      <w:bookmarkEnd w:id="206"/>
      <w:bookmarkEnd w:id="207"/>
      <w:bookmarkEnd w:id="208"/>
      <w:bookmarkEnd w:id="209"/>
      <w:bookmarkEnd w:id="210"/>
      <w:bookmarkEnd w:id="211"/>
      <w:bookmarkEnd w:id="212"/>
      <w:bookmarkEnd w:id="213"/>
      <w:bookmarkEnd w:id="214"/>
    </w:p>
    <w:p w14:paraId="7F256DE2">
      <w:pPr>
        <w:spacing w:line="440" w:lineRule="exact"/>
        <w:rPr>
          <w:rFonts w:ascii="宋体" w:hAnsi="宋体"/>
          <w:szCs w:val="21"/>
        </w:rPr>
      </w:pPr>
    </w:p>
    <w:p w14:paraId="2B1509FB">
      <w:pPr>
        <w:spacing w:line="360" w:lineRule="auto"/>
        <w:ind w:left="376" w:leftChars="171" w:firstLine="440" w:firstLineChars="200"/>
        <w:rPr>
          <w:rFonts w:hint="eastAsia"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12CA05F">
      <w:pPr>
        <w:spacing w:line="360" w:lineRule="auto"/>
        <w:ind w:left="376" w:leftChars="171" w:firstLine="440" w:firstLineChars="200"/>
        <w:rPr>
          <w:rFonts w:hint="eastAsia" w:ascii="宋体" w:hAnsi="宋体"/>
          <w:szCs w:val="21"/>
        </w:rPr>
      </w:pPr>
      <w:r>
        <w:rPr>
          <w:rFonts w:hint="eastAsia" w:ascii="宋体" w:hAnsi="宋体"/>
          <w:szCs w:val="21"/>
        </w:rPr>
        <w:t>2．施工组织设计除采用文字表述外可附下列图表，图表及格式要求附后。</w:t>
      </w:r>
    </w:p>
    <w:p w14:paraId="08115394">
      <w:pPr>
        <w:spacing w:line="360" w:lineRule="auto"/>
        <w:ind w:left="376" w:leftChars="171" w:firstLine="440" w:firstLineChars="200"/>
        <w:rPr>
          <w:rFonts w:hint="eastAsia" w:ascii="宋体" w:hAnsi="宋体"/>
          <w:szCs w:val="21"/>
        </w:rPr>
      </w:pPr>
      <w:r>
        <w:rPr>
          <w:rFonts w:hint="eastAsia" w:ascii="宋体" w:hAnsi="宋体"/>
          <w:szCs w:val="21"/>
        </w:rPr>
        <w:t>附表一  拟投入本标段的主要施工设备表</w:t>
      </w:r>
    </w:p>
    <w:p w14:paraId="1BBFF9EF">
      <w:pPr>
        <w:spacing w:line="360" w:lineRule="auto"/>
        <w:ind w:left="376" w:leftChars="171" w:firstLine="440" w:firstLineChars="200"/>
        <w:rPr>
          <w:rFonts w:hint="eastAsia" w:ascii="宋体" w:hAnsi="宋体"/>
          <w:szCs w:val="21"/>
        </w:rPr>
      </w:pPr>
      <w:r>
        <w:rPr>
          <w:rFonts w:hint="eastAsia" w:ascii="宋体" w:hAnsi="宋体"/>
          <w:szCs w:val="21"/>
        </w:rPr>
        <w:t>附表二  拟配备本标段的试验和检测仪器设备表</w:t>
      </w:r>
    </w:p>
    <w:p w14:paraId="2EE3FCE6">
      <w:pPr>
        <w:spacing w:line="360" w:lineRule="auto"/>
        <w:ind w:left="376" w:leftChars="171" w:firstLine="440" w:firstLineChars="200"/>
        <w:rPr>
          <w:rFonts w:hint="eastAsia" w:ascii="宋体" w:hAnsi="宋体"/>
          <w:szCs w:val="21"/>
        </w:rPr>
      </w:pPr>
      <w:r>
        <w:rPr>
          <w:rFonts w:hint="eastAsia" w:ascii="宋体" w:hAnsi="宋体"/>
          <w:szCs w:val="21"/>
        </w:rPr>
        <w:t>附表三  劳动力计划表</w:t>
      </w:r>
    </w:p>
    <w:p w14:paraId="58379FBC">
      <w:pPr>
        <w:ind w:left="376" w:leftChars="171" w:firstLine="440" w:firstLineChars="200"/>
        <w:rPr>
          <w:rFonts w:hint="eastAsia" w:ascii="宋体" w:hAnsi="宋体"/>
          <w:szCs w:val="21"/>
        </w:rPr>
      </w:pPr>
      <w:r>
        <w:rPr>
          <w:rFonts w:hint="eastAsia" w:ascii="宋体" w:hAnsi="宋体"/>
          <w:szCs w:val="21"/>
        </w:rPr>
        <w:t>附表四  计划开、竣工日期和施工进度网络图</w:t>
      </w:r>
    </w:p>
    <w:p w14:paraId="2D834B1E">
      <w:r>
        <w:rPr>
          <w:rFonts w:hint="eastAsia"/>
        </w:rPr>
        <w:br w:type="page"/>
      </w:r>
    </w:p>
    <w:p w14:paraId="0744AC5E">
      <w:pPr>
        <w:keepNext/>
        <w:keepLines/>
        <w:widowControl w:val="0"/>
        <w:spacing w:line="360" w:lineRule="auto"/>
        <w:ind w:left="376" w:leftChars="171"/>
        <w:jc w:val="both"/>
        <w:outlineLvl w:val="3"/>
        <w:rPr>
          <w:rFonts w:hint="eastAsia" w:ascii="宋体" w:hAnsi="宋体" w:eastAsia="宋体" w:cs="Times New Roman"/>
          <w:b/>
          <w:bCs/>
          <w:sz w:val="21"/>
          <w:szCs w:val="28"/>
          <w:lang w:val="zh-CN" w:eastAsia="zh-CN"/>
        </w:rPr>
      </w:pPr>
      <w:r>
        <w:rPr>
          <w:rFonts w:hint="eastAsia" w:ascii="宋体" w:hAnsi="宋体" w:eastAsia="宋体" w:cs="Times New Roman"/>
          <w:b/>
          <w:bCs/>
          <w:sz w:val="21"/>
          <w:szCs w:val="28"/>
          <w:lang w:val="zh-CN" w:eastAsia="zh-CN"/>
        </w:rPr>
        <w:t>附表一：</w:t>
      </w:r>
    </w:p>
    <w:p w14:paraId="354CE735">
      <w:pPr>
        <w:spacing w:line="360" w:lineRule="auto"/>
        <w:jc w:val="center"/>
        <w:rPr>
          <w:rFonts w:ascii="Calibri" w:hAnsi="Calibri" w:eastAsia="宋体" w:cs="Times New Roman"/>
          <w:b/>
          <w:kern w:val="0"/>
          <w:sz w:val="28"/>
          <w:szCs w:val="28"/>
        </w:rPr>
      </w:pPr>
      <w:r>
        <w:rPr>
          <w:rFonts w:hint="eastAsia" w:ascii="Calibri" w:hAnsi="Calibri" w:eastAsia="宋体" w:cs="Times New Roman"/>
          <w:b/>
          <w:kern w:val="0"/>
          <w:sz w:val="28"/>
          <w:szCs w:val="28"/>
        </w:rPr>
        <w:t>拟投入本标段的主要施工设备表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185"/>
        <w:gridCol w:w="795"/>
        <w:gridCol w:w="816"/>
        <w:gridCol w:w="816"/>
        <w:gridCol w:w="1080"/>
        <w:gridCol w:w="1260"/>
        <w:gridCol w:w="973"/>
        <w:gridCol w:w="1080"/>
        <w:gridCol w:w="1080"/>
      </w:tblGrid>
      <w:tr w14:paraId="6E71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720" w:type="dxa"/>
            <w:vAlign w:val="center"/>
          </w:tcPr>
          <w:p w14:paraId="21A10966">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序号</w:t>
            </w:r>
          </w:p>
        </w:tc>
        <w:tc>
          <w:tcPr>
            <w:tcW w:w="1185" w:type="dxa"/>
            <w:vAlign w:val="center"/>
          </w:tcPr>
          <w:p w14:paraId="2A61AA51">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设备名称</w:t>
            </w:r>
          </w:p>
        </w:tc>
        <w:tc>
          <w:tcPr>
            <w:tcW w:w="795" w:type="dxa"/>
            <w:vAlign w:val="center"/>
          </w:tcPr>
          <w:p w14:paraId="7899DA9E">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型号</w:t>
            </w:r>
          </w:p>
          <w:p w14:paraId="33830E5B">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规格</w:t>
            </w:r>
          </w:p>
        </w:tc>
        <w:tc>
          <w:tcPr>
            <w:tcW w:w="816" w:type="dxa"/>
            <w:vAlign w:val="center"/>
          </w:tcPr>
          <w:p w14:paraId="77689557">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数量</w:t>
            </w:r>
          </w:p>
        </w:tc>
        <w:tc>
          <w:tcPr>
            <w:tcW w:w="816" w:type="dxa"/>
            <w:vAlign w:val="center"/>
          </w:tcPr>
          <w:p w14:paraId="3AA62F2B">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国别</w:t>
            </w:r>
          </w:p>
          <w:p w14:paraId="14D17B65">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产地</w:t>
            </w:r>
          </w:p>
        </w:tc>
        <w:tc>
          <w:tcPr>
            <w:tcW w:w="1080" w:type="dxa"/>
            <w:vAlign w:val="center"/>
          </w:tcPr>
          <w:p w14:paraId="453EB5EC">
            <w:pPr>
              <w:keepNext w:val="0"/>
              <w:keepLines w:val="0"/>
              <w:suppressLineNumbers w:val="0"/>
              <w:spacing w:before="0" w:beforeAutospacing="0" w:after="0" w:afterAutospacing="0" w:line="280" w:lineRule="exact"/>
              <w:ind w:left="0" w:right="0" w:firstLine="210" w:firstLineChars="1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制造</w:t>
            </w:r>
          </w:p>
          <w:p w14:paraId="542C7E13">
            <w:pPr>
              <w:keepNext w:val="0"/>
              <w:keepLines w:val="0"/>
              <w:suppressLineNumbers w:val="0"/>
              <w:spacing w:before="0" w:beforeAutospacing="0" w:after="0" w:afterAutospacing="0" w:line="280" w:lineRule="exact"/>
              <w:ind w:left="0" w:right="0" w:firstLine="210" w:firstLineChars="1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年份</w:t>
            </w:r>
          </w:p>
        </w:tc>
        <w:tc>
          <w:tcPr>
            <w:tcW w:w="1260" w:type="dxa"/>
            <w:vAlign w:val="center"/>
          </w:tcPr>
          <w:p w14:paraId="77FA4A88">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额定功率</w:t>
            </w:r>
          </w:p>
          <w:p w14:paraId="103A365C">
            <w:pPr>
              <w:keepNext w:val="0"/>
              <w:keepLines w:val="0"/>
              <w:suppressLineNumbers w:val="0"/>
              <w:spacing w:before="0" w:beforeAutospacing="0" w:after="0" w:afterAutospacing="0" w:line="280" w:lineRule="exact"/>
              <w:ind w:left="0" w:right="0" w:firstLine="105" w:firstLineChars="5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 KW )</w:t>
            </w:r>
          </w:p>
        </w:tc>
        <w:tc>
          <w:tcPr>
            <w:tcW w:w="973" w:type="dxa"/>
            <w:vAlign w:val="center"/>
          </w:tcPr>
          <w:p w14:paraId="377746BA">
            <w:pPr>
              <w:keepNext w:val="0"/>
              <w:keepLines w:val="0"/>
              <w:suppressLineNumbers w:val="0"/>
              <w:spacing w:before="0" w:beforeAutospacing="0" w:after="0" w:afterAutospacing="0" w:line="280" w:lineRule="exact"/>
              <w:ind w:left="0" w:right="0" w:firstLine="105" w:firstLineChars="5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生产</w:t>
            </w:r>
          </w:p>
          <w:p w14:paraId="39410C69">
            <w:pPr>
              <w:keepNext w:val="0"/>
              <w:keepLines w:val="0"/>
              <w:suppressLineNumbers w:val="0"/>
              <w:spacing w:before="0" w:beforeAutospacing="0" w:after="0" w:afterAutospacing="0" w:line="280" w:lineRule="exact"/>
              <w:ind w:left="0" w:right="0" w:firstLine="105" w:firstLineChars="5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能力</w:t>
            </w:r>
          </w:p>
        </w:tc>
        <w:tc>
          <w:tcPr>
            <w:tcW w:w="1080" w:type="dxa"/>
            <w:vAlign w:val="center"/>
          </w:tcPr>
          <w:p w14:paraId="1BE00A55">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用于施</w:t>
            </w:r>
          </w:p>
          <w:p w14:paraId="32B4CD8F">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工部位</w:t>
            </w:r>
          </w:p>
        </w:tc>
        <w:tc>
          <w:tcPr>
            <w:tcW w:w="1080" w:type="dxa"/>
            <w:vAlign w:val="center"/>
          </w:tcPr>
          <w:p w14:paraId="7D248377">
            <w:pPr>
              <w:keepNext w:val="0"/>
              <w:keepLines w:val="0"/>
              <w:suppressLineNumbers w:val="0"/>
              <w:spacing w:before="0" w:beforeAutospacing="0" w:after="0" w:afterAutospacing="0" w:line="280" w:lineRule="exact"/>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备注</w:t>
            </w:r>
          </w:p>
        </w:tc>
      </w:tr>
      <w:tr w14:paraId="4927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1F69FED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47661CF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795" w:type="dxa"/>
          </w:tcPr>
          <w:p w14:paraId="687C2B8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46BE300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499C236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125063A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5855945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27158A8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C0F985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6F91229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660F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6691E23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68F9339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6E0F5E0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0EF45A4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19CC790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87A71D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0AE99B7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35A084B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59B2CB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28366ED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6074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39B46ED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199BA96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1DF1FFD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1050B14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5B0CEF2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530E94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7BB8E52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4743A27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849EFD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1906246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035A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20" w:type="dxa"/>
          </w:tcPr>
          <w:p w14:paraId="51D7B92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3729261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589D2B2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6BE8DE5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57C952E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20EC0AD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43F95A5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6F4B4AD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068A3EE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0E9A572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4C34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6175915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0CE7F8C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611C328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12E3148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4C5A0F5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201C5C0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02315C3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66A8CD5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28C1C2E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67BFC20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0CED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2CB3BFA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6E23CBA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2A2BE64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7C162FF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1C552FA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3FAD8AC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163AFD6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548D00A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3F0AA5B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8D232C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5C8F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731762E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72C756D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52AA54B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4CFF3B6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0FC46BB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00AC325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31B66AD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6414945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66FD2BE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55219C9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0800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20" w:type="dxa"/>
          </w:tcPr>
          <w:p w14:paraId="7080E54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6FD93D5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5762A6D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5C475AC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22ED592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3BFAB7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3B5188D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6BAE1A8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02BB85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72E465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4BE7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1264810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2A16591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1D58FC0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39121F5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63E115A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05AED65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24E1A5B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520E4CC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1060111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1A6BFAB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28DA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7AA726B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0EEA2CA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01CF2DF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6051E3F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1792423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345BA63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07B08A7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6C7FA41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07AB552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5D32AD0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2C60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4EE0844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12A1510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5745346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5775894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33FB55B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55D8A9F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24ABFD1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5440F9A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3366160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E31023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73FA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20" w:type="dxa"/>
          </w:tcPr>
          <w:p w14:paraId="73D5B0E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329DF0A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484ED41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4CD1C66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1E19D71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722476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0D21C6B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7F51BCA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9846E1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19ABE7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71F9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3E2F0BE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3446AD0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4B5F6FE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37FB39F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33ECA82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9E9E40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36145DB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5ADD7CD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0D0C5D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7BAAAA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02FC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tcPr>
          <w:p w14:paraId="1CFF491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138ED83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7A48A34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6BF8995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76C6248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475CDDA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08A2C39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4E715C3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0755DF3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5444251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r w14:paraId="2F8F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20" w:type="dxa"/>
          </w:tcPr>
          <w:p w14:paraId="6E3972D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185" w:type="dxa"/>
          </w:tcPr>
          <w:p w14:paraId="07A405E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795" w:type="dxa"/>
          </w:tcPr>
          <w:p w14:paraId="1BC9D28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1D4DBBF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816" w:type="dxa"/>
          </w:tcPr>
          <w:p w14:paraId="2504E22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6ED2130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260" w:type="dxa"/>
          </w:tcPr>
          <w:p w14:paraId="07BAC71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973" w:type="dxa"/>
          </w:tcPr>
          <w:p w14:paraId="7A10C71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37090AB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c>
          <w:tcPr>
            <w:tcW w:w="1080" w:type="dxa"/>
          </w:tcPr>
          <w:p w14:paraId="7805D6C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1"/>
                <w:szCs w:val="21"/>
              </w:rPr>
            </w:pPr>
          </w:p>
        </w:tc>
      </w:tr>
    </w:tbl>
    <w:p w14:paraId="6B13B333">
      <w:pPr>
        <w:widowControl/>
        <w:spacing w:line="240" w:lineRule="auto"/>
        <w:jc w:val="left"/>
        <w:rPr>
          <w:rFonts w:hint="eastAsia" w:ascii="宋体" w:hAnsi="宋体" w:eastAsia="宋体" w:cs="Times New Roman"/>
          <w:kern w:val="0"/>
          <w:sz w:val="21"/>
          <w:szCs w:val="21"/>
        </w:rPr>
      </w:pPr>
      <w:r>
        <w:rPr>
          <w:rFonts w:ascii="宋体" w:hAnsi="宋体" w:eastAsia="宋体" w:cs="Times New Roman"/>
          <w:kern w:val="0"/>
          <w:sz w:val="21"/>
          <w:szCs w:val="21"/>
        </w:rPr>
        <w:br w:type="page"/>
      </w:r>
    </w:p>
    <w:p w14:paraId="7498B631">
      <w:pPr>
        <w:keepNext/>
        <w:keepLines/>
        <w:widowControl w:val="0"/>
        <w:tabs>
          <w:tab w:val="left" w:pos="709"/>
        </w:tabs>
        <w:spacing w:line="360" w:lineRule="auto"/>
        <w:ind w:left="376" w:leftChars="171"/>
        <w:jc w:val="both"/>
        <w:outlineLvl w:val="3"/>
        <w:rPr>
          <w:rFonts w:hint="eastAsia" w:ascii="宋体" w:hAnsi="宋体" w:eastAsia="宋体" w:cs="Times New Roman"/>
          <w:b/>
          <w:bCs/>
          <w:sz w:val="21"/>
          <w:szCs w:val="28"/>
          <w:lang w:val="zh-CN" w:eastAsia="zh-CN"/>
        </w:rPr>
      </w:pPr>
      <w:r>
        <w:rPr>
          <w:rFonts w:hint="eastAsia" w:ascii="宋体" w:hAnsi="宋体" w:eastAsia="宋体" w:cs="Times New Roman"/>
          <w:b/>
          <w:bCs/>
          <w:sz w:val="21"/>
          <w:szCs w:val="28"/>
          <w:lang w:val="zh-CN" w:eastAsia="zh-CN"/>
        </w:rPr>
        <w:t>附表二：</w:t>
      </w:r>
    </w:p>
    <w:p w14:paraId="5A766E3C">
      <w:pPr>
        <w:spacing w:line="360" w:lineRule="auto"/>
        <w:jc w:val="center"/>
        <w:rPr>
          <w:rFonts w:ascii="Calibri" w:hAnsi="Calibri" w:eastAsia="宋体" w:cs="Times New Roman"/>
          <w:b/>
          <w:kern w:val="0"/>
          <w:sz w:val="28"/>
          <w:szCs w:val="28"/>
        </w:rPr>
      </w:pPr>
      <w:r>
        <w:rPr>
          <w:rFonts w:hint="eastAsia" w:ascii="Calibri" w:hAnsi="Calibri" w:eastAsia="宋体" w:cs="Times New Roman"/>
          <w:b/>
          <w:kern w:val="0"/>
          <w:sz w:val="28"/>
          <w:szCs w:val="28"/>
        </w:rPr>
        <w:t>拟配备本标段的试验和检测仪器设备表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476"/>
        <w:gridCol w:w="1056"/>
        <w:gridCol w:w="636"/>
        <w:gridCol w:w="1056"/>
        <w:gridCol w:w="1056"/>
        <w:gridCol w:w="1656"/>
        <w:gridCol w:w="996"/>
        <w:gridCol w:w="816"/>
      </w:tblGrid>
      <w:tr w14:paraId="1796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2D913FC2">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序号</w:t>
            </w:r>
          </w:p>
        </w:tc>
        <w:tc>
          <w:tcPr>
            <w:tcW w:w="1476" w:type="dxa"/>
            <w:tcBorders>
              <w:top w:val="outset" w:color="auto" w:sz="6" w:space="0"/>
              <w:left w:val="outset" w:color="auto" w:sz="6" w:space="0"/>
              <w:bottom w:val="outset" w:color="auto" w:sz="6" w:space="0"/>
              <w:right w:val="outset" w:color="auto" w:sz="6" w:space="0"/>
            </w:tcBorders>
            <w:vAlign w:val="center"/>
          </w:tcPr>
          <w:p w14:paraId="79F961D5">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仪器设备名称</w:t>
            </w:r>
          </w:p>
        </w:tc>
        <w:tc>
          <w:tcPr>
            <w:tcW w:w="1056" w:type="dxa"/>
            <w:tcBorders>
              <w:top w:val="outset" w:color="auto" w:sz="6" w:space="0"/>
              <w:left w:val="outset" w:color="auto" w:sz="6" w:space="0"/>
              <w:bottom w:val="outset" w:color="auto" w:sz="6" w:space="0"/>
              <w:right w:val="outset" w:color="auto" w:sz="6" w:space="0"/>
            </w:tcBorders>
            <w:vAlign w:val="center"/>
          </w:tcPr>
          <w:p w14:paraId="635FC0CD">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型号规格</w:t>
            </w:r>
          </w:p>
        </w:tc>
        <w:tc>
          <w:tcPr>
            <w:tcW w:w="636" w:type="dxa"/>
            <w:tcBorders>
              <w:top w:val="outset" w:color="auto" w:sz="6" w:space="0"/>
              <w:left w:val="outset" w:color="auto" w:sz="6" w:space="0"/>
              <w:bottom w:val="outset" w:color="auto" w:sz="6" w:space="0"/>
              <w:right w:val="outset" w:color="auto" w:sz="6" w:space="0"/>
            </w:tcBorders>
            <w:vAlign w:val="center"/>
          </w:tcPr>
          <w:p w14:paraId="3D323E72">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数量</w:t>
            </w:r>
          </w:p>
        </w:tc>
        <w:tc>
          <w:tcPr>
            <w:tcW w:w="1056" w:type="dxa"/>
            <w:tcBorders>
              <w:top w:val="outset" w:color="auto" w:sz="6" w:space="0"/>
              <w:left w:val="outset" w:color="auto" w:sz="6" w:space="0"/>
              <w:bottom w:val="outset" w:color="auto" w:sz="6" w:space="0"/>
              <w:right w:val="outset" w:color="auto" w:sz="6" w:space="0"/>
            </w:tcBorders>
            <w:vAlign w:val="center"/>
          </w:tcPr>
          <w:p w14:paraId="2889AA5D">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国别产地</w:t>
            </w:r>
          </w:p>
        </w:tc>
        <w:tc>
          <w:tcPr>
            <w:tcW w:w="1056" w:type="dxa"/>
            <w:tcBorders>
              <w:top w:val="outset" w:color="auto" w:sz="6" w:space="0"/>
              <w:left w:val="outset" w:color="auto" w:sz="6" w:space="0"/>
              <w:bottom w:val="outset" w:color="auto" w:sz="6" w:space="0"/>
              <w:right w:val="outset" w:color="auto" w:sz="6" w:space="0"/>
            </w:tcBorders>
            <w:vAlign w:val="center"/>
          </w:tcPr>
          <w:p w14:paraId="5DFA714F">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制造年份</w:t>
            </w:r>
          </w:p>
        </w:tc>
        <w:tc>
          <w:tcPr>
            <w:tcW w:w="1656" w:type="dxa"/>
            <w:tcBorders>
              <w:top w:val="outset" w:color="auto" w:sz="6" w:space="0"/>
              <w:left w:val="outset" w:color="auto" w:sz="6" w:space="0"/>
              <w:bottom w:val="outset" w:color="auto" w:sz="6" w:space="0"/>
              <w:right w:val="outset" w:color="auto" w:sz="6" w:space="0"/>
            </w:tcBorders>
            <w:vAlign w:val="center"/>
          </w:tcPr>
          <w:p w14:paraId="73E4745D">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己使用台时数</w:t>
            </w:r>
          </w:p>
        </w:tc>
        <w:tc>
          <w:tcPr>
            <w:tcW w:w="996" w:type="dxa"/>
            <w:tcBorders>
              <w:top w:val="outset" w:color="auto" w:sz="6" w:space="0"/>
              <w:left w:val="outset" w:color="auto" w:sz="6" w:space="0"/>
              <w:bottom w:val="outset" w:color="auto" w:sz="6" w:space="0"/>
              <w:right w:val="outset" w:color="auto" w:sz="6" w:space="0"/>
            </w:tcBorders>
            <w:vAlign w:val="center"/>
          </w:tcPr>
          <w:p w14:paraId="01B7F75E">
            <w:pPr>
              <w:keepNext w:val="0"/>
              <w:keepLines w:val="0"/>
              <w:suppressLineNumbers w:val="0"/>
              <w:spacing w:before="0" w:beforeAutospacing="0" w:after="0" w:afterAutospacing="0" w:line="360" w:lineRule="auto"/>
              <w:ind w:right="0"/>
              <w:jc w:val="center"/>
              <w:rPr>
                <w:rFonts w:hint="eastAsia" w:ascii="宋体" w:hAnsi="宋体" w:eastAsia="宋体" w:cs="Times New Roman"/>
                <w:kern w:val="0"/>
                <w:sz w:val="21"/>
                <w:szCs w:val="21"/>
              </w:rPr>
            </w:pPr>
            <w:r>
              <w:rPr>
                <w:rFonts w:hint="eastAsia" w:ascii="宋体" w:hAnsi="宋体" w:eastAsia="宋体" w:cs="Times New Roman"/>
                <w:kern w:val="0"/>
                <w:sz w:val="21"/>
                <w:szCs w:val="21"/>
              </w:rPr>
              <w:t>用途</w:t>
            </w:r>
          </w:p>
        </w:tc>
        <w:tc>
          <w:tcPr>
            <w:tcW w:w="816" w:type="dxa"/>
            <w:tcBorders>
              <w:top w:val="outset" w:color="auto" w:sz="6" w:space="0"/>
              <w:left w:val="outset" w:color="auto" w:sz="6" w:space="0"/>
              <w:bottom w:val="outset" w:color="auto" w:sz="6" w:space="0"/>
              <w:right w:val="outset" w:color="auto" w:sz="6" w:space="0"/>
            </w:tcBorders>
            <w:vAlign w:val="center"/>
          </w:tcPr>
          <w:p w14:paraId="0BB8646D">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备注</w:t>
            </w:r>
          </w:p>
        </w:tc>
      </w:tr>
      <w:tr w14:paraId="5079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64E95DC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460D6FD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2CA3AB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40A2DA1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788156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2DD932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25724B8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2362284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40DD9CD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1872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4E6C5C1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43CB250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B9D309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7A8E28E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7A83BA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3402A0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0F4A0FE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62D707A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747106C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4DB5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07E1FE8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4E87F1C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2DAB7D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34456E7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31A80E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6037D9F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4634DDC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0D625BE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1D8DB46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3BC3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2B850BA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3740D83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DD2F72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40EB87F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D92F11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3FB701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72B4291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322B5EB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2393161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7FA9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7243B7E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1BB14088">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0504DB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2759411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94B487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3E2A75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7D14553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46D8EB3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3C1BC52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5B4B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6403716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3B613A5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99669D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50C3257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EE91E7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02C0D7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1B64C97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4941B42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0BAE510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78F9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6AF04C2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6D43A8B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210EDB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20585E5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9F48D3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6EFA6C4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6AF811F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77EDD21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46C4FD4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3E74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1902853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2FEF12F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33BAB3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67511C4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6F2A3508">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6AA2E17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4423874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2ED4FA3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4223ECE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1C2E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7CA8B08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23013DE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765081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6D8E6CA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49D635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322CF50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514B9D8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5984B87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026DC0A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7603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37ACB24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23BE1B1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5225796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3F647A9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8223BE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5941AD5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7611A9E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643574D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3DFCBD6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4356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2EEAC6B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52AF3AF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87378F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754E869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E3492A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AE6D8A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702F4F9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49E96BD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37F7685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7B7D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7B6705A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7CD9489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65BCA92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676A1FD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F8251B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5394B7A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5D73287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0CF3ADA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381BD65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2390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54DF8D48">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3878232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B07BCC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1637D14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3066103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54857DB8">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09215BC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3CABC73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7BE3103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6DEB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4F39991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3F3F36A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4EB855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1ED20BC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6B0003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BC4625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35326B3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52F39A6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79834E4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1D08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2237DE9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498B87E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3038B3B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3072F6E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80CC3B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D3DF1D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23524EC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27A76FF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28FCED5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57FF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70AF77E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7488C05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9B974E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7581F68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8ACF08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53F706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67D2DF1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744D7A8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418CEE5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5901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7EA8995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30779B8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0F7580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26D72EB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81EA43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EFCC1F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69E2E12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6C6118F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6A9C537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0E4E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6F4C8F7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305CC39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400F8B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3F8ACEB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A867DA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336CB08">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3B89CB5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5E9BB63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20C2734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5CEA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51F4043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5C0CE12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C3D008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69EB1A9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0BC35792">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3E37A4D4">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5BB3951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528D8978">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0982728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0777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4BD2FF53">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4639EBDD">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6ED7027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03FE4D5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537B01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484751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4C6A222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63EF6FD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1E8E93B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7C78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0E29FCD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4BEDDB5A">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A50527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2878AF4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7BCF183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270C869F">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60E3610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121D31BC">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604CC3F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2B40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20537F1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21C7361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4C801D0E">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3B832D8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5A848E3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1464CD2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325D71E9">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763E24B5">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5C00402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r w14:paraId="6871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top w:val="outset" w:color="auto" w:sz="6" w:space="0"/>
              <w:left w:val="outset" w:color="auto" w:sz="6" w:space="0"/>
              <w:bottom w:val="outset" w:color="auto" w:sz="6" w:space="0"/>
              <w:right w:val="outset" w:color="auto" w:sz="6" w:space="0"/>
            </w:tcBorders>
            <w:vAlign w:val="center"/>
          </w:tcPr>
          <w:p w14:paraId="546C499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476" w:type="dxa"/>
            <w:tcBorders>
              <w:top w:val="outset" w:color="auto" w:sz="6" w:space="0"/>
              <w:left w:val="outset" w:color="auto" w:sz="6" w:space="0"/>
              <w:bottom w:val="outset" w:color="auto" w:sz="6" w:space="0"/>
              <w:right w:val="outset" w:color="auto" w:sz="6" w:space="0"/>
            </w:tcBorders>
            <w:vAlign w:val="center"/>
          </w:tcPr>
          <w:p w14:paraId="1A2D566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38F91C20">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636" w:type="dxa"/>
            <w:tcBorders>
              <w:top w:val="outset" w:color="auto" w:sz="6" w:space="0"/>
              <w:left w:val="outset" w:color="auto" w:sz="6" w:space="0"/>
              <w:bottom w:val="outset" w:color="auto" w:sz="6" w:space="0"/>
              <w:right w:val="outset" w:color="auto" w:sz="6" w:space="0"/>
            </w:tcBorders>
            <w:vAlign w:val="center"/>
          </w:tcPr>
          <w:p w14:paraId="7BE85BF7">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358837A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056" w:type="dxa"/>
            <w:tcBorders>
              <w:top w:val="outset" w:color="auto" w:sz="6" w:space="0"/>
              <w:left w:val="outset" w:color="auto" w:sz="6" w:space="0"/>
              <w:bottom w:val="outset" w:color="auto" w:sz="6" w:space="0"/>
              <w:right w:val="outset" w:color="auto" w:sz="6" w:space="0"/>
            </w:tcBorders>
            <w:vAlign w:val="center"/>
          </w:tcPr>
          <w:p w14:paraId="52F7F04B">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1656" w:type="dxa"/>
            <w:tcBorders>
              <w:top w:val="outset" w:color="auto" w:sz="6" w:space="0"/>
              <w:left w:val="outset" w:color="auto" w:sz="6" w:space="0"/>
              <w:bottom w:val="outset" w:color="auto" w:sz="6" w:space="0"/>
              <w:right w:val="outset" w:color="auto" w:sz="6" w:space="0"/>
            </w:tcBorders>
            <w:vAlign w:val="center"/>
          </w:tcPr>
          <w:p w14:paraId="535E88C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996" w:type="dxa"/>
            <w:tcBorders>
              <w:top w:val="outset" w:color="auto" w:sz="6" w:space="0"/>
              <w:left w:val="outset" w:color="auto" w:sz="6" w:space="0"/>
              <w:bottom w:val="outset" w:color="auto" w:sz="6" w:space="0"/>
              <w:right w:val="outset" w:color="auto" w:sz="6" w:space="0"/>
            </w:tcBorders>
            <w:vAlign w:val="center"/>
          </w:tcPr>
          <w:p w14:paraId="7661ABB1">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c>
          <w:tcPr>
            <w:tcW w:w="816" w:type="dxa"/>
            <w:tcBorders>
              <w:top w:val="outset" w:color="auto" w:sz="6" w:space="0"/>
              <w:left w:val="outset" w:color="auto" w:sz="6" w:space="0"/>
              <w:bottom w:val="outset" w:color="auto" w:sz="6" w:space="0"/>
              <w:right w:val="outset" w:color="auto" w:sz="6" w:space="0"/>
            </w:tcBorders>
            <w:vAlign w:val="center"/>
          </w:tcPr>
          <w:p w14:paraId="34748476">
            <w:pPr>
              <w:keepNext w:val="0"/>
              <w:keepLines w:val="0"/>
              <w:suppressLineNumbers w:val="0"/>
              <w:spacing w:before="0" w:beforeAutospacing="0" w:after="0" w:afterAutospacing="0" w:line="360" w:lineRule="auto"/>
              <w:ind w:left="376" w:leftChars="171" w:right="0" w:firstLine="420" w:firstLineChars="200"/>
              <w:jc w:val="both"/>
              <w:rPr>
                <w:rFonts w:hint="eastAsia" w:ascii="宋体" w:hAnsi="宋体" w:eastAsia="宋体" w:cs="Times New Roman"/>
                <w:kern w:val="0"/>
                <w:sz w:val="21"/>
                <w:szCs w:val="21"/>
              </w:rPr>
            </w:pPr>
          </w:p>
        </w:tc>
      </w:tr>
    </w:tbl>
    <w:p w14:paraId="19B5664B">
      <w:pPr>
        <w:spacing w:line="360" w:lineRule="auto"/>
        <w:ind w:left="376" w:leftChars="171" w:firstLine="420" w:firstLineChars="200"/>
        <w:jc w:val="both"/>
        <w:rPr>
          <w:rFonts w:hint="eastAsia" w:ascii="宋体" w:hAnsi="宋体" w:eastAsia="宋体" w:cs="Times New Roman"/>
          <w:kern w:val="0"/>
          <w:sz w:val="21"/>
          <w:szCs w:val="21"/>
        </w:rPr>
      </w:pPr>
    </w:p>
    <w:p w14:paraId="564D6D24">
      <w:pPr>
        <w:widowControl/>
        <w:spacing w:line="240" w:lineRule="auto"/>
        <w:jc w:val="left"/>
        <w:rPr>
          <w:rFonts w:hint="eastAsia" w:ascii="宋体" w:hAnsi="宋体" w:eastAsia="宋体" w:cs="Times New Roman"/>
          <w:kern w:val="0"/>
          <w:sz w:val="21"/>
          <w:szCs w:val="21"/>
        </w:rPr>
      </w:pPr>
      <w:r>
        <w:rPr>
          <w:rFonts w:ascii="宋体" w:hAnsi="宋体" w:eastAsia="宋体" w:cs="Times New Roman"/>
          <w:kern w:val="0"/>
          <w:sz w:val="21"/>
          <w:szCs w:val="21"/>
        </w:rPr>
        <w:br w:type="page"/>
      </w:r>
    </w:p>
    <w:p w14:paraId="11D77570">
      <w:pPr>
        <w:keepNext/>
        <w:keepLines/>
        <w:widowControl w:val="0"/>
        <w:spacing w:line="360" w:lineRule="auto"/>
        <w:ind w:left="376" w:leftChars="171"/>
        <w:jc w:val="both"/>
        <w:outlineLvl w:val="3"/>
        <w:rPr>
          <w:rFonts w:hint="eastAsia" w:ascii="宋体" w:hAnsi="宋体" w:eastAsia="宋体" w:cs="Times New Roman"/>
          <w:b/>
          <w:bCs/>
          <w:sz w:val="28"/>
          <w:szCs w:val="28"/>
          <w:lang w:val="zh-CN" w:eastAsia="zh-CN"/>
        </w:rPr>
      </w:pPr>
      <w:r>
        <w:rPr>
          <w:rFonts w:hint="eastAsia" w:ascii="宋体" w:hAnsi="宋体" w:eastAsia="宋体" w:cs="Times New Roman"/>
          <w:b/>
          <w:bCs/>
          <w:sz w:val="28"/>
          <w:szCs w:val="28"/>
          <w:lang w:val="zh-CN" w:eastAsia="zh-CN"/>
        </w:rPr>
        <w:t>附表三：</w:t>
      </w:r>
    </w:p>
    <w:p w14:paraId="47831EB9">
      <w:pPr>
        <w:spacing w:line="360" w:lineRule="auto"/>
        <w:jc w:val="center"/>
        <w:rPr>
          <w:rFonts w:ascii="Calibri" w:hAnsi="Calibri" w:eastAsia="宋体" w:cs="Times New Roman"/>
          <w:b/>
          <w:kern w:val="0"/>
          <w:sz w:val="28"/>
          <w:szCs w:val="28"/>
        </w:rPr>
      </w:pPr>
      <w:r>
        <w:rPr>
          <w:rFonts w:hint="eastAsia" w:ascii="Calibri" w:hAnsi="Calibri" w:eastAsia="宋体" w:cs="Times New Roman"/>
          <w:b/>
          <w:kern w:val="0"/>
          <w:sz w:val="28"/>
          <w:szCs w:val="28"/>
        </w:rPr>
        <w:t>劳动力计划表</w:t>
      </w:r>
    </w:p>
    <w:p w14:paraId="020FA9EE">
      <w:pPr>
        <w:spacing w:line="360" w:lineRule="auto"/>
        <w:ind w:right="633"/>
        <w:jc w:val="right"/>
        <w:rPr>
          <w:rFonts w:ascii="Calibri" w:hAnsi="Calibri" w:eastAsia="宋体" w:cs="Times New Roman"/>
          <w:kern w:val="0"/>
          <w:sz w:val="22"/>
          <w:szCs w:val="22"/>
        </w:rPr>
      </w:pPr>
      <w:r>
        <w:rPr>
          <w:rFonts w:hint="eastAsia" w:ascii="Calibri" w:hAnsi="Calibri" w:eastAsia="宋体" w:cs="Times New Roman"/>
          <w:kern w:val="0"/>
          <w:sz w:val="22"/>
          <w:szCs w:val="22"/>
        </w:rPr>
        <w:t>单位： 人</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223"/>
        <w:gridCol w:w="1223"/>
        <w:gridCol w:w="1225"/>
        <w:gridCol w:w="1224"/>
        <w:gridCol w:w="1225"/>
        <w:gridCol w:w="1224"/>
        <w:gridCol w:w="1225"/>
      </w:tblGrid>
      <w:tr w14:paraId="318D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3200BFC9">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工种</w:t>
            </w:r>
          </w:p>
        </w:tc>
        <w:tc>
          <w:tcPr>
            <w:tcW w:w="8569" w:type="dxa"/>
            <w:gridSpan w:val="7"/>
            <w:tcBorders>
              <w:top w:val="outset" w:color="auto" w:sz="6" w:space="0"/>
              <w:left w:val="outset" w:color="auto" w:sz="6" w:space="0"/>
              <w:bottom w:val="outset" w:color="auto" w:sz="6" w:space="0"/>
              <w:right w:val="outset" w:color="auto" w:sz="6" w:space="0"/>
            </w:tcBorders>
            <w:vAlign w:val="center"/>
          </w:tcPr>
          <w:p w14:paraId="22CCDA2A">
            <w:pPr>
              <w:keepNext w:val="0"/>
              <w:keepLines w:val="0"/>
              <w:suppressLineNumbers w:val="0"/>
              <w:spacing w:before="0" w:beforeAutospacing="0" w:after="0" w:afterAutospacing="0" w:line="360" w:lineRule="auto"/>
              <w:ind w:left="376" w:leftChars="171" w:right="0" w:firstLine="440" w:firstLineChars="20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按工程施工阶段投入劳动力情况</w:t>
            </w:r>
          </w:p>
        </w:tc>
      </w:tr>
      <w:tr w14:paraId="0B61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7DB8A8E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4BB80C0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DFEF69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2C2C6FF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3270401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55B3AB5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6EAEA480">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43FE7A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387C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3715E65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07F075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DD823F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A28A89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727559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90C7EE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2EF0641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88EC0B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0685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6EED701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07E2A56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42AC88E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C71521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39D57CF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E06DD9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E97FEB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6F9C6E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1E4A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4EB0AEB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3E078D7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36893B7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B0D455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3B38E551">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3C06F2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221487D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5A4E2B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520A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549B892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315C33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BDE263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8BBE85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65030E3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15AC18E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6C7CA75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7D663F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30F2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6FC561A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4ABE127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36E92E5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1496B08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0060ABC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2BE9B0A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7762F4E0">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2EB836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4C64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7C8279C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7AEEB3A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69922EB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0A4D484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3989DE6E">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1C65C7CE">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02538C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C60ECB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4100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5057717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02C2854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7AF065B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175E820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0C810CB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71DDCF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4B32CEE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A838EF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2FE3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24C6C06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D53228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4BC229C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E2853A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8949D31">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5457D2B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6CE4824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549648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21CD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169DF06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07A298C1">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F2FC34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5C5BA9E0">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33C8FB51">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05DD52A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4AFAAAB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28F1501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177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1D13FF1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48512F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2C4B126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1F04F660">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0F4D1BB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AAA2DF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2167B4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2E0782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3729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60797BA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40FBCAB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D11D77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5518CA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0FE8820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00546F2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40D0479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2AB5590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019D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4C9196A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B1913D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7C9F558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0A655A4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3AD92ED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6FE98E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62854D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EAAABD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6750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25811DA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31FBDF2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575AAE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E2B588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307861F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26BB98E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3A7873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1060F6B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15B2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152539D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06F75A4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0EAA709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59759A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14C7AEE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A216F7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FBE380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9736EF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534E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106C457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6295E5F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5ECAFE6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9F1603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710F9D4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88DDB0E">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71F7C46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0DF0CD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41A0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07678F4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74D8843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2A021E5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6F9619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77EA5E7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2E5393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7BDEEB5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3FF22A1">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4D2A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5BABC70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3FEF172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171742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CF7383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1735186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5BEF8A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0084EE01">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2CD0D0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658B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260C523B">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2E9EDFF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31DB0EE">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0026CC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261B492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C10F18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27F0B3F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0174368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1B89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4E34D37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0B2F170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7307E2E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2542E16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70EE4CE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7A94B95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41E1DEE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5F5E91F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36F7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50834C3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7FD5450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B66EB2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3F170F25">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5B17FB1C">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184E6BF">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747640AD">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29D65A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0A01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Borders>
              <w:top w:val="outset" w:color="auto" w:sz="6" w:space="0"/>
              <w:left w:val="outset" w:color="auto" w:sz="6" w:space="0"/>
              <w:bottom w:val="outset" w:color="auto" w:sz="6" w:space="0"/>
              <w:right w:val="outset" w:color="auto" w:sz="6" w:space="0"/>
            </w:tcBorders>
            <w:vAlign w:val="center"/>
          </w:tcPr>
          <w:p w14:paraId="7C4CF7F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0BFE04C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3" w:type="dxa"/>
            <w:tcBorders>
              <w:top w:val="outset" w:color="auto" w:sz="6" w:space="0"/>
              <w:left w:val="outset" w:color="auto" w:sz="6" w:space="0"/>
              <w:bottom w:val="outset" w:color="auto" w:sz="6" w:space="0"/>
              <w:right w:val="outset" w:color="auto" w:sz="6" w:space="0"/>
            </w:tcBorders>
            <w:vAlign w:val="center"/>
          </w:tcPr>
          <w:p w14:paraId="17CAFE8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67432703">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42A4CA5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47977114">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4" w:type="dxa"/>
            <w:tcBorders>
              <w:top w:val="outset" w:color="auto" w:sz="6" w:space="0"/>
              <w:left w:val="outset" w:color="auto" w:sz="6" w:space="0"/>
              <w:bottom w:val="outset" w:color="auto" w:sz="6" w:space="0"/>
              <w:right w:val="outset" w:color="auto" w:sz="6" w:space="0"/>
            </w:tcBorders>
            <w:vAlign w:val="center"/>
          </w:tcPr>
          <w:p w14:paraId="2559FE32">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c>
          <w:tcPr>
            <w:tcW w:w="1225" w:type="dxa"/>
            <w:tcBorders>
              <w:top w:val="outset" w:color="auto" w:sz="6" w:space="0"/>
              <w:left w:val="outset" w:color="auto" w:sz="6" w:space="0"/>
              <w:bottom w:val="outset" w:color="auto" w:sz="6" w:space="0"/>
              <w:right w:val="outset" w:color="auto" w:sz="6" w:space="0"/>
            </w:tcBorders>
            <w:vAlign w:val="center"/>
          </w:tcPr>
          <w:p w14:paraId="112F397A">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bl>
    <w:p w14:paraId="0A2697D1">
      <w:pPr>
        <w:spacing w:line="360" w:lineRule="auto"/>
        <w:ind w:left="376" w:leftChars="171" w:firstLine="440" w:firstLineChars="200"/>
        <w:jc w:val="both"/>
        <w:rPr>
          <w:rFonts w:hint="eastAsia" w:ascii="宋体" w:hAnsi="宋体" w:eastAsia="宋体" w:cs="Times New Roman"/>
          <w:kern w:val="0"/>
          <w:sz w:val="22"/>
          <w:szCs w:val="22"/>
        </w:rPr>
      </w:pPr>
    </w:p>
    <w:p w14:paraId="2F537DD9">
      <w:pPr>
        <w:widowControl/>
        <w:spacing w:line="240" w:lineRule="auto"/>
        <w:jc w:val="left"/>
        <w:rPr>
          <w:rFonts w:hint="eastAsia" w:ascii="宋体" w:hAnsi="宋体" w:eastAsia="宋体" w:cs="Times New Roman"/>
          <w:kern w:val="0"/>
          <w:sz w:val="21"/>
          <w:szCs w:val="21"/>
        </w:rPr>
      </w:pPr>
      <w:r>
        <w:rPr>
          <w:rFonts w:ascii="宋体" w:hAnsi="宋体" w:eastAsia="宋体" w:cs="Times New Roman"/>
          <w:kern w:val="0"/>
          <w:sz w:val="21"/>
          <w:szCs w:val="21"/>
        </w:rPr>
        <w:br w:type="page"/>
      </w:r>
    </w:p>
    <w:p w14:paraId="309F3FC3">
      <w:pPr>
        <w:keepNext/>
        <w:keepLines/>
        <w:widowControl w:val="0"/>
        <w:spacing w:line="360" w:lineRule="auto"/>
        <w:ind w:left="376" w:leftChars="171"/>
        <w:jc w:val="both"/>
        <w:outlineLvl w:val="3"/>
        <w:rPr>
          <w:rFonts w:hint="eastAsia" w:ascii="宋体" w:hAnsi="宋体" w:eastAsia="宋体" w:cs="Times New Roman"/>
          <w:b/>
          <w:bCs/>
          <w:sz w:val="28"/>
          <w:szCs w:val="28"/>
          <w:lang w:val="zh-CN" w:eastAsia="zh-CN"/>
        </w:rPr>
      </w:pPr>
      <w:r>
        <w:rPr>
          <w:rFonts w:hint="eastAsia" w:ascii="宋体" w:hAnsi="宋体" w:eastAsia="宋体" w:cs="Times New Roman"/>
          <w:b/>
          <w:bCs/>
          <w:sz w:val="28"/>
          <w:szCs w:val="28"/>
          <w:lang w:val="zh-CN" w:eastAsia="zh-CN"/>
        </w:rPr>
        <w:t>附表四：</w:t>
      </w:r>
    </w:p>
    <w:p w14:paraId="1A2C3BD9">
      <w:pPr>
        <w:spacing w:line="240" w:lineRule="auto"/>
        <w:jc w:val="center"/>
        <w:rPr>
          <w:rFonts w:ascii="Calibri" w:hAnsi="Calibri" w:eastAsia="宋体" w:cs="Times New Roman"/>
          <w:b/>
          <w:kern w:val="0"/>
          <w:sz w:val="28"/>
          <w:szCs w:val="28"/>
        </w:rPr>
      </w:pPr>
      <w:r>
        <w:rPr>
          <w:rFonts w:hint="eastAsia" w:ascii="Calibri" w:hAnsi="Calibri" w:eastAsia="宋体" w:cs="Times New Roman"/>
          <w:b/>
          <w:kern w:val="0"/>
          <w:sz w:val="28"/>
          <w:szCs w:val="28"/>
        </w:rPr>
        <w:t>计划开、竣工日期和施工进度网络图</w:t>
      </w:r>
    </w:p>
    <w:p w14:paraId="3525D850">
      <w:pPr>
        <w:spacing w:line="240" w:lineRule="exact"/>
        <w:ind w:left="376" w:leftChars="171" w:firstLine="440" w:firstLineChars="200"/>
        <w:jc w:val="both"/>
        <w:rPr>
          <w:rFonts w:hint="eastAsia" w:ascii="宋体" w:hAnsi="宋体" w:eastAsia="宋体" w:cs="Times New Roman"/>
          <w:kern w:val="0"/>
          <w:sz w:val="22"/>
          <w:szCs w:val="22"/>
        </w:rPr>
      </w:pPr>
    </w:p>
    <w:p w14:paraId="42B3910B">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1．投标人应递交施工进度网络图或施工进度表，说明按招标文件要求的计划工期进行施工的各个关键日期。</w:t>
      </w:r>
    </w:p>
    <w:p w14:paraId="0A029B3E">
      <w:pPr>
        <w:spacing w:line="360" w:lineRule="auto"/>
        <w:ind w:left="376" w:leftChars="171" w:firstLine="440" w:firstLine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2．施工进度表可采用网络图（或横道图）表示。</w:t>
      </w:r>
    </w:p>
    <w:p w14:paraId="32A50656">
      <w:pPr>
        <w:spacing w:line="360" w:lineRule="auto"/>
        <w:ind w:left="376" w:leftChars="171" w:firstLine="420" w:firstLineChars="200"/>
        <w:jc w:val="both"/>
        <w:rPr>
          <w:rFonts w:hint="eastAsia" w:ascii="宋体" w:hAnsi="宋体" w:eastAsia="宋体" w:cs="Times New Roman"/>
          <w:kern w:val="0"/>
          <w:sz w:val="21"/>
          <w:szCs w:val="21"/>
        </w:rPr>
      </w:pPr>
    </w:p>
    <w:p w14:paraId="50585727">
      <w:r>
        <w:br w:type="page"/>
      </w:r>
    </w:p>
    <w:p w14:paraId="6CB30B57">
      <w:pPr>
        <w:pStyle w:val="4"/>
        <w:numPr>
          <w:ilvl w:val="0"/>
          <w:numId w:val="5"/>
        </w:numPr>
        <w:jc w:val="center"/>
      </w:pPr>
      <w:r>
        <w:t>项目管理机构</w:t>
      </w:r>
    </w:p>
    <w:p w14:paraId="4483F65A">
      <w:pPr>
        <w:pStyle w:val="5"/>
        <w:numPr>
          <w:ilvl w:val="0"/>
          <w:numId w:val="7"/>
        </w:numPr>
        <w:jc w:val="center"/>
        <w:rPr>
          <w:b/>
          <w:bCs/>
          <w:sz w:val="22"/>
          <w:szCs w:val="22"/>
        </w:rPr>
      </w:pPr>
      <w:bookmarkStart w:id="215" w:name="_Toc152042593"/>
      <w:bookmarkStart w:id="216" w:name="_Toc152045804"/>
      <w:bookmarkStart w:id="217" w:name="_Toc246997113"/>
      <w:bookmarkStart w:id="218" w:name="_Toc144974872"/>
      <w:bookmarkStart w:id="219" w:name="_Toc68889796"/>
      <w:bookmarkStart w:id="220" w:name="_Toc296602615"/>
      <w:bookmarkStart w:id="221" w:name="_Toc68800252"/>
      <w:bookmarkStart w:id="222" w:name="_Toc246996370"/>
      <w:bookmarkStart w:id="223" w:name="_Toc179632824"/>
      <w:bookmarkStart w:id="224" w:name="_Toc247085888"/>
      <w:r>
        <w:rPr>
          <w:b/>
          <w:bCs/>
          <w:sz w:val="22"/>
          <w:szCs w:val="22"/>
        </w:rPr>
        <w:t>项目管理机构组成表</w:t>
      </w:r>
      <w:bookmarkEnd w:id="215"/>
      <w:bookmarkEnd w:id="216"/>
      <w:bookmarkEnd w:id="217"/>
      <w:bookmarkEnd w:id="218"/>
      <w:bookmarkEnd w:id="219"/>
      <w:bookmarkEnd w:id="220"/>
      <w:bookmarkEnd w:id="221"/>
      <w:bookmarkEnd w:id="222"/>
      <w:bookmarkEnd w:id="223"/>
      <w:bookmarkEnd w:id="224"/>
    </w:p>
    <w:tbl>
      <w:tblPr>
        <w:tblStyle w:val="19"/>
        <w:tblW w:w="0" w:type="auto"/>
        <w:tblInd w:w="5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26"/>
        <w:gridCol w:w="1511"/>
        <w:gridCol w:w="1504"/>
        <w:gridCol w:w="7"/>
        <w:gridCol w:w="1511"/>
        <w:gridCol w:w="1512"/>
        <w:gridCol w:w="1069"/>
      </w:tblGrid>
      <w:tr w14:paraId="4C0E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trPr>
        <w:tc>
          <w:tcPr>
            <w:tcW w:w="714" w:type="dxa"/>
            <w:vMerge w:val="restart"/>
            <w:vAlign w:val="center"/>
          </w:tcPr>
          <w:p w14:paraId="3D6997E2">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职务</w:t>
            </w:r>
          </w:p>
        </w:tc>
        <w:tc>
          <w:tcPr>
            <w:tcW w:w="726" w:type="dxa"/>
            <w:vMerge w:val="restart"/>
            <w:vAlign w:val="center"/>
          </w:tcPr>
          <w:p w14:paraId="16F47D84">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姓名</w:t>
            </w:r>
          </w:p>
        </w:tc>
        <w:tc>
          <w:tcPr>
            <w:tcW w:w="3015" w:type="dxa"/>
            <w:gridSpan w:val="2"/>
            <w:vAlign w:val="center"/>
          </w:tcPr>
          <w:p w14:paraId="3C7FDE36">
            <w:pPr>
              <w:keepNext w:val="0"/>
              <w:keepLines w:val="0"/>
              <w:suppressLineNumbers w:val="0"/>
              <w:spacing w:before="0" w:beforeAutospacing="0" w:after="0" w:afterAutospacing="0" w:line="500" w:lineRule="exact"/>
              <w:ind w:left="0" w:right="0"/>
              <w:jc w:val="center"/>
              <w:rPr>
                <w:rFonts w:hint="eastAsia" w:asciiTheme="minorEastAsia" w:hAnsiTheme="minorEastAsia" w:eastAsiaTheme="minorEastAsia"/>
                <w:sz w:val="22"/>
                <w:szCs w:val="22"/>
              </w:rPr>
            </w:pPr>
            <w:r>
              <w:rPr>
                <w:rFonts w:hint="default" w:asciiTheme="minorEastAsia" w:hAnsiTheme="minorEastAsia" w:eastAsiaTheme="minorEastAsia"/>
                <w:sz w:val="22"/>
                <w:szCs w:val="22"/>
              </w:rPr>
              <w:t>执业或职业资格</w:t>
            </w:r>
          </w:p>
        </w:tc>
        <w:tc>
          <w:tcPr>
            <w:tcW w:w="3030" w:type="dxa"/>
            <w:gridSpan w:val="3"/>
            <w:vAlign w:val="center"/>
          </w:tcPr>
          <w:p w14:paraId="107C8C5F">
            <w:pPr>
              <w:keepNext w:val="0"/>
              <w:keepLines w:val="0"/>
              <w:suppressLineNumbers w:val="0"/>
              <w:spacing w:before="0" w:beforeAutospacing="0" w:after="0" w:afterAutospacing="0" w:line="500" w:lineRule="exact"/>
              <w:ind w:left="0" w:right="0"/>
              <w:jc w:val="center"/>
              <w:rPr>
                <w:rFonts w:hint="eastAsia" w:asciiTheme="minorEastAsia" w:hAnsiTheme="minorEastAsia" w:eastAsiaTheme="minorEastAsia"/>
                <w:sz w:val="22"/>
                <w:szCs w:val="22"/>
              </w:rPr>
            </w:pPr>
            <w:r>
              <w:rPr>
                <w:rFonts w:hint="eastAsia" w:asciiTheme="minorEastAsia" w:hAnsiTheme="minorEastAsia" w:eastAsiaTheme="minorEastAsia"/>
                <w:sz w:val="22"/>
                <w:szCs w:val="22"/>
              </w:rPr>
              <w:t>职称</w:t>
            </w:r>
          </w:p>
        </w:tc>
        <w:tc>
          <w:tcPr>
            <w:tcW w:w="1069" w:type="dxa"/>
            <w:vMerge w:val="restart"/>
            <w:vAlign w:val="center"/>
          </w:tcPr>
          <w:p w14:paraId="1521C852">
            <w:pPr>
              <w:keepNext w:val="0"/>
              <w:keepLines w:val="0"/>
              <w:suppressLineNumbers w:val="0"/>
              <w:spacing w:before="0" w:beforeAutospacing="0" w:after="0" w:afterAutospacing="0" w:line="500" w:lineRule="exact"/>
              <w:ind w:left="0" w:right="0"/>
              <w:jc w:val="center"/>
              <w:rPr>
                <w:rFonts w:hint="eastAsia" w:asciiTheme="minorEastAsia" w:hAnsiTheme="minorEastAsia" w:eastAsiaTheme="minorEastAsia"/>
                <w:sz w:val="22"/>
                <w:szCs w:val="22"/>
              </w:rPr>
            </w:pPr>
            <w:r>
              <w:rPr>
                <w:rFonts w:hint="eastAsia" w:asciiTheme="minorEastAsia" w:hAnsiTheme="minorEastAsia" w:eastAsiaTheme="minorEastAsia"/>
                <w:sz w:val="22"/>
                <w:szCs w:val="22"/>
              </w:rPr>
              <w:t>备注</w:t>
            </w:r>
          </w:p>
        </w:tc>
      </w:tr>
      <w:tr w14:paraId="3ECE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trPr>
        <w:tc>
          <w:tcPr>
            <w:tcW w:w="714" w:type="dxa"/>
            <w:vMerge w:val="continue"/>
          </w:tcPr>
          <w:p w14:paraId="68403AE0">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726" w:type="dxa"/>
            <w:vMerge w:val="continue"/>
          </w:tcPr>
          <w:p w14:paraId="031F859C">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vAlign w:val="center"/>
          </w:tcPr>
          <w:p w14:paraId="6B556A2A">
            <w:pPr>
              <w:keepNext w:val="0"/>
              <w:keepLines w:val="0"/>
              <w:suppressLineNumbers w:val="0"/>
              <w:spacing w:before="0" w:beforeAutospacing="0" w:after="0" w:afterAutospacing="0" w:line="500" w:lineRule="exact"/>
              <w:ind w:left="0" w:right="0"/>
              <w:jc w:val="center"/>
              <w:rPr>
                <w:rFonts w:hint="eastAsia" w:asciiTheme="minorEastAsia" w:hAnsiTheme="minorEastAsia" w:eastAsiaTheme="minorEastAsia"/>
                <w:sz w:val="22"/>
                <w:szCs w:val="22"/>
              </w:rPr>
            </w:pPr>
            <w:r>
              <w:rPr>
                <w:rFonts w:hint="eastAsia" w:asciiTheme="minorEastAsia" w:hAnsiTheme="minorEastAsia" w:eastAsiaTheme="minorEastAsia"/>
                <w:sz w:val="22"/>
                <w:szCs w:val="22"/>
              </w:rPr>
              <w:t>证书名称</w:t>
            </w:r>
          </w:p>
        </w:tc>
        <w:tc>
          <w:tcPr>
            <w:tcW w:w="1511" w:type="dxa"/>
            <w:gridSpan w:val="2"/>
            <w:vAlign w:val="center"/>
          </w:tcPr>
          <w:p w14:paraId="46D6CBD0">
            <w:pPr>
              <w:keepNext w:val="0"/>
              <w:keepLines w:val="0"/>
              <w:suppressLineNumbers w:val="0"/>
              <w:spacing w:before="0" w:beforeAutospacing="0" w:after="0" w:afterAutospacing="0" w:line="500" w:lineRule="exact"/>
              <w:ind w:left="0" w:right="0"/>
              <w:jc w:val="center"/>
              <w:rPr>
                <w:rFonts w:hint="eastAsia" w:asciiTheme="minorEastAsia" w:hAnsiTheme="minorEastAsia" w:eastAsiaTheme="minorEastAsia"/>
                <w:sz w:val="22"/>
                <w:szCs w:val="22"/>
              </w:rPr>
            </w:pPr>
            <w:r>
              <w:rPr>
                <w:rFonts w:hint="default" w:asciiTheme="minorEastAsia" w:hAnsiTheme="minorEastAsia" w:eastAsiaTheme="minorEastAsia"/>
                <w:sz w:val="22"/>
                <w:szCs w:val="22"/>
              </w:rPr>
              <w:t>证书编号</w:t>
            </w:r>
          </w:p>
        </w:tc>
        <w:tc>
          <w:tcPr>
            <w:tcW w:w="1511" w:type="dxa"/>
            <w:vAlign w:val="center"/>
          </w:tcPr>
          <w:p w14:paraId="3955D363">
            <w:pPr>
              <w:keepNext w:val="0"/>
              <w:keepLines w:val="0"/>
              <w:suppressLineNumbers w:val="0"/>
              <w:spacing w:before="0" w:beforeAutospacing="0" w:after="0" w:afterAutospacing="0" w:line="500" w:lineRule="exact"/>
              <w:ind w:left="0" w:right="0"/>
              <w:jc w:val="center"/>
              <w:rPr>
                <w:rFonts w:hint="eastAsia" w:asciiTheme="minorEastAsia" w:hAnsiTheme="minorEastAsia" w:eastAsiaTheme="minorEastAsia"/>
                <w:sz w:val="22"/>
                <w:szCs w:val="22"/>
              </w:rPr>
            </w:pPr>
            <w:r>
              <w:rPr>
                <w:rFonts w:hint="eastAsia" w:asciiTheme="minorEastAsia" w:hAnsiTheme="minorEastAsia" w:eastAsiaTheme="minorEastAsia"/>
                <w:sz w:val="22"/>
                <w:szCs w:val="22"/>
              </w:rPr>
              <w:t>证书名称</w:t>
            </w:r>
          </w:p>
        </w:tc>
        <w:tc>
          <w:tcPr>
            <w:tcW w:w="1512" w:type="dxa"/>
            <w:vAlign w:val="center"/>
          </w:tcPr>
          <w:p w14:paraId="2C9B5B3A">
            <w:pPr>
              <w:keepNext w:val="0"/>
              <w:keepLines w:val="0"/>
              <w:suppressLineNumbers w:val="0"/>
              <w:spacing w:before="0" w:beforeAutospacing="0" w:after="0" w:afterAutospacing="0" w:line="500" w:lineRule="exact"/>
              <w:ind w:left="0" w:right="0"/>
              <w:jc w:val="center"/>
              <w:rPr>
                <w:rFonts w:hint="eastAsia" w:asciiTheme="minorEastAsia" w:hAnsiTheme="minorEastAsia" w:eastAsiaTheme="minorEastAsia"/>
                <w:sz w:val="22"/>
                <w:szCs w:val="22"/>
              </w:rPr>
            </w:pPr>
            <w:r>
              <w:rPr>
                <w:rFonts w:hint="default" w:asciiTheme="minorEastAsia" w:hAnsiTheme="minorEastAsia" w:eastAsiaTheme="minorEastAsia"/>
                <w:sz w:val="22"/>
                <w:szCs w:val="22"/>
              </w:rPr>
              <w:t>证书编号</w:t>
            </w:r>
          </w:p>
        </w:tc>
        <w:tc>
          <w:tcPr>
            <w:tcW w:w="1069" w:type="dxa"/>
            <w:vMerge w:val="continue"/>
          </w:tcPr>
          <w:p w14:paraId="5F0786E0">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r>
      <w:tr w14:paraId="70E4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14" w:type="dxa"/>
          </w:tcPr>
          <w:p w14:paraId="07675997">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726" w:type="dxa"/>
          </w:tcPr>
          <w:p w14:paraId="22E4B1A6">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3A800532">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gridSpan w:val="2"/>
          </w:tcPr>
          <w:p w14:paraId="5C542B79">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2414B8C5">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2" w:type="dxa"/>
          </w:tcPr>
          <w:p w14:paraId="4A01220D">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olor w:val="000000"/>
                <w:sz w:val="22"/>
                <w:szCs w:val="22"/>
              </w:rPr>
            </w:pPr>
          </w:p>
        </w:tc>
        <w:tc>
          <w:tcPr>
            <w:tcW w:w="1069" w:type="dxa"/>
          </w:tcPr>
          <w:p w14:paraId="28842750">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r>
      <w:tr w14:paraId="7365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14" w:type="dxa"/>
          </w:tcPr>
          <w:p w14:paraId="1A3F46D8">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726" w:type="dxa"/>
          </w:tcPr>
          <w:p w14:paraId="088D9E85">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3C0703D2">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gridSpan w:val="2"/>
          </w:tcPr>
          <w:p w14:paraId="742A6F45">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1AFB9E0F">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2" w:type="dxa"/>
          </w:tcPr>
          <w:p w14:paraId="41EB5FD2">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069" w:type="dxa"/>
          </w:tcPr>
          <w:p w14:paraId="7DC7C1DE">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r>
      <w:tr w14:paraId="5FE4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14" w:type="dxa"/>
          </w:tcPr>
          <w:p w14:paraId="1402F2F6">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726" w:type="dxa"/>
          </w:tcPr>
          <w:p w14:paraId="502F8914">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4AAAA991">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gridSpan w:val="2"/>
          </w:tcPr>
          <w:p w14:paraId="10380FB2">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51BEE858">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2" w:type="dxa"/>
          </w:tcPr>
          <w:p w14:paraId="23E45927">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069" w:type="dxa"/>
          </w:tcPr>
          <w:p w14:paraId="0A3CF733">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r>
      <w:tr w14:paraId="5C80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14" w:type="dxa"/>
          </w:tcPr>
          <w:p w14:paraId="4E604083">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726" w:type="dxa"/>
          </w:tcPr>
          <w:p w14:paraId="5D97D3DB">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24A75279">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gridSpan w:val="2"/>
          </w:tcPr>
          <w:p w14:paraId="4213C499">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0B69F6DB">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2" w:type="dxa"/>
          </w:tcPr>
          <w:p w14:paraId="7B2FD7CB">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069" w:type="dxa"/>
          </w:tcPr>
          <w:p w14:paraId="75767556">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r>
      <w:tr w14:paraId="671A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14" w:type="dxa"/>
          </w:tcPr>
          <w:p w14:paraId="452FB470">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726" w:type="dxa"/>
          </w:tcPr>
          <w:p w14:paraId="5229F691">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2EE4F643">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gridSpan w:val="2"/>
          </w:tcPr>
          <w:p w14:paraId="20C83D29">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3CDF190C">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2" w:type="dxa"/>
          </w:tcPr>
          <w:p w14:paraId="55D0C251">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069" w:type="dxa"/>
          </w:tcPr>
          <w:p w14:paraId="44BB78EA">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r>
      <w:tr w14:paraId="6914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14" w:type="dxa"/>
          </w:tcPr>
          <w:p w14:paraId="7DDB7EDB">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726" w:type="dxa"/>
          </w:tcPr>
          <w:p w14:paraId="689E9463">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26AF8B7C">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gridSpan w:val="2"/>
          </w:tcPr>
          <w:p w14:paraId="3786CEA4">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1" w:type="dxa"/>
          </w:tcPr>
          <w:p w14:paraId="49B24511">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512" w:type="dxa"/>
          </w:tcPr>
          <w:p w14:paraId="57106EB2">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c>
          <w:tcPr>
            <w:tcW w:w="1069" w:type="dxa"/>
          </w:tcPr>
          <w:p w14:paraId="2C73947B">
            <w:pPr>
              <w:keepNext w:val="0"/>
              <w:keepLines w:val="0"/>
              <w:suppressLineNumbers w:val="0"/>
              <w:spacing w:before="0" w:beforeAutospacing="0" w:after="0" w:afterAutospacing="0" w:line="360" w:lineRule="auto"/>
              <w:ind w:left="376" w:leftChars="171" w:right="0"/>
              <w:rPr>
                <w:rFonts w:hint="eastAsia" w:asciiTheme="minorEastAsia" w:hAnsiTheme="minorEastAsia" w:eastAsiaTheme="minorEastAsia"/>
                <w:color w:val="000000"/>
                <w:sz w:val="22"/>
                <w:szCs w:val="22"/>
              </w:rPr>
            </w:pPr>
          </w:p>
        </w:tc>
      </w:tr>
    </w:tbl>
    <w:p w14:paraId="376AB301">
      <w:pPr>
        <w:spacing w:line="360" w:lineRule="auto"/>
        <w:ind w:firstLine="440" w:firstLineChars="200"/>
        <w:rPr>
          <w:rFonts w:hint="eastAsia" w:ascii="宋体" w:hAnsi="宋体"/>
          <w:sz w:val="22"/>
          <w:szCs w:val="22"/>
        </w:rPr>
      </w:pPr>
      <w:r>
        <w:rPr>
          <w:rFonts w:hint="eastAsia" w:ascii="宋体" w:hAnsi="宋体"/>
          <w:sz w:val="22"/>
          <w:szCs w:val="22"/>
          <w:lang w:val="en-US" w:eastAsia="zh-CN"/>
        </w:rPr>
        <w:t>注</w:t>
      </w:r>
      <w:r>
        <w:rPr>
          <w:rFonts w:hint="eastAsia" w:ascii="宋体" w:hAnsi="宋体"/>
          <w:sz w:val="22"/>
          <w:szCs w:val="22"/>
        </w:rPr>
        <w:t>：</w:t>
      </w:r>
    </w:p>
    <w:p w14:paraId="13621119">
      <w:pPr>
        <w:numPr>
          <w:ilvl w:val="0"/>
          <w:numId w:val="8"/>
        </w:numPr>
        <w:spacing w:line="360" w:lineRule="auto"/>
        <w:ind w:firstLine="440" w:firstLineChars="200"/>
        <w:rPr>
          <w:color w:val="FF0000"/>
          <w:sz w:val="18"/>
          <w:szCs w:val="18"/>
        </w:rPr>
      </w:pPr>
      <w:r>
        <w:rPr>
          <w:rFonts w:hint="eastAsia" w:ascii="宋体" w:hAnsi="宋体"/>
          <w:sz w:val="22"/>
          <w:szCs w:val="22"/>
        </w:rPr>
        <w:t>以上人员应附</w:t>
      </w:r>
      <w:r>
        <w:rPr>
          <w:rFonts w:hint="eastAsia" w:ascii="宋体" w:hAnsi="宋体"/>
          <w:i/>
          <w:iCs/>
          <w:sz w:val="22"/>
          <w:szCs w:val="22"/>
          <w:u w:val="single"/>
        </w:rPr>
        <w:t xml:space="preserve">                 </w:t>
      </w:r>
      <w:r>
        <w:rPr>
          <w:rFonts w:hint="eastAsia" w:ascii="宋体" w:hAnsi="宋体"/>
          <w:sz w:val="22"/>
          <w:szCs w:val="22"/>
        </w:rPr>
        <w:t>的扫描件</w:t>
      </w:r>
      <w:r>
        <w:rPr>
          <w:rFonts w:hint="eastAsia" w:ascii="宋体" w:hAnsi="宋体"/>
          <w:color w:val="FF0000"/>
          <w:sz w:val="18"/>
          <w:szCs w:val="18"/>
          <w:lang w:eastAsia="zh-CN"/>
        </w:rPr>
        <w:t>（</w:t>
      </w:r>
      <w:r>
        <w:rPr>
          <w:rFonts w:hint="eastAsia" w:ascii="Times New Roman" w:hAnsi="Times New Roman" w:eastAsia="仿宋"/>
          <w:color w:val="FF0000"/>
          <w:sz w:val="18"/>
          <w:szCs w:val="18"/>
          <w:highlight w:val="none"/>
        </w:rPr>
        <w:t>项目</w:t>
      </w:r>
      <w:r>
        <w:rPr>
          <w:rFonts w:hint="eastAsia" w:ascii="Times New Roman" w:hAnsi="Times New Roman" w:eastAsia="仿宋"/>
          <w:color w:val="FF0000"/>
          <w:sz w:val="18"/>
          <w:szCs w:val="18"/>
          <w:highlight w:val="none"/>
          <w:lang w:val="en-US" w:eastAsia="zh-CN"/>
        </w:rPr>
        <w:t>主要负责人</w:t>
      </w:r>
      <w:r>
        <w:rPr>
          <w:rFonts w:hint="eastAsia" w:ascii="Times New Roman" w:hAnsi="Times New Roman" w:eastAsia="仿宋"/>
          <w:color w:val="FF0000"/>
          <w:sz w:val="18"/>
          <w:szCs w:val="18"/>
          <w:highlight w:val="none"/>
        </w:rPr>
        <w:t>应附身份证、社保缴费证明和第二章投标人须知前附表1.4.1条规定的证书扫描件;其他人员应附身份证、社保缴费证明和第三章评标办法中规定的证书扫描件。</w:t>
      </w:r>
      <w:r>
        <w:rPr>
          <w:rFonts w:hint="eastAsia" w:ascii="宋体" w:hAnsi="宋体"/>
          <w:color w:val="FF0000"/>
          <w:sz w:val="18"/>
          <w:szCs w:val="18"/>
          <w:lang w:eastAsia="zh-CN"/>
        </w:rPr>
        <w:t>）</w:t>
      </w:r>
    </w:p>
    <w:p w14:paraId="2D133135">
      <w:pPr>
        <w:spacing w:line="360" w:lineRule="auto"/>
        <w:ind w:firstLine="440" w:firstLineChars="200"/>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）注册执业资格证明材料还须附建设行政主管部门查询页面网页截图。</w:t>
      </w:r>
    </w:p>
    <w:p w14:paraId="3436967E">
      <w:pPr>
        <w:spacing w:line="360" w:lineRule="auto"/>
        <w:ind w:firstLine="44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）所附材料如不实、属于弄虚作假，取消中标资格。</w:t>
      </w:r>
    </w:p>
    <w:p w14:paraId="357D1122">
      <w:pPr>
        <w:ind w:firstLine="44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）表中所有空格内容均须填写，如确实不须填写或无法填写，应在空格中填写“无”。</w:t>
      </w:r>
    </w:p>
    <w:p w14:paraId="32AC9962">
      <w:r>
        <w:br w:type="page"/>
      </w:r>
    </w:p>
    <w:p w14:paraId="31CC08E6">
      <w:pPr>
        <w:keepNext/>
        <w:keepLines/>
        <w:widowControl w:val="0"/>
        <w:spacing w:line="360" w:lineRule="auto"/>
        <w:ind w:left="376" w:leftChars="171"/>
        <w:jc w:val="center"/>
        <w:outlineLvl w:val="3"/>
        <w:rPr>
          <w:rFonts w:hint="eastAsia" w:ascii="宋体" w:hAnsi="宋体" w:eastAsia="宋体" w:cs="Times New Roman"/>
          <w:b/>
          <w:bCs/>
          <w:sz w:val="28"/>
          <w:szCs w:val="28"/>
          <w:lang w:val="zh-CN" w:eastAsia="zh-CN"/>
        </w:rPr>
      </w:pPr>
      <w:r>
        <w:rPr>
          <w:rFonts w:hint="eastAsia" w:ascii="宋体" w:hAnsi="宋体" w:eastAsia="宋体" w:cs="Times New Roman"/>
          <w:b/>
          <w:bCs/>
          <w:sz w:val="28"/>
          <w:szCs w:val="28"/>
          <w:lang w:val="zh-CN" w:eastAsia="zh-CN"/>
        </w:rPr>
        <w:t>（二）主要人员简历表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343"/>
        <w:gridCol w:w="1579"/>
        <w:gridCol w:w="1059"/>
        <w:gridCol w:w="875"/>
        <w:gridCol w:w="525"/>
        <w:gridCol w:w="1219"/>
        <w:gridCol w:w="709"/>
        <w:gridCol w:w="1738"/>
      </w:tblGrid>
      <w:tr w14:paraId="59BE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88" w:type="dxa"/>
            <w:gridSpan w:val="2"/>
            <w:vAlign w:val="center"/>
          </w:tcPr>
          <w:p w14:paraId="286E042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姓名</w:t>
            </w:r>
          </w:p>
        </w:tc>
        <w:tc>
          <w:tcPr>
            <w:tcW w:w="1579" w:type="dxa"/>
          </w:tcPr>
          <w:p w14:paraId="31A4B8F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059" w:type="dxa"/>
            <w:vAlign w:val="center"/>
          </w:tcPr>
          <w:p w14:paraId="21E6DAC7">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年龄</w:t>
            </w:r>
          </w:p>
        </w:tc>
        <w:tc>
          <w:tcPr>
            <w:tcW w:w="1400" w:type="dxa"/>
            <w:gridSpan w:val="2"/>
          </w:tcPr>
          <w:p w14:paraId="6E0BF45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928" w:type="dxa"/>
            <w:gridSpan w:val="2"/>
            <w:vMerge w:val="restart"/>
            <w:vAlign w:val="center"/>
          </w:tcPr>
          <w:p w14:paraId="091F3A6F">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拟在本合同任职</w:t>
            </w:r>
          </w:p>
        </w:tc>
        <w:tc>
          <w:tcPr>
            <w:tcW w:w="1738" w:type="dxa"/>
            <w:vMerge w:val="restart"/>
          </w:tcPr>
          <w:p w14:paraId="1731E0F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79C0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588" w:type="dxa"/>
            <w:gridSpan w:val="2"/>
            <w:vAlign w:val="center"/>
          </w:tcPr>
          <w:p w14:paraId="26C3D157">
            <w:pPr>
              <w:keepNext w:val="0"/>
              <w:keepLines w:val="0"/>
              <w:suppressLineNumbers w:val="0"/>
              <w:spacing w:before="0" w:beforeAutospacing="0" w:after="0" w:afterAutospacing="0" w:line="360" w:lineRule="auto"/>
              <w:ind w:left="376" w:leftChars="-29" w:right="0" w:hanging="440" w:hangingChars="2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专业技术职称</w:t>
            </w:r>
          </w:p>
        </w:tc>
        <w:tc>
          <w:tcPr>
            <w:tcW w:w="1579" w:type="dxa"/>
          </w:tcPr>
          <w:p w14:paraId="0E8AF93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059" w:type="dxa"/>
            <w:vAlign w:val="center"/>
          </w:tcPr>
          <w:p w14:paraId="22EC66D9">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职务</w:t>
            </w:r>
          </w:p>
        </w:tc>
        <w:tc>
          <w:tcPr>
            <w:tcW w:w="1400" w:type="dxa"/>
            <w:gridSpan w:val="2"/>
          </w:tcPr>
          <w:p w14:paraId="441BEC66">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928" w:type="dxa"/>
            <w:gridSpan w:val="2"/>
            <w:vMerge w:val="continue"/>
            <w:vAlign w:val="center"/>
          </w:tcPr>
          <w:p w14:paraId="3E1BC1F6">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p>
        </w:tc>
        <w:tc>
          <w:tcPr>
            <w:tcW w:w="1738" w:type="dxa"/>
            <w:vMerge w:val="continue"/>
          </w:tcPr>
          <w:p w14:paraId="14FD7C1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61A2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588" w:type="dxa"/>
            <w:gridSpan w:val="2"/>
            <w:vAlign w:val="center"/>
          </w:tcPr>
          <w:p w14:paraId="2EC5C0A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毕业学校</w:t>
            </w:r>
          </w:p>
        </w:tc>
        <w:tc>
          <w:tcPr>
            <w:tcW w:w="7704" w:type="dxa"/>
            <w:gridSpan w:val="7"/>
          </w:tcPr>
          <w:p w14:paraId="0DE9AEE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u w:val="single"/>
              </w:rPr>
              <w:t xml:space="preserve">         年毕业于                 学校                 专业</w:t>
            </w:r>
          </w:p>
        </w:tc>
      </w:tr>
      <w:tr w14:paraId="27A9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292" w:type="dxa"/>
            <w:gridSpan w:val="9"/>
          </w:tcPr>
          <w:p w14:paraId="5A8F9875">
            <w:pPr>
              <w:keepNext w:val="0"/>
              <w:keepLines w:val="0"/>
              <w:suppressLineNumbers w:val="0"/>
              <w:spacing w:before="0" w:beforeAutospacing="0" w:after="0" w:afterAutospacing="0" w:line="360" w:lineRule="auto"/>
              <w:ind w:left="376" w:leftChars="171" w:right="0" w:firstLine="4400" w:firstLineChars="200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主要工作经历</w:t>
            </w:r>
          </w:p>
        </w:tc>
      </w:tr>
      <w:tr w14:paraId="6ADF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245" w:type="dxa"/>
            <w:vAlign w:val="center"/>
          </w:tcPr>
          <w:p w14:paraId="3CC3A98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时间</w:t>
            </w:r>
          </w:p>
        </w:tc>
        <w:tc>
          <w:tcPr>
            <w:tcW w:w="3856" w:type="dxa"/>
            <w:gridSpan w:val="4"/>
            <w:vAlign w:val="center"/>
          </w:tcPr>
          <w:p w14:paraId="22939E7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参加过的类似项目</w:t>
            </w:r>
          </w:p>
        </w:tc>
        <w:tc>
          <w:tcPr>
            <w:tcW w:w="1744" w:type="dxa"/>
            <w:gridSpan w:val="2"/>
            <w:vAlign w:val="center"/>
          </w:tcPr>
          <w:p w14:paraId="0B5B69F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担任职务</w:t>
            </w:r>
          </w:p>
        </w:tc>
        <w:tc>
          <w:tcPr>
            <w:tcW w:w="2447" w:type="dxa"/>
            <w:gridSpan w:val="2"/>
            <w:vAlign w:val="center"/>
          </w:tcPr>
          <w:p w14:paraId="00B03E44">
            <w:pPr>
              <w:keepNext w:val="0"/>
              <w:keepLines w:val="0"/>
              <w:suppressLineNumbers w:val="0"/>
              <w:spacing w:before="0" w:beforeAutospacing="0" w:after="0" w:afterAutospacing="0" w:line="360" w:lineRule="auto"/>
              <w:ind w:left="376" w:leftChars="171"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发包人及联系电话</w:t>
            </w:r>
          </w:p>
        </w:tc>
      </w:tr>
      <w:tr w14:paraId="42CA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245" w:type="dxa"/>
          </w:tcPr>
          <w:p w14:paraId="032615B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2B79EF4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6C54E53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15F6C1C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066E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45" w:type="dxa"/>
          </w:tcPr>
          <w:p w14:paraId="29A96C5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55457D8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2831D1E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02F7D63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2182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245" w:type="dxa"/>
          </w:tcPr>
          <w:p w14:paraId="283C9AA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3E3ABCD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5471C8A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45F7596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2FD0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245" w:type="dxa"/>
          </w:tcPr>
          <w:p w14:paraId="4046208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7917CFAA">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344A488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786FF84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7FAD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245" w:type="dxa"/>
          </w:tcPr>
          <w:p w14:paraId="1993A4C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4131DBC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7763BB9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0F8199C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7A30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245" w:type="dxa"/>
          </w:tcPr>
          <w:p w14:paraId="002CF0C3">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17A8A36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3CA753F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083A64B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2A3A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45" w:type="dxa"/>
          </w:tcPr>
          <w:p w14:paraId="329F9DC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334F0D4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0BB0B9D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5DC382FB">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41EF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45" w:type="dxa"/>
          </w:tcPr>
          <w:p w14:paraId="43E77A6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0B7CB6C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38EA812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30F9CDE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7036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245" w:type="dxa"/>
          </w:tcPr>
          <w:p w14:paraId="41192888">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5D23E86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6116817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5BEC67CF">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304D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45" w:type="dxa"/>
          </w:tcPr>
          <w:p w14:paraId="7E6A9FEE">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739FB8E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1EE4634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1EF234D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6635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45" w:type="dxa"/>
          </w:tcPr>
          <w:p w14:paraId="3C52215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227F53FD">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24F07EC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415550B1">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79BA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45" w:type="dxa"/>
          </w:tcPr>
          <w:p w14:paraId="00A3D15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3856" w:type="dxa"/>
            <w:gridSpan w:val="4"/>
          </w:tcPr>
          <w:p w14:paraId="0E3AEC1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744" w:type="dxa"/>
            <w:gridSpan w:val="2"/>
          </w:tcPr>
          <w:p w14:paraId="05A10592">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2447" w:type="dxa"/>
            <w:gridSpan w:val="2"/>
          </w:tcPr>
          <w:p w14:paraId="306E344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bl>
    <w:p w14:paraId="1C84394E">
      <w:pPr>
        <w:widowControl/>
        <w:spacing w:line="240" w:lineRule="auto"/>
        <w:jc w:val="left"/>
        <w:rPr>
          <w:rFonts w:hint="eastAsia" w:ascii="宋体" w:hAnsi="宋体" w:eastAsia="宋体" w:cs="Times New Roman"/>
          <w:kern w:val="0"/>
          <w:sz w:val="22"/>
          <w:szCs w:val="22"/>
        </w:rPr>
      </w:pPr>
      <w:r>
        <w:rPr>
          <w:rFonts w:hint="eastAsia" w:ascii="宋体" w:hAnsi="宋体" w:eastAsia="宋体" w:cs="Times New Roman"/>
          <w:kern w:val="0"/>
          <w:sz w:val="22"/>
          <w:szCs w:val="22"/>
        </w:rPr>
        <w:t>注：</w:t>
      </w:r>
    </w:p>
    <w:p w14:paraId="369A827D">
      <w:pPr>
        <w:widowControl/>
        <w:spacing w:line="240" w:lineRule="auto"/>
        <w:jc w:val="left"/>
        <w:rPr>
          <w:rFonts w:hint="eastAsia" w:ascii="宋体" w:hAnsi="宋体" w:eastAsia="宋体" w:cs="Times New Roman"/>
          <w:kern w:val="0"/>
          <w:sz w:val="22"/>
          <w:szCs w:val="22"/>
        </w:rPr>
      </w:pPr>
      <w:r>
        <w:rPr>
          <w:rFonts w:hint="eastAsia" w:ascii="宋体" w:hAnsi="宋体" w:eastAsia="宋体" w:cs="Times New Roman"/>
          <w:kern w:val="0"/>
          <w:sz w:val="22"/>
          <w:szCs w:val="22"/>
        </w:rPr>
        <w:t>（1）项目经理、技术负责人应附身份证、社保缴费证明和第二章投标人须知前附表1.4.1条规定的证书扫描件；其他人员应附身份证、社保缴费证明和第三章评标办法中规定的证书扫描件。</w:t>
      </w:r>
    </w:p>
    <w:p w14:paraId="538983B2">
      <w:pPr>
        <w:widowControl/>
        <w:spacing w:line="240" w:lineRule="auto"/>
        <w:jc w:val="left"/>
        <w:rPr>
          <w:rFonts w:hint="eastAsia" w:ascii="宋体" w:hAnsi="宋体" w:eastAsia="宋体" w:cs="Times New Roman"/>
          <w:kern w:val="0"/>
          <w:sz w:val="22"/>
          <w:szCs w:val="22"/>
        </w:rPr>
      </w:pPr>
      <w:r>
        <w:rPr>
          <w:rFonts w:hint="eastAsia" w:ascii="宋体" w:hAnsi="宋体" w:eastAsia="宋体" w:cs="Times New Roman"/>
          <w:kern w:val="0"/>
          <w:sz w:val="22"/>
          <w:szCs w:val="22"/>
        </w:rPr>
        <w:t>（2）社保缴费证明是指，由社保部门出具的主要人员在该投标人单位最近6个月连续缴费证明，从招标文件开始下载时间的上一个月或上上个月起算，往前推6个月的连续、不间断的缴费证明，企业设立不足6个月的可少于6个月；退休人员提供退休证明材料，无需提供社保缴费证明；新聘人员提供至少1个月在该投标人单位的社保缴费证明并提供聘用合同。</w:t>
      </w:r>
    </w:p>
    <w:p w14:paraId="5ED7EE5C">
      <w:r>
        <w:rPr>
          <w:rFonts w:hint="eastAsia" w:ascii="宋体" w:hAnsi="宋体" w:eastAsia="宋体" w:cs="Times New Roman"/>
          <w:kern w:val="0"/>
          <w:sz w:val="22"/>
          <w:szCs w:val="22"/>
        </w:rPr>
        <w:t>（3）资格条件和评标办法中有其他要求的应按要求提供相关证明材料扫描件，未要求的可不提供。若要求项目经理业绩，则项目经理业绩以竣工验收报告中载明的项目经理为准。</w:t>
      </w:r>
      <w:r>
        <w:rPr>
          <w:rFonts w:hint="eastAsia" w:ascii="宋体" w:hAnsi="宋体" w:eastAsia="宋体" w:cs="Times New Roman"/>
          <w:kern w:val="0"/>
          <w:sz w:val="22"/>
          <w:szCs w:val="22"/>
        </w:rPr>
        <w:cr/>
      </w:r>
      <w:r>
        <w:rPr>
          <w:rFonts w:hint="eastAsia" w:ascii="宋体" w:hAnsi="宋体" w:eastAsia="宋体" w:cs="Times New Roman"/>
          <w:kern w:val="0"/>
          <w:sz w:val="22"/>
          <w:szCs w:val="22"/>
        </w:rPr>
        <w:t>（4）使用电子注册证书的，其电子证书的有效性应符合有关规定。</w:t>
      </w:r>
      <w:r>
        <w:br w:type="page"/>
      </w:r>
    </w:p>
    <w:p w14:paraId="378DD5FF">
      <w:pPr>
        <w:pStyle w:val="4"/>
        <w:numPr>
          <w:ilvl w:val="0"/>
          <w:numId w:val="5"/>
        </w:numPr>
        <w:jc w:val="center"/>
      </w:pPr>
      <w:r>
        <w:t>资格审查资料</w:t>
      </w:r>
    </w:p>
    <w:p w14:paraId="5D5A9132">
      <w:pPr>
        <w:pStyle w:val="10"/>
        <w:ind w:right="31" w:rightChars="14" w:hanging="4"/>
        <w:rPr>
          <w:sz w:val="22"/>
          <w:szCs w:val="22"/>
        </w:rPr>
      </w:pPr>
      <w:r>
        <w:rPr>
          <w:rFonts w:hint="eastAsia"/>
          <w:sz w:val="22"/>
          <w:szCs w:val="22"/>
        </w:rPr>
        <w:t>注：</w:t>
      </w:r>
    </w:p>
    <w:p w14:paraId="76812631">
      <w:pPr>
        <w:pStyle w:val="10"/>
        <w:ind w:right="31" w:rightChars="14" w:hanging="4"/>
        <w:rPr>
          <w:sz w:val="22"/>
          <w:szCs w:val="22"/>
        </w:rPr>
      </w:pPr>
      <w:r>
        <w:rPr>
          <w:rFonts w:hint="eastAsia"/>
          <w:sz w:val="22"/>
          <w:szCs w:val="22"/>
        </w:rPr>
        <w:t>（1）联合体投标的，“资格审查资料”规定的表格和资料应包括联合体各方相关情况，联合体的每一成员都应提供（明确不提供的除外）。</w:t>
      </w:r>
    </w:p>
    <w:p w14:paraId="53A32FBE">
      <w:pPr>
        <w:pStyle w:val="10"/>
        <w:ind w:right="31" w:rightChars="14" w:hanging="4"/>
        <w:rPr>
          <w:sz w:val="22"/>
          <w:szCs w:val="22"/>
        </w:rPr>
      </w:pPr>
      <w:r>
        <w:rPr>
          <w:rFonts w:hint="eastAsia"/>
          <w:sz w:val="22"/>
          <w:szCs w:val="22"/>
        </w:rPr>
        <w:t>（2）新成立企业不满足招标人年度要求的，投标人只提供成立后相应年度的资料。</w:t>
      </w:r>
    </w:p>
    <w:p w14:paraId="58458328">
      <w:pPr>
        <w:rPr>
          <w:rFonts w:hint="eastAsia"/>
          <w:b/>
          <w:bCs/>
        </w:rPr>
      </w:pPr>
      <w:r>
        <w:rPr>
          <w:rFonts w:hint="eastAsia"/>
          <w:b/>
          <w:bCs/>
        </w:rPr>
        <w:br w:type="page"/>
      </w:r>
    </w:p>
    <w:p w14:paraId="4E3F3471">
      <w:pPr>
        <w:pStyle w:val="5"/>
        <w:jc w:val="center"/>
        <w:rPr>
          <w:b/>
          <w:bCs/>
        </w:rPr>
      </w:pPr>
      <w:r>
        <w:rPr>
          <w:rFonts w:hint="eastAsia"/>
          <w:b/>
          <w:bCs/>
        </w:rPr>
        <w:t>（一）</w:t>
      </w:r>
      <w:r>
        <w:rPr>
          <w:b/>
          <w:bCs/>
        </w:rPr>
        <w:t>投标人基本情况表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186"/>
        <w:gridCol w:w="1544"/>
        <w:gridCol w:w="1581"/>
        <w:gridCol w:w="1116"/>
        <w:gridCol w:w="709"/>
        <w:gridCol w:w="1371"/>
      </w:tblGrid>
      <w:tr w14:paraId="5F5B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85" w:type="dxa"/>
            <w:vAlign w:val="center"/>
          </w:tcPr>
          <w:p w14:paraId="6D751DDF">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单位</w:t>
            </w:r>
            <w:r>
              <w:rPr>
                <w:rFonts w:hint="default" w:ascii="宋体" w:hAnsi="宋体" w:eastAsia="宋体" w:cs="Times New Roman"/>
                <w:kern w:val="0"/>
                <w:sz w:val="22"/>
                <w:szCs w:val="22"/>
              </w:rPr>
              <w:t>名称</w:t>
            </w:r>
          </w:p>
        </w:tc>
        <w:tc>
          <w:tcPr>
            <w:tcW w:w="7507" w:type="dxa"/>
            <w:gridSpan w:val="6"/>
          </w:tcPr>
          <w:p w14:paraId="7C00A5A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158A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85" w:type="dxa"/>
            <w:vAlign w:val="center"/>
          </w:tcPr>
          <w:p w14:paraId="08C311CC">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注册地址</w:t>
            </w:r>
          </w:p>
        </w:tc>
        <w:tc>
          <w:tcPr>
            <w:tcW w:w="4311" w:type="dxa"/>
            <w:gridSpan w:val="3"/>
            <w:vAlign w:val="center"/>
          </w:tcPr>
          <w:p w14:paraId="2B366E09">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116" w:type="dxa"/>
            <w:vAlign w:val="center"/>
          </w:tcPr>
          <w:p w14:paraId="2710DD51">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邮政编码</w:t>
            </w:r>
          </w:p>
        </w:tc>
        <w:tc>
          <w:tcPr>
            <w:tcW w:w="2080" w:type="dxa"/>
            <w:gridSpan w:val="2"/>
            <w:vAlign w:val="center"/>
          </w:tcPr>
          <w:p w14:paraId="7C0BF68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4F3D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785" w:type="dxa"/>
            <w:vMerge w:val="restart"/>
            <w:vAlign w:val="center"/>
          </w:tcPr>
          <w:p w14:paraId="143BE953">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联系方式</w:t>
            </w:r>
          </w:p>
        </w:tc>
        <w:tc>
          <w:tcPr>
            <w:tcW w:w="1186" w:type="dxa"/>
            <w:vAlign w:val="center"/>
          </w:tcPr>
          <w:p w14:paraId="565E56B3">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联系人</w:t>
            </w:r>
          </w:p>
        </w:tc>
        <w:tc>
          <w:tcPr>
            <w:tcW w:w="3125" w:type="dxa"/>
            <w:gridSpan w:val="2"/>
            <w:vAlign w:val="center"/>
          </w:tcPr>
          <w:p w14:paraId="5792DE1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116" w:type="dxa"/>
            <w:vAlign w:val="center"/>
          </w:tcPr>
          <w:p w14:paraId="3665BB74">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电话</w:t>
            </w:r>
          </w:p>
        </w:tc>
        <w:tc>
          <w:tcPr>
            <w:tcW w:w="2080" w:type="dxa"/>
            <w:gridSpan w:val="2"/>
            <w:vAlign w:val="center"/>
          </w:tcPr>
          <w:p w14:paraId="16A9B42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3610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785" w:type="dxa"/>
            <w:vMerge w:val="continue"/>
            <w:vAlign w:val="center"/>
          </w:tcPr>
          <w:p w14:paraId="63D0438C">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186" w:type="dxa"/>
            <w:vAlign w:val="center"/>
          </w:tcPr>
          <w:p w14:paraId="02628676">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传真</w:t>
            </w:r>
          </w:p>
        </w:tc>
        <w:tc>
          <w:tcPr>
            <w:tcW w:w="3125" w:type="dxa"/>
            <w:gridSpan w:val="2"/>
            <w:vAlign w:val="center"/>
          </w:tcPr>
          <w:p w14:paraId="33875785">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c>
          <w:tcPr>
            <w:tcW w:w="1116" w:type="dxa"/>
            <w:vAlign w:val="center"/>
          </w:tcPr>
          <w:p w14:paraId="35F4AF35">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邮箱</w:t>
            </w:r>
          </w:p>
        </w:tc>
        <w:tc>
          <w:tcPr>
            <w:tcW w:w="2080" w:type="dxa"/>
            <w:gridSpan w:val="2"/>
            <w:vAlign w:val="center"/>
          </w:tcPr>
          <w:p w14:paraId="02848BF4">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0C68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785" w:type="dxa"/>
            <w:vAlign w:val="center"/>
          </w:tcPr>
          <w:p w14:paraId="3EAD2F6A">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法定代表人</w:t>
            </w:r>
          </w:p>
        </w:tc>
        <w:tc>
          <w:tcPr>
            <w:tcW w:w="1186" w:type="dxa"/>
            <w:vAlign w:val="center"/>
          </w:tcPr>
          <w:p w14:paraId="74E93E18">
            <w:pPr>
              <w:keepNext w:val="0"/>
              <w:keepLines w:val="0"/>
              <w:suppressLineNumbers w:val="0"/>
              <w:spacing w:before="0" w:beforeAutospacing="0" w:after="0" w:afterAutospacing="0" w:line="36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姓名</w:t>
            </w:r>
          </w:p>
        </w:tc>
        <w:tc>
          <w:tcPr>
            <w:tcW w:w="1544" w:type="dxa"/>
            <w:vAlign w:val="center"/>
          </w:tcPr>
          <w:p w14:paraId="0A69E675">
            <w:pPr>
              <w:keepNext w:val="0"/>
              <w:keepLines w:val="0"/>
              <w:suppressLineNumbers w:val="0"/>
              <w:spacing w:before="0" w:beforeAutospacing="0" w:after="0" w:afterAutospacing="0" w:line="360" w:lineRule="auto"/>
              <w:ind w:left="376" w:leftChars="171" w:right="0"/>
              <w:jc w:val="center"/>
              <w:rPr>
                <w:rFonts w:hint="eastAsia" w:ascii="宋体" w:hAnsi="宋体" w:eastAsia="宋体" w:cs="Times New Roman"/>
                <w:kern w:val="0"/>
                <w:sz w:val="22"/>
                <w:szCs w:val="22"/>
              </w:rPr>
            </w:pPr>
          </w:p>
        </w:tc>
        <w:tc>
          <w:tcPr>
            <w:tcW w:w="1581" w:type="dxa"/>
            <w:vAlign w:val="center"/>
          </w:tcPr>
          <w:p w14:paraId="2A198E8B">
            <w:pPr>
              <w:keepNext w:val="0"/>
              <w:keepLines w:val="0"/>
              <w:suppressLineNumbers w:val="0"/>
              <w:spacing w:before="0" w:beforeAutospacing="0" w:after="0" w:afterAutospacing="0" w:line="36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专业技术职称</w:t>
            </w:r>
          </w:p>
        </w:tc>
        <w:tc>
          <w:tcPr>
            <w:tcW w:w="1116" w:type="dxa"/>
            <w:vAlign w:val="center"/>
          </w:tcPr>
          <w:p w14:paraId="4F5DA786">
            <w:pPr>
              <w:keepNext w:val="0"/>
              <w:keepLines w:val="0"/>
              <w:suppressLineNumbers w:val="0"/>
              <w:spacing w:before="0" w:beforeAutospacing="0" w:after="0" w:afterAutospacing="0" w:line="360" w:lineRule="auto"/>
              <w:ind w:left="376" w:leftChars="171" w:right="0"/>
              <w:jc w:val="center"/>
              <w:rPr>
                <w:rFonts w:hint="eastAsia" w:ascii="宋体" w:hAnsi="宋体" w:eastAsia="宋体" w:cs="Times New Roman"/>
                <w:kern w:val="0"/>
                <w:sz w:val="22"/>
                <w:szCs w:val="22"/>
              </w:rPr>
            </w:pPr>
          </w:p>
        </w:tc>
        <w:tc>
          <w:tcPr>
            <w:tcW w:w="709" w:type="dxa"/>
            <w:vAlign w:val="center"/>
          </w:tcPr>
          <w:p w14:paraId="3E2E19DE">
            <w:pPr>
              <w:keepNext w:val="0"/>
              <w:keepLines w:val="0"/>
              <w:suppressLineNumbers w:val="0"/>
              <w:spacing w:before="0" w:beforeAutospacing="0" w:after="0" w:afterAutospacing="0" w:line="36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电话</w:t>
            </w:r>
          </w:p>
        </w:tc>
        <w:tc>
          <w:tcPr>
            <w:tcW w:w="1371" w:type="dxa"/>
          </w:tcPr>
          <w:p w14:paraId="4BE07E37">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529F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785" w:type="dxa"/>
            <w:vAlign w:val="center"/>
          </w:tcPr>
          <w:p w14:paraId="659BC457">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技术负责人</w:t>
            </w:r>
          </w:p>
        </w:tc>
        <w:tc>
          <w:tcPr>
            <w:tcW w:w="1186" w:type="dxa"/>
            <w:vAlign w:val="center"/>
          </w:tcPr>
          <w:p w14:paraId="50969F3B">
            <w:pPr>
              <w:keepNext w:val="0"/>
              <w:keepLines w:val="0"/>
              <w:suppressLineNumbers w:val="0"/>
              <w:spacing w:before="0" w:beforeAutospacing="0" w:after="0" w:afterAutospacing="0" w:line="36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姓名</w:t>
            </w:r>
          </w:p>
        </w:tc>
        <w:tc>
          <w:tcPr>
            <w:tcW w:w="1544" w:type="dxa"/>
            <w:vAlign w:val="center"/>
          </w:tcPr>
          <w:p w14:paraId="34D466BD">
            <w:pPr>
              <w:keepNext w:val="0"/>
              <w:keepLines w:val="0"/>
              <w:suppressLineNumbers w:val="0"/>
              <w:spacing w:before="0" w:beforeAutospacing="0" w:after="0" w:afterAutospacing="0" w:line="360" w:lineRule="auto"/>
              <w:ind w:left="376" w:leftChars="171" w:right="0"/>
              <w:jc w:val="center"/>
              <w:rPr>
                <w:rFonts w:hint="eastAsia" w:ascii="宋体" w:hAnsi="宋体" w:eastAsia="宋体" w:cs="Times New Roman"/>
                <w:kern w:val="0"/>
                <w:sz w:val="22"/>
                <w:szCs w:val="22"/>
              </w:rPr>
            </w:pPr>
          </w:p>
        </w:tc>
        <w:tc>
          <w:tcPr>
            <w:tcW w:w="1581" w:type="dxa"/>
            <w:vAlign w:val="center"/>
          </w:tcPr>
          <w:p w14:paraId="7ED22808">
            <w:pPr>
              <w:keepNext w:val="0"/>
              <w:keepLines w:val="0"/>
              <w:suppressLineNumbers w:val="0"/>
              <w:spacing w:before="0" w:beforeAutospacing="0" w:after="0" w:afterAutospacing="0" w:line="36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专业技术职称</w:t>
            </w:r>
          </w:p>
        </w:tc>
        <w:tc>
          <w:tcPr>
            <w:tcW w:w="1116" w:type="dxa"/>
            <w:vAlign w:val="center"/>
          </w:tcPr>
          <w:p w14:paraId="022ACA9B">
            <w:pPr>
              <w:keepNext w:val="0"/>
              <w:keepLines w:val="0"/>
              <w:suppressLineNumbers w:val="0"/>
              <w:spacing w:before="0" w:beforeAutospacing="0" w:after="0" w:afterAutospacing="0" w:line="360" w:lineRule="auto"/>
              <w:ind w:left="376" w:leftChars="171" w:right="0"/>
              <w:jc w:val="center"/>
              <w:rPr>
                <w:rFonts w:hint="eastAsia" w:ascii="宋体" w:hAnsi="宋体" w:eastAsia="宋体" w:cs="Times New Roman"/>
                <w:kern w:val="0"/>
                <w:sz w:val="22"/>
                <w:szCs w:val="22"/>
              </w:rPr>
            </w:pPr>
          </w:p>
        </w:tc>
        <w:tc>
          <w:tcPr>
            <w:tcW w:w="709" w:type="dxa"/>
            <w:vAlign w:val="center"/>
          </w:tcPr>
          <w:p w14:paraId="0F53AC2E">
            <w:pPr>
              <w:keepNext w:val="0"/>
              <w:keepLines w:val="0"/>
              <w:suppressLineNumbers w:val="0"/>
              <w:spacing w:before="0" w:beforeAutospacing="0" w:after="0" w:afterAutospacing="0" w:line="360" w:lineRule="auto"/>
              <w:ind w:left="0" w:right="0"/>
              <w:jc w:val="center"/>
              <w:rPr>
                <w:rFonts w:hint="eastAsia" w:ascii="宋体" w:hAnsi="宋体" w:eastAsia="宋体" w:cs="Times New Roman"/>
                <w:kern w:val="0"/>
                <w:sz w:val="22"/>
                <w:szCs w:val="22"/>
              </w:rPr>
            </w:pPr>
            <w:r>
              <w:rPr>
                <w:rFonts w:hint="eastAsia" w:ascii="宋体" w:hAnsi="宋体" w:eastAsia="宋体" w:cs="Times New Roman"/>
                <w:kern w:val="0"/>
                <w:sz w:val="22"/>
                <w:szCs w:val="22"/>
              </w:rPr>
              <w:t>电话</w:t>
            </w:r>
          </w:p>
        </w:tc>
        <w:tc>
          <w:tcPr>
            <w:tcW w:w="1371" w:type="dxa"/>
          </w:tcPr>
          <w:p w14:paraId="3A68EE70">
            <w:pPr>
              <w:keepNext w:val="0"/>
              <w:keepLines w:val="0"/>
              <w:suppressLineNumbers w:val="0"/>
              <w:spacing w:before="0" w:beforeAutospacing="0" w:after="0" w:afterAutospacing="0" w:line="360" w:lineRule="auto"/>
              <w:ind w:left="376" w:leftChars="171" w:right="0"/>
              <w:jc w:val="both"/>
              <w:rPr>
                <w:rFonts w:hint="eastAsia" w:ascii="宋体" w:hAnsi="宋体" w:eastAsia="宋体" w:cs="Times New Roman"/>
                <w:kern w:val="0"/>
                <w:sz w:val="22"/>
                <w:szCs w:val="22"/>
              </w:rPr>
            </w:pPr>
          </w:p>
        </w:tc>
      </w:tr>
      <w:tr w14:paraId="3DD9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28A1BEF9">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成立时间</w:t>
            </w:r>
          </w:p>
        </w:tc>
        <w:tc>
          <w:tcPr>
            <w:tcW w:w="7507" w:type="dxa"/>
            <w:gridSpan w:val="6"/>
          </w:tcPr>
          <w:p w14:paraId="50576E53">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p>
        </w:tc>
      </w:tr>
      <w:tr w14:paraId="04C6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7A59AB68">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企业资质等级</w:t>
            </w:r>
          </w:p>
        </w:tc>
        <w:tc>
          <w:tcPr>
            <w:tcW w:w="7507" w:type="dxa"/>
            <w:gridSpan w:val="6"/>
          </w:tcPr>
          <w:p w14:paraId="1DFF6883">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p>
        </w:tc>
      </w:tr>
      <w:tr w14:paraId="0D68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85" w:type="dxa"/>
            <w:vAlign w:val="center"/>
          </w:tcPr>
          <w:p w14:paraId="28053ACA">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营业执照号【或统一社会信用代码】</w:t>
            </w:r>
          </w:p>
        </w:tc>
        <w:tc>
          <w:tcPr>
            <w:tcW w:w="7507" w:type="dxa"/>
            <w:gridSpan w:val="6"/>
          </w:tcPr>
          <w:p w14:paraId="051E68D2">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p>
        </w:tc>
      </w:tr>
      <w:tr w14:paraId="3CCA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85" w:type="dxa"/>
            <w:vAlign w:val="center"/>
          </w:tcPr>
          <w:p w14:paraId="5973D866">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注册资金</w:t>
            </w:r>
          </w:p>
        </w:tc>
        <w:tc>
          <w:tcPr>
            <w:tcW w:w="7507" w:type="dxa"/>
            <w:gridSpan w:val="6"/>
          </w:tcPr>
          <w:p w14:paraId="224D37E7">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p>
        </w:tc>
      </w:tr>
      <w:tr w14:paraId="7FA2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785" w:type="dxa"/>
            <w:vAlign w:val="center"/>
          </w:tcPr>
          <w:p w14:paraId="09A2A720">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开户银行及账号</w:t>
            </w:r>
          </w:p>
        </w:tc>
        <w:tc>
          <w:tcPr>
            <w:tcW w:w="7507" w:type="dxa"/>
            <w:gridSpan w:val="6"/>
          </w:tcPr>
          <w:p w14:paraId="0CF9F176">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p>
        </w:tc>
      </w:tr>
      <w:tr w14:paraId="2991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785" w:type="dxa"/>
            <w:vAlign w:val="center"/>
          </w:tcPr>
          <w:p w14:paraId="671E5B7D">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经营范围</w:t>
            </w:r>
          </w:p>
        </w:tc>
        <w:tc>
          <w:tcPr>
            <w:tcW w:w="7507" w:type="dxa"/>
            <w:gridSpan w:val="6"/>
          </w:tcPr>
          <w:p w14:paraId="0391CAF6">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05FC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785" w:type="dxa"/>
            <w:vAlign w:val="center"/>
          </w:tcPr>
          <w:p w14:paraId="282B8C20">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与投标人的单位负责人为同一人的单位</w:t>
            </w:r>
          </w:p>
        </w:tc>
        <w:tc>
          <w:tcPr>
            <w:tcW w:w="7507" w:type="dxa"/>
            <w:gridSpan w:val="6"/>
          </w:tcPr>
          <w:p w14:paraId="5ECF3648">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70A6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785" w:type="dxa"/>
            <w:vAlign w:val="center"/>
          </w:tcPr>
          <w:p w14:paraId="00C37BB0">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与投标人存在控股关系的单位</w:t>
            </w:r>
          </w:p>
        </w:tc>
        <w:tc>
          <w:tcPr>
            <w:tcW w:w="7507" w:type="dxa"/>
            <w:gridSpan w:val="6"/>
          </w:tcPr>
          <w:p w14:paraId="631A90C1">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5F2F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785" w:type="dxa"/>
            <w:vAlign w:val="center"/>
          </w:tcPr>
          <w:p w14:paraId="0A2729EB">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与投标人存在管理关系的单位</w:t>
            </w:r>
          </w:p>
        </w:tc>
        <w:tc>
          <w:tcPr>
            <w:tcW w:w="7507" w:type="dxa"/>
            <w:gridSpan w:val="6"/>
          </w:tcPr>
          <w:p w14:paraId="540EEF09">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r w14:paraId="05FD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785" w:type="dxa"/>
            <w:vAlign w:val="center"/>
          </w:tcPr>
          <w:p w14:paraId="47CE9C4D">
            <w:pPr>
              <w:keepNext w:val="0"/>
              <w:keepLines w:val="0"/>
              <w:suppressLineNumbers w:val="0"/>
              <w:spacing w:before="0" w:beforeAutospacing="0" w:after="0" w:afterAutospacing="0" w:line="360" w:lineRule="auto"/>
              <w:ind w:left="0" w:right="0"/>
              <w:jc w:val="both"/>
              <w:rPr>
                <w:rFonts w:hint="eastAsia" w:ascii="宋体" w:hAnsi="宋体" w:eastAsia="宋体" w:cs="Times New Roman"/>
                <w:kern w:val="0"/>
                <w:sz w:val="22"/>
                <w:szCs w:val="22"/>
              </w:rPr>
            </w:pPr>
            <w:r>
              <w:rPr>
                <w:rFonts w:hint="eastAsia" w:ascii="宋体" w:hAnsi="宋体" w:eastAsia="宋体" w:cs="Times New Roman"/>
                <w:kern w:val="0"/>
                <w:sz w:val="22"/>
                <w:szCs w:val="22"/>
              </w:rPr>
              <w:t>备注</w:t>
            </w:r>
          </w:p>
        </w:tc>
        <w:tc>
          <w:tcPr>
            <w:tcW w:w="7507" w:type="dxa"/>
            <w:gridSpan w:val="6"/>
          </w:tcPr>
          <w:p w14:paraId="4F45C177">
            <w:pPr>
              <w:keepNext w:val="0"/>
              <w:keepLines w:val="0"/>
              <w:suppressLineNumbers w:val="0"/>
              <w:spacing w:before="0" w:beforeAutospacing="0" w:after="0" w:afterAutospacing="0" w:line="360" w:lineRule="auto"/>
              <w:ind w:left="376" w:leftChars="171" w:right="0" w:firstLine="440" w:firstLineChars="200"/>
              <w:jc w:val="both"/>
              <w:rPr>
                <w:rFonts w:hint="eastAsia" w:ascii="宋体" w:hAnsi="宋体" w:eastAsia="宋体" w:cs="Times New Roman"/>
                <w:kern w:val="0"/>
                <w:sz w:val="22"/>
                <w:szCs w:val="22"/>
              </w:rPr>
            </w:pPr>
          </w:p>
        </w:tc>
      </w:tr>
    </w:tbl>
    <w:p w14:paraId="34F63A42">
      <w:pPr>
        <w:pStyle w:val="12"/>
        <w:bidi w:val="0"/>
      </w:pPr>
      <w:r>
        <w:rPr>
          <w:rFonts w:hint="eastAsia"/>
        </w:rPr>
        <w:t>注：1、投标人（或联合体各成员）应填写此表；</w:t>
      </w:r>
    </w:p>
    <w:p w14:paraId="5EC00231">
      <w:pPr>
        <w:pStyle w:val="12"/>
        <w:bidi w:val="0"/>
      </w:pPr>
      <w:r>
        <w:rPr>
          <w:rFonts w:hint="eastAsia"/>
        </w:rPr>
        <w:t>2、本表后应附投标人（或联合体各成员）企业营业执照副本、资质证书副本、安全生产许可证副本（依法不需要提供的除外），以上资料均需提供扫描件放入电子投标文件。</w:t>
      </w:r>
    </w:p>
    <w:p w14:paraId="5172C40F">
      <w:pPr>
        <w:pStyle w:val="12"/>
        <w:bidi w:val="0"/>
      </w:pPr>
      <w:r>
        <w:rPr>
          <w:rFonts w:hint="eastAsia"/>
        </w:rPr>
        <w:t>3、《国务院关于批转发展改革委等部门法人和其他组织统一社会信用 代码制度建设总体方案的通知》（国发〔2015〕33 号）、《工商总局等五部门关于贯彻落实&lt;国 务院办公厅关于加快推进“五证合一”登记制度改革的意见&gt;的通知》（工商企注字〔2016〕150号）等规定，统一代码设计为18位。在规定的过渡期内，未转换的旧登记证（照）没有统一社会信用代码的，填写原营业执照号码。</w:t>
      </w:r>
    </w:p>
    <w:p w14:paraId="2260C73F">
      <w:r>
        <w:br w:type="page"/>
      </w:r>
    </w:p>
    <w:p w14:paraId="047F417F">
      <w:pPr>
        <w:pStyle w:val="5"/>
        <w:numPr>
          <w:ilvl w:val="-1"/>
          <w:numId w:val="0"/>
        </w:numPr>
        <w:ind w:left="0" w:leftChars="0" w:firstLine="0"/>
        <w:jc w:val="center"/>
        <w:rPr>
          <w:rFonts w:ascii="宋体" w:hAnsi="宋体" w:eastAsia="宋体" w:cstheme="minorBidi"/>
          <w:b/>
          <w:bCs/>
        </w:rPr>
      </w:pPr>
      <w:r>
        <w:rPr>
          <w:rFonts w:hint="default" w:ascii="宋体" w:hAnsi="宋体" w:eastAsia="宋体" w:cstheme="minorBidi"/>
          <w:b/>
          <w:bCs/>
        </w:rPr>
        <w:t>（二）</w:t>
      </w:r>
      <w:r>
        <w:rPr>
          <w:rFonts w:hint="default" w:ascii="宋体" w:hAnsi="宋体" w:eastAsia="宋体" w:cstheme="minorBidi"/>
          <w:b/>
          <w:bCs/>
          <w:spacing w:val="0"/>
        </w:rPr>
        <w:t>近</w:t>
      </w:r>
      <w:r>
        <w:rPr>
          <w:rFonts w:hint="default" w:ascii="宋体" w:hAnsi="宋体" w:eastAsia="宋体" w:cstheme="minorBidi"/>
          <w:b/>
          <w:bCs/>
        </w:rPr>
        <w:t>年财</w:t>
      </w:r>
      <w:r>
        <w:rPr>
          <w:rFonts w:hint="default" w:ascii="宋体" w:hAnsi="宋体" w:eastAsia="宋体" w:cstheme="minorBidi"/>
          <w:b/>
          <w:bCs/>
          <w:spacing w:val="0"/>
        </w:rPr>
        <w:t>务状</w:t>
      </w:r>
      <w:r>
        <w:rPr>
          <w:rFonts w:hint="default" w:ascii="宋体" w:hAnsi="宋体" w:eastAsia="宋体" w:cstheme="minorBidi"/>
          <w:b/>
          <w:bCs/>
        </w:rPr>
        <w:t>况表</w:t>
      </w:r>
    </w:p>
    <w:p w14:paraId="21006128">
      <w:pPr>
        <w:spacing w:before="4" w:line="360" w:lineRule="auto"/>
        <w:rPr>
          <w:rFonts w:ascii="宋体" w:hAnsi="宋体" w:cs="宋体"/>
          <w:sz w:val="17"/>
          <w:szCs w:val="17"/>
        </w:rPr>
      </w:pPr>
    </w:p>
    <w:p w14:paraId="5729A782">
      <w:pPr>
        <w:widowControl/>
        <w:spacing w:line="360" w:lineRule="auto"/>
        <w:ind w:firstLine="440" w:firstLineChars="200"/>
        <w:jc w:val="left"/>
        <w:rPr>
          <w:rFonts w:ascii="宋体" w:hAnsi="宋体" w:cs="宋体"/>
          <w:szCs w:val="21"/>
        </w:rPr>
      </w:pPr>
      <w:r>
        <w:rPr>
          <w:rFonts w:hint="eastAsia" w:ascii="宋体" w:hAnsi="宋体" w:cs="宋体"/>
          <w:szCs w:val="21"/>
        </w:rPr>
        <w:t>注：（1）投标人应按照第二章“投标人须知”3.5.2提供相应年份的财务状况表扫描件，可以不含财务情况说明书。</w:t>
      </w:r>
    </w:p>
    <w:p w14:paraId="116F454D">
      <w:pPr>
        <w:widowControl/>
        <w:spacing w:line="360" w:lineRule="auto"/>
        <w:ind w:firstLine="440" w:firstLineChars="200"/>
        <w:jc w:val="left"/>
        <w:rPr>
          <w:rFonts w:hint="eastAsia" w:ascii="宋体" w:hAnsi="宋体" w:cs="宋体"/>
          <w:szCs w:val="21"/>
        </w:rPr>
      </w:pPr>
      <w:r>
        <w:rPr>
          <w:rFonts w:hint="eastAsia" w:ascii="宋体" w:hAnsi="宋体" w:cs="宋体"/>
          <w:szCs w:val="21"/>
        </w:rPr>
        <w:t>“近年财务状况表”分两种情况。例：招标文件开始下载的时间在6月1日以前的，若投标人须知前附表规定为“近3年”，“近3年”是指当年之前的3个年度或当年的上一年之前的3个年度。如某项目招标，招标文件开始下载的时间是202</w:t>
      </w:r>
      <w:r>
        <w:rPr>
          <w:rFonts w:hint="eastAsia" w:ascii="宋体" w:hAnsi="宋体" w:cs="宋体"/>
          <w:szCs w:val="21"/>
          <w:lang w:val="en-US" w:eastAsia="zh-CN"/>
        </w:rPr>
        <w:t>6</w:t>
      </w:r>
      <w:r>
        <w:rPr>
          <w:rFonts w:hint="eastAsia" w:ascii="宋体" w:hAnsi="宋体" w:cs="宋体"/>
          <w:szCs w:val="21"/>
        </w:rPr>
        <w:t>年5月1日，“近年财务状况表”是指20</w:t>
      </w:r>
      <w:r>
        <w:rPr>
          <w:rFonts w:hint="eastAsia" w:ascii="宋体" w:hAnsi="宋体" w:cs="宋体"/>
          <w:szCs w:val="21"/>
          <w:lang w:val="en-US" w:eastAsia="zh-CN"/>
        </w:rPr>
        <w:t>22</w:t>
      </w:r>
      <w:r>
        <w:rPr>
          <w:rFonts w:hint="eastAsia" w:ascii="宋体" w:hAnsi="宋体" w:cs="宋体"/>
          <w:szCs w:val="21"/>
        </w:rPr>
        <w:t>年、20</w:t>
      </w:r>
      <w:r>
        <w:rPr>
          <w:rFonts w:hint="eastAsia" w:ascii="宋体" w:hAnsi="宋体" w:cs="宋体"/>
          <w:szCs w:val="21"/>
          <w:lang w:val="en-US" w:eastAsia="zh-CN"/>
        </w:rPr>
        <w:t>23</w:t>
      </w:r>
      <w:r>
        <w:rPr>
          <w:rFonts w:hint="eastAsia" w:ascii="宋体" w:hAnsi="宋体" w:cs="宋体"/>
          <w:szCs w:val="21"/>
        </w:rPr>
        <w:t xml:space="preserve"> 年、20</w:t>
      </w:r>
      <w:r>
        <w:rPr>
          <w:rFonts w:hint="eastAsia" w:ascii="宋体" w:hAnsi="宋体" w:cs="宋体"/>
          <w:szCs w:val="21"/>
          <w:lang w:val="en-US" w:eastAsia="zh-CN"/>
        </w:rPr>
        <w:t>24</w:t>
      </w:r>
      <w:r>
        <w:rPr>
          <w:rFonts w:hint="eastAsia" w:ascii="宋体" w:hAnsi="宋体" w:cs="宋体"/>
          <w:szCs w:val="21"/>
        </w:rPr>
        <w:t>年的财务状况，或 20</w:t>
      </w:r>
      <w:r>
        <w:rPr>
          <w:rFonts w:hint="eastAsia" w:ascii="宋体" w:hAnsi="宋体" w:cs="宋体"/>
          <w:szCs w:val="21"/>
          <w:lang w:val="en-US" w:eastAsia="zh-CN"/>
        </w:rPr>
        <w:t>23</w:t>
      </w:r>
      <w:r>
        <w:rPr>
          <w:rFonts w:hint="eastAsia" w:ascii="宋体" w:hAnsi="宋体" w:cs="宋体"/>
          <w:szCs w:val="21"/>
        </w:rPr>
        <w:t xml:space="preserve"> 年、20</w:t>
      </w:r>
      <w:r>
        <w:rPr>
          <w:rFonts w:hint="eastAsia" w:ascii="宋体" w:hAnsi="宋体" w:cs="宋体"/>
          <w:szCs w:val="21"/>
          <w:lang w:val="en-US" w:eastAsia="zh-CN"/>
        </w:rPr>
        <w:t>24</w:t>
      </w:r>
      <w:r>
        <w:rPr>
          <w:rFonts w:hint="eastAsia" w:ascii="宋体" w:hAnsi="宋体" w:cs="宋体"/>
          <w:szCs w:val="21"/>
        </w:rPr>
        <w:t xml:space="preserve"> 年、20</w:t>
      </w:r>
      <w:r>
        <w:rPr>
          <w:rFonts w:hint="eastAsia" w:ascii="宋体" w:hAnsi="宋体" w:cs="宋体"/>
          <w:szCs w:val="21"/>
          <w:lang w:val="en-US" w:eastAsia="zh-CN"/>
        </w:rPr>
        <w:t>25</w:t>
      </w:r>
      <w:r>
        <w:rPr>
          <w:rFonts w:hint="eastAsia" w:ascii="宋体" w:hAnsi="宋体" w:cs="宋体"/>
          <w:szCs w:val="21"/>
        </w:rPr>
        <w:t xml:space="preserve"> 年的财务状况，采用哪3个年度，由投标人选择；招标文件开始下载的时间在6月1日以后（含6月1日）的，“近3年”是指当年之前的3个年度，如某项目招标，招标文件开始下载的时间是 202</w:t>
      </w:r>
      <w:r>
        <w:rPr>
          <w:rFonts w:hint="eastAsia" w:ascii="宋体" w:hAnsi="宋体" w:cs="宋体"/>
          <w:szCs w:val="21"/>
          <w:lang w:val="en-US" w:eastAsia="zh-CN"/>
        </w:rPr>
        <w:t>6</w:t>
      </w:r>
      <w:r>
        <w:rPr>
          <w:rFonts w:hint="eastAsia" w:ascii="宋体" w:hAnsi="宋体" w:cs="宋体"/>
          <w:szCs w:val="21"/>
        </w:rPr>
        <w:t>年6月5日，“近年财务状况表”是指20</w:t>
      </w:r>
      <w:r>
        <w:rPr>
          <w:rFonts w:hint="eastAsia" w:ascii="宋体" w:hAnsi="宋体" w:cs="宋体"/>
          <w:szCs w:val="21"/>
          <w:lang w:val="en-US" w:eastAsia="zh-CN"/>
        </w:rPr>
        <w:t>23</w:t>
      </w:r>
      <w:r>
        <w:rPr>
          <w:rFonts w:hint="eastAsia" w:ascii="宋体" w:hAnsi="宋体" w:cs="宋体"/>
          <w:szCs w:val="21"/>
        </w:rPr>
        <w:t>年、20</w:t>
      </w:r>
      <w:r>
        <w:rPr>
          <w:rFonts w:hint="eastAsia" w:ascii="宋体" w:hAnsi="宋体" w:cs="宋体"/>
          <w:szCs w:val="21"/>
          <w:lang w:val="en-US" w:eastAsia="zh-CN"/>
        </w:rPr>
        <w:t>24</w:t>
      </w:r>
      <w:r>
        <w:rPr>
          <w:rFonts w:hint="eastAsia" w:ascii="宋体" w:hAnsi="宋体" w:cs="宋体"/>
          <w:szCs w:val="21"/>
        </w:rPr>
        <w:t>年、20</w:t>
      </w:r>
      <w:r>
        <w:rPr>
          <w:rFonts w:hint="eastAsia" w:ascii="宋体" w:hAnsi="宋体" w:cs="宋体"/>
          <w:szCs w:val="21"/>
          <w:lang w:val="en-US" w:eastAsia="zh-CN"/>
        </w:rPr>
        <w:t>25</w:t>
      </w:r>
      <w:r>
        <w:rPr>
          <w:rFonts w:hint="eastAsia" w:ascii="宋体" w:hAnsi="宋体" w:cs="宋体"/>
          <w:szCs w:val="21"/>
        </w:rPr>
        <w:t>年的财务状况。投标人须知前附表规定的时间不足3年的，以此类推。</w:t>
      </w:r>
    </w:p>
    <w:p w14:paraId="3B6DB43D">
      <w:pPr>
        <w:widowControl/>
        <w:spacing w:line="360" w:lineRule="auto"/>
        <w:ind w:firstLine="440" w:firstLineChars="200"/>
        <w:jc w:val="left"/>
        <w:rPr>
          <w:rFonts w:ascii="宋体" w:hAnsi="宋体" w:cs="宋体"/>
          <w:szCs w:val="21"/>
        </w:rPr>
      </w:pPr>
      <w:r>
        <w:rPr>
          <w:rFonts w:hint="eastAsia" w:ascii="宋体" w:hAnsi="宋体" w:cs="宋体"/>
          <w:szCs w:val="21"/>
        </w:rPr>
        <w:t>（2）新设立企业只提供设立以来的财务状况表，破产重整企业视为新设立企业。</w:t>
      </w:r>
    </w:p>
    <w:p w14:paraId="4303B9F0">
      <w:pPr>
        <w:widowControl/>
        <w:spacing w:line="360" w:lineRule="auto"/>
        <w:ind w:firstLine="440" w:firstLineChars="200"/>
        <w:jc w:val="left"/>
        <w:rPr>
          <w:rFonts w:ascii="宋体" w:hAnsi="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）若无要求，无需填写</w:t>
      </w:r>
      <w:r>
        <w:rPr>
          <w:rFonts w:hint="eastAsia" w:ascii="宋体" w:hAnsi="宋体" w:cs="宋体"/>
          <w:szCs w:val="21"/>
          <w:lang w:eastAsia="zh-CN"/>
        </w:rPr>
        <w:t>，</w:t>
      </w:r>
      <w:r>
        <w:rPr>
          <w:rFonts w:hint="eastAsia" w:ascii="宋体" w:hAnsi="宋体" w:cs="宋体"/>
          <w:szCs w:val="21"/>
          <w:lang w:val="en-US" w:eastAsia="zh-CN"/>
        </w:rPr>
        <w:t>保留此表</w:t>
      </w:r>
      <w:r>
        <w:rPr>
          <w:rFonts w:hint="eastAsia" w:ascii="宋体" w:hAnsi="宋体" w:cs="宋体"/>
          <w:szCs w:val="21"/>
        </w:rPr>
        <w:t>。</w:t>
      </w:r>
    </w:p>
    <w:p w14:paraId="15AB1BB3">
      <w:pPr>
        <w:ind w:firstLine="442" w:firstLineChars="200"/>
        <w:jc w:val="center"/>
        <w:rPr>
          <w:rFonts w:hint="eastAsia"/>
          <w:b/>
          <w:bCs/>
        </w:rPr>
      </w:pPr>
      <w:r>
        <w:rPr>
          <w:rFonts w:hint="eastAsia"/>
          <w:b/>
          <w:bCs/>
        </w:rPr>
        <w:br w:type="page"/>
      </w:r>
    </w:p>
    <w:p w14:paraId="7429302A">
      <w:pPr>
        <w:pStyle w:val="5"/>
        <w:jc w:val="center"/>
        <w:rPr>
          <w:b/>
          <w:bCs/>
        </w:rPr>
      </w:pPr>
      <w:r>
        <w:rPr>
          <w:rFonts w:hint="eastAsia"/>
          <w:b/>
          <w:bCs/>
        </w:rPr>
        <w:t>（</w:t>
      </w:r>
      <w:r>
        <w:rPr>
          <w:rFonts w:hint="default"/>
          <w:b/>
          <w:bCs/>
          <w:lang w:val="en-US"/>
        </w:rPr>
        <w:t>三</w:t>
      </w:r>
      <w:r>
        <w:rPr>
          <w:rFonts w:hint="eastAsia"/>
          <w:b/>
          <w:bCs/>
        </w:rPr>
        <w:t>）</w:t>
      </w:r>
      <w:r>
        <w:rPr>
          <w:b/>
          <w:bCs/>
        </w:rPr>
        <w:t>类似工程业绩情况汇总表</w:t>
      </w:r>
    </w:p>
    <w:tbl>
      <w:tblPr>
        <w:tblStyle w:val="19"/>
        <w:tblpPr w:leftFromText="180" w:rightFromText="180" w:vertAnchor="text" w:horzAnchor="margin" w:tblpXSpec="center" w:tblpY="52"/>
        <w:tblW w:w="10234"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194"/>
        <w:gridCol w:w="1178"/>
        <w:gridCol w:w="1274"/>
        <w:gridCol w:w="1126"/>
        <w:gridCol w:w="1126"/>
        <w:gridCol w:w="1126"/>
        <w:gridCol w:w="1126"/>
        <w:gridCol w:w="1401"/>
      </w:tblGrid>
      <w:tr w14:paraId="5705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exact"/>
        </w:trPr>
        <w:tc>
          <w:tcPr>
            <w:tcW w:w="683" w:type="dxa"/>
            <w:vAlign w:val="center"/>
          </w:tcPr>
          <w:p w14:paraId="5D6C4AC8">
            <w:pPr>
              <w:pStyle w:val="10"/>
              <w:spacing w:line="240" w:lineRule="auto"/>
              <w:ind w:left="0"/>
              <w:jc w:val="center"/>
              <w:rPr>
                <w:sz w:val="18"/>
                <w:szCs w:val="16"/>
              </w:rPr>
            </w:pPr>
            <w:r>
              <w:rPr>
                <w:rFonts w:hint="eastAsia"/>
                <w:sz w:val="18"/>
                <w:szCs w:val="16"/>
              </w:rPr>
              <w:t>序号</w:t>
            </w:r>
          </w:p>
        </w:tc>
        <w:tc>
          <w:tcPr>
            <w:tcW w:w="1194" w:type="dxa"/>
            <w:vAlign w:val="center"/>
          </w:tcPr>
          <w:p w14:paraId="2D3BCDD5">
            <w:pPr>
              <w:pStyle w:val="10"/>
              <w:spacing w:line="240" w:lineRule="auto"/>
              <w:ind w:left="0"/>
              <w:jc w:val="center"/>
              <w:rPr>
                <w:sz w:val="18"/>
                <w:szCs w:val="16"/>
              </w:rPr>
            </w:pPr>
            <w:r>
              <w:rPr>
                <w:rFonts w:hint="eastAsia"/>
                <w:sz w:val="18"/>
                <w:szCs w:val="16"/>
              </w:rPr>
              <w:t>项目业主</w:t>
            </w:r>
          </w:p>
        </w:tc>
        <w:tc>
          <w:tcPr>
            <w:tcW w:w="1178" w:type="dxa"/>
            <w:vAlign w:val="center"/>
          </w:tcPr>
          <w:p w14:paraId="54229EAA">
            <w:pPr>
              <w:pStyle w:val="10"/>
              <w:spacing w:line="240" w:lineRule="auto"/>
              <w:ind w:left="0"/>
              <w:jc w:val="center"/>
              <w:rPr>
                <w:sz w:val="18"/>
                <w:szCs w:val="16"/>
              </w:rPr>
            </w:pPr>
            <w:r>
              <w:rPr>
                <w:rFonts w:hint="eastAsia"/>
                <w:sz w:val="18"/>
                <w:szCs w:val="16"/>
              </w:rPr>
              <w:t>项目名称</w:t>
            </w:r>
          </w:p>
        </w:tc>
        <w:tc>
          <w:tcPr>
            <w:tcW w:w="1274" w:type="dxa"/>
            <w:vAlign w:val="center"/>
          </w:tcPr>
          <w:p w14:paraId="71F586A8">
            <w:pPr>
              <w:pStyle w:val="10"/>
              <w:spacing w:line="240" w:lineRule="auto"/>
              <w:ind w:left="0"/>
              <w:jc w:val="center"/>
              <w:rPr>
                <w:sz w:val="18"/>
                <w:szCs w:val="16"/>
              </w:rPr>
            </w:pPr>
            <w:r>
              <w:rPr>
                <w:rFonts w:hint="eastAsia"/>
                <w:sz w:val="18"/>
                <w:szCs w:val="16"/>
              </w:rPr>
              <w:t>开工日期</w:t>
            </w:r>
          </w:p>
        </w:tc>
        <w:tc>
          <w:tcPr>
            <w:tcW w:w="1126" w:type="dxa"/>
            <w:vAlign w:val="center"/>
          </w:tcPr>
          <w:p w14:paraId="51281BCA">
            <w:pPr>
              <w:pStyle w:val="10"/>
              <w:spacing w:line="240" w:lineRule="auto"/>
              <w:ind w:left="0"/>
              <w:jc w:val="center"/>
              <w:rPr>
                <w:sz w:val="18"/>
                <w:szCs w:val="16"/>
              </w:rPr>
            </w:pPr>
            <w:r>
              <w:rPr>
                <w:sz w:val="18"/>
                <w:szCs w:val="16"/>
              </w:rPr>
              <w:t>交工日期</w:t>
            </w:r>
          </w:p>
        </w:tc>
        <w:tc>
          <w:tcPr>
            <w:tcW w:w="1126" w:type="dxa"/>
            <w:vAlign w:val="center"/>
          </w:tcPr>
          <w:p w14:paraId="0DEC8956">
            <w:pPr>
              <w:pStyle w:val="10"/>
              <w:spacing w:line="240" w:lineRule="auto"/>
              <w:ind w:left="0"/>
              <w:jc w:val="center"/>
              <w:rPr>
                <w:sz w:val="18"/>
                <w:szCs w:val="16"/>
              </w:rPr>
            </w:pPr>
            <w:r>
              <w:rPr>
                <w:rFonts w:hint="eastAsia"/>
                <w:sz w:val="18"/>
                <w:szCs w:val="16"/>
              </w:rPr>
              <w:t>竣工日期</w:t>
            </w:r>
          </w:p>
        </w:tc>
        <w:tc>
          <w:tcPr>
            <w:tcW w:w="1126" w:type="dxa"/>
            <w:vAlign w:val="center"/>
          </w:tcPr>
          <w:p w14:paraId="421289DF">
            <w:pPr>
              <w:pStyle w:val="10"/>
              <w:spacing w:line="240" w:lineRule="auto"/>
              <w:ind w:left="0"/>
              <w:jc w:val="center"/>
              <w:rPr>
                <w:sz w:val="18"/>
                <w:szCs w:val="16"/>
              </w:rPr>
            </w:pPr>
            <w:r>
              <w:rPr>
                <w:rFonts w:hint="eastAsia"/>
                <w:sz w:val="18"/>
                <w:szCs w:val="16"/>
              </w:rPr>
              <w:t>建设规模</w:t>
            </w:r>
          </w:p>
        </w:tc>
        <w:tc>
          <w:tcPr>
            <w:tcW w:w="1126" w:type="dxa"/>
            <w:vAlign w:val="center"/>
          </w:tcPr>
          <w:p w14:paraId="5F4831E9">
            <w:pPr>
              <w:pStyle w:val="10"/>
              <w:spacing w:line="240" w:lineRule="auto"/>
              <w:ind w:left="0"/>
              <w:jc w:val="center"/>
              <w:rPr>
                <w:sz w:val="18"/>
                <w:szCs w:val="16"/>
              </w:rPr>
            </w:pPr>
            <w:r>
              <w:rPr>
                <w:rFonts w:hint="eastAsia"/>
                <w:sz w:val="18"/>
                <w:szCs w:val="16"/>
              </w:rPr>
              <w:t>合同价格</w:t>
            </w:r>
          </w:p>
        </w:tc>
        <w:tc>
          <w:tcPr>
            <w:tcW w:w="1401" w:type="dxa"/>
            <w:vAlign w:val="center"/>
          </w:tcPr>
          <w:p w14:paraId="5FB75A8E">
            <w:pPr>
              <w:pStyle w:val="10"/>
              <w:spacing w:line="240" w:lineRule="auto"/>
              <w:ind w:left="0"/>
              <w:jc w:val="center"/>
              <w:rPr>
                <w:sz w:val="18"/>
                <w:szCs w:val="16"/>
              </w:rPr>
            </w:pPr>
            <w:r>
              <w:rPr>
                <w:rFonts w:hint="eastAsia"/>
                <w:sz w:val="18"/>
                <w:szCs w:val="16"/>
              </w:rPr>
              <w:t>项目经理(项目负责人)(或技术负责人)</w:t>
            </w:r>
          </w:p>
        </w:tc>
      </w:tr>
      <w:tr w14:paraId="0AF8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exact"/>
        </w:trPr>
        <w:tc>
          <w:tcPr>
            <w:tcW w:w="683" w:type="dxa"/>
            <w:vAlign w:val="center"/>
          </w:tcPr>
          <w:p w14:paraId="48D0714A">
            <w:pPr>
              <w:tabs>
                <w:tab w:val="left" w:pos="420"/>
              </w:tabs>
              <w:jc w:val="center"/>
              <w:rPr>
                <w:rFonts w:ascii="宋体" w:hAnsi="宋体"/>
                <w:szCs w:val="21"/>
              </w:rPr>
            </w:pPr>
          </w:p>
        </w:tc>
        <w:tc>
          <w:tcPr>
            <w:tcW w:w="1194" w:type="dxa"/>
            <w:vAlign w:val="center"/>
          </w:tcPr>
          <w:p w14:paraId="76450E7F">
            <w:pPr>
              <w:tabs>
                <w:tab w:val="left" w:pos="420"/>
              </w:tabs>
              <w:jc w:val="center"/>
              <w:rPr>
                <w:rFonts w:ascii="宋体" w:hAnsi="宋体"/>
                <w:szCs w:val="21"/>
              </w:rPr>
            </w:pPr>
          </w:p>
        </w:tc>
        <w:tc>
          <w:tcPr>
            <w:tcW w:w="1178" w:type="dxa"/>
            <w:vAlign w:val="center"/>
          </w:tcPr>
          <w:p w14:paraId="317FB878">
            <w:pPr>
              <w:tabs>
                <w:tab w:val="left" w:pos="420"/>
              </w:tabs>
              <w:jc w:val="center"/>
              <w:rPr>
                <w:rFonts w:ascii="宋体" w:hAnsi="宋体"/>
                <w:szCs w:val="21"/>
              </w:rPr>
            </w:pPr>
          </w:p>
        </w:tc>
        <w:tc>
          <w:tcPr>
            <w:tcW w:w="1274" w:type="dxa"/>
            <w:vAlign w:val="center"/>
          </w:tcPr>
          <w:p w14:paraId="7F86AD03">
            <w:pPr>
              <w:tabs>
                <w:tab w:val="left" w:pos="420"/>
              </w:tabs>
              <w:jc w:val="center"/>
              <w:rPr>
                <w:rFonts w:ascii="宋体" w:hAnsi="宋体"/>
                <w:szCs w:val="21"/>
              </w:rPr>
            </w:pPr>
          </w:p>
        </w:tc>
        <w:tc>
          <w:tcPr>
            <w:tcW w:w="1126" w:type="dxa"/>
          </w:tcPr>
          <w:p w14:paraId="79DB142A">
            <w:pPr>
              <w:tabs>
                <w:tab w:val="left" w:pos="420"/>
              </w:tabs>
              <w:ind w:firstLine="330" w:firstLineChars="150"/>
              <w:rPr>
                <w:rFonts w:ascii="宋体" w:hAnsi="宋体"/>
                <w:szCs w:val="21"/>
              </w:rPr>
            </w:pPr>
          </w:p>
        </w:tc>
        <w:tc>
          <w:tcPr>
            <w:tcW w:w="1126" w:type="dxa"/>
            <w:vAlign w:val="center"/>
          </w:tcPr>
          <w:p w14:paraId="4D7F2D35">
            <w:pPr>
              <w:tabs>
                <w:tab w:val="left" w:pos="420"/>
              </w:tabs>
              <w:ind w:firstLine="330" w:firstLineChars="150"/>
              <w:rPr>
                <w:rFonts w:ascii="宋体" w:hAnsi="宋体"/>
                <w:szCs w:val="21"/>
              </w:rPr>
            </w:pPr>
          </w:p>
        </w:tc>
        <w:tc>
          <w:tcPr>
            <w:tcW w:w="1126" w:type="dxa"/>
            <w:vAlign w:val="center"/>
          </w:tcPr>
          <w:p w14:paraId="2572CB7E">
            <w:pPr>
              <w:tabs>
                <w:tab w:val="left" w:pos="420"/>
              </w:tabs>
              <w:ind w:firstLine="330" w:firstLineChars="150"/>
              <w:rPr>
                <w:rFonts w:ascii="宋体" w:hAnsi="宋体"/>
                <w:szCs w:val="21"/>
              </w:rPr>
            </w:pPr>
          </w:p>
        </w:tc>
        <w:tc>
          <w:tcPr>
            <w:tcW w:w="1126" w:type="dxa"/>
            <w:vAlign w:val="center"/>
          </w:tcPr>
          <w:p w14:paraId="2C29395E">
            <w:pPr>
              <w:tabs>
                <w:tab w:val="left" w:pos="420"/>
              </w:tabs>
              <w:ind w:firstLine="330" w:firstLineChars="150"/>
              <w:rPr>
                <w:rFonts w:ascii="宋体" w:hAnsi="宋体"/>
                <w:szCs w:val="21"/>
              </w:rPr>
            </w:pPr>
          </w:p>
        </w:tc>
        <w:tc>
          <w:tcPr>
            <w:tcW w:w="1401" w:type="dxa"/>
            <w:vAlign w:val="center"/>
          </w:tcPr>
          <w:p w14:paraId="46996607">
            <w:pPr>
              <w:tabs>
                <w:tab w:val="left" w:pos="420"/>
              </w:tabs>
              <w:ind w:firstLine="330" w:firstLineChars="150"/>
              <w:rPr>
                <w:rFonts w:ascii="宋体" w:hAnsi="宋体"/>
                <w:szCs w:val="21"/>
              </w:rPr>
            </w:pPr>
          </w:p>
        </w:tc>
      </w:tr>
      <w:tr w14:paraId="54A8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exact"/>
        </w:trPr>
        <w:tc>
          <w:tcPr>
            <w:tcW w:w="683" w:type="dxa"/>
            <w:vAlign w:val="center"/>
          </w:tcPr>
          <w:p w14:paraId="7DBAFB9A">
            <w:pPr>
              <w:tabs>
                <w:tab w:val="left" w:pos="420"/>
              </w:tabs>
              <w:jc w:val="center"/>
              <w:rPr>
                <w:rFonts w:ascii="宋体" w:hAnsi="宋体"/>
                <w:szCs w:val="21"/>
              </w:rPr>
            </w:pPr>
          </w:p>
        </w:tc>
        <w:tc>
          <w:tcPr>
            <w:tcW w:w="1194" w:type="dxa"/>
            <w:vAlign w:val="center"/>
          </w:tcPr>
          <w:p w14:paraId="136368F5">
            <w:pPr>
              <w:tabs>
                <w:tab w:val="left" w:pos="420"/>
              </w:tabs>
              <w:jc w:val="center"/>
              <w:rPr>
                <w:rFonts w:ascii="宋体" w:hAnsi="宋体"/>
                <w:szCs w:val="21"/>
              </w:rPr>
            </w:pPr>
          </w:p>
        </w:tc>
        <w:tc>
          <w:tcPr>
            <w:tcW w:w="1178" w:type="dxa"/>
            <w:vAlign w:val="center"/>
          </w:tcPr>
          <w:p w14:paraId="032C7479">
            <w:pPr>
              <w:tabs>
                <w:tab w:val="left" w:pos="420"/>
              </w:tabs>
              <w:jc w:val="center"/>
              <w:rPr>
                <w:rFonts w:ascii="宋体" w:hAnsi="宋体"/>
                <w:szCs w:val="21"/>
              </w:rPr>
            </w:pPr>
          </w:p>
        </w:tc>
        <w:tc>
          <w:tcPr>
            <w:tcW w:w="1274" w:type="dxa"/>
            <w:vAlign w:val="center"/>
          </w:tcPr>
          <w:p w14:paraId="3D026F00">
            <w:pPr>
              <w:tabs>
                <w:tab w:val="left" w:pos="420"/>
              </w:tabs>
              <w:jc w:val="center"/>
              <w:rPr>
                <w:rFonts w:ascii="宋体" w:hAnsi="宋体"/>
                <w:szCs w:val="21"/>
              </w:rPr>
            </w:pPr>
          </w:p>
        </w:tc>
        <w:tc>
          <w:tcPr>
            <w:tcW w:w="1126" w:type="dxa"/>
          </w:tcPr>
          <w:p w14:paraId="0196D539">
            <w:pPr>
              <w:tabs>
                <w:tab w:val="left" w:pos="420"/>
              </w:tabs>
              <w:ind w:firstLine="330" w:firstLineChars="150"/>
              <w:rPr>
                <w:rFonts w:ascii="宋体" w:hAnsi="宋体"/>
                <w:szCs w:val="21"/>
              </w:rPr>
            </w:pPr>
          </w:p>
        </w:tc>
        <w:tc>
          <w:tcPr>
            <w:tcW w:w="1126" w:type="dxa"/>
            <w:vAlign w:val="center"/>
          </w:tcPr>
          <w:p w14:paraId="188790F7">
            <w:pPr>
              <w:tabs>
                <w:tab w:val="left" w:pos="420"/>
              </w:tabs>
              <w:ind w:firstLine="330" w:firstLineChars="150"/>
              <w:rPr>
                <w:rFonts w:ascii="宋体" w:hAnsi="宋体"/>
                <w:szCs w:val="21"/>
              </w:rPr>
            </w:pPr>
          </w:p>
        </w:tc>
        <w:tc>
          <w:tcPr>
            <w:tcW w:w="1126" w:type="dxa"/>
            <w:vAlign w:val="center"/>
          </w:tcPr>
          <w:p w14:paraId="42D5B595">
            <w:pPr>
              <w:tabs>
                <w:tab w:val="left" w:pos="420"/>
              </w:tabs>
              <w:ind w:firstLine="330" w:firstLineChars="150"/>
              <w:rPr>
                <w:rFonts w:ascii="宋体" w:hAnsi="宋体"/>
                <w:szCs w:val="21"/>
              </w:rPr>
            </w:pPr>
          </w:p>
        </w:tc>
        <w:tc>
          <w:tcPr>
            <w:tcW w:w="1126" w:type="dxa"/>
            <w:vAlign w:val="center"/>
          </w:tcPr>
          <w:p w14:paraId="5DD48A38">
            <w:pPr>
              <w:tabs>
                <w:tab w:val="left" w:pos="420"/>
              </w:tabs>
              <w:ind w:firstLine="330" w:firstLineChars="150"/>
              <w:rPr>
                <w:rFonts w:ascii="宋体" w:hAnsi="宋体"/>
                <w:szCs w:val="21"/>
              </w:rPr>
            </w:pPr>
          </w:p>
        </w:tc>
        <w:tc>
          <w:tcPr>
            <w:tcW w:w="1401" w:type="dxa"/>
            <w:vAlign w:val="center"/>
          </w:tcPr>
          <w:p w14:paraId="2FFBB714">
            <w:pPr>
              <w:tabs>
                <w:tab w:val="left" w:pos="420"/>
              </w:tabs>
              <w:ind w:firstLine="330" w:firstLineChars="150"/>
              <w:rPr>
                <w:rFonts w:ascii="宋体" w:hAnsi="宋体"/>
                <w:szCs w:val="21"/>
              </w:rPr>
            </w:pPr>
          </w:p>
        </w:tc>
      </w:tr>
      <w:tr w14:paraId="5405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exact"/>
        </w:trPr>
        <w:tc>
          <w:tcPr>
            <w:tcW w:w="683" w:type="dxa"/>
            <w:vAlign w:val="center"/>
          </w:tcPr>
          <w:p w14:paraId="48FF066F">
            <w:pPr>
              <w:tabs>
                <w:tab w:val="left" w:pos="420"/>
              </w:tabs>
              <w:rPr>
                <w:rFonts w:ascii="宋体" w:hAnsi="宋体"/>
                <w:szCs w:val="21"/>
              </w:rPr>
            </w:pPr>
          </w:p>
        </w:tc>
        <w:tc>
          <w:tcPr>
            <w:tcW w:w="1194" w:type="dxa"/>
            <w:vAlign w:val="center"/>
          </w:tcPr>
          <w:p w14:paraId="71356C6A">
            <w:pPr>
              <w:tabs>
                <w:tab w:val="left" w:pos="420"/>
              </w:tabs>
              <w:jc w:val="center"/>
              <w:rPr>
                <w:rFonts w:ascii="宋体" w:hAnsi="宋体"/>
                <w:szCs w:val="21"/>
              </w:rPr>
            </w:pPr>
          </w:p>
        </w:tc>
        <w:tc>
          <w:tcPr>
            <w:tcW w:w="1178" w:type="dxa"/>
            <w:vAlign w:val="center"/>
          </w:tcPr>
          <w:p w14:paraId="4895F231">
            <w:pPr>
              <w:tabs>
                <w:tab w:val="left" w:pos="420"/>
              </w:tabs>
              <w:jc w:val="center"/>
              <w:rPr>
                <w:rFonts w:ascii="宋体" w:hAnsi="宋体"/>
                <w:szCs w:val="21"/>
              </w:rPr>
            </w:pPr>
          </w:p>
        </w:tc>
        <w:tc>
          <w:tcPr>
            <w:tcW w:w="1274" w:type="dxa"/>
            <w:vAlign w:val="center"/>
          </w:tcPr>
          <w:p w14:paraId="6B14D513">
            <w:pPr>
              <w:tabs>
                <w:tab w:val="left" w:pos="420"/>
              </w:tabs>
              <w:jc w:val="center"/>
              <w:rPr>
                <w:rFonts w:ascii="宋体" w:hAnsi="宋体"/>
                <w:szCs w:val="21"/>
              </w:rPr>
            </w:pPr>
          </w:p>
        </w:tc>
        <w:tc>
          <w:tcPr>
            <w:tcW w:w="1126" w:type="dxa"/>
          </w:tcPr>
          <w:p w14:paraId="2D42168F">
            <w:pPr>
              <w:tabs>
                <w:tab w:val="left" w:pos="420"/>
              </w:tabs>
              <w:ind w:firstLine="330" w:firstLineChars="150"/>
              <w:rPr>
                <w:rFonts w:ascii="宋体" w:hAnsi="宋体"/>
                <w:szCs w:val="21"/>
              </w:rPr>
            </w:pPr>
          </w:p>
        </w:tc>
        <w:tc>
          <w:tcPr>
            <w:tcW w:w="1126" w:type="dxa"/>
            <w:vAlign w:val="center"/>
          </w:tcPr>
          <w:p w14:paraId="5D01E698">
            <w:pPr>
              <w:tabs>
                <w:tab w:val="left" w:pos="420"/>
              </w:tabs>
              <w:ind w:firstLine="330" w:firstLineChars="150"/>
              <w:rPr>
                <w:rFonts w:ascii="宋体" w:hAnsi="宋体"/>
                <w:szCs w:val="21"/>
              </w:rPr>
            </w:pPr>
          </w:p>
        </w:tc>
        <w:tc>
          <w:tcPr>
            <w:tcW w:w="1126" w:type="dxa"/>
            <w:vAlign w:val="center"/>
          </w:tcPr>
          <w:p w14:paraId="077BFBB4">
            <w:pPr>
              <w:tabs>
                <w:tab w:val="left" w:pos="420"/>
              </w:tabs>
              <w:ind w:firstLine="330" w:firstLineChars="150"/>
              <w:rPr>
                <w:rFonts w:ascii="宋体" w:hAnsi="宋体"/>
                <w:szCs w:val="21"/>
              </w:rPr>
            </w:pPr>
          </w:p>
        </w:tc>
        <w:tc>
          <w:tcPr>
            <w:tcW w:w="1126" w:type="dxa"/>
            <w:vAlign w:val="center"/>
          </w:tcPr>
          <w:p w14:paraId="7D7E1B52">
            <w:pPr>
              <w:tabs>
                <w:tab w:val="left" w:pos="420"/>
              </w:tabs>
              <w:ind w:firstLine="330" w:firstLineChars="150"/>
              <w:rPr>
                <w:rFonts w:ascii="宋体" w:hAnsi="宋体"/>
                <w:szCs w:val="21"/>
              </w:rPr>
            </w:pPr>
          </w:p>
        </w:tc>
        <w:tc>
          <w:tcPr>
            <w:tcW w:w="1401" w:type="dxa"/>
            <w:vAlign w:val="center"/>
          </w:tcPr>
          <w:p w14:paraId="7137719A">
            <w:pPr>
              <w:tabs>
                <w:tab w:val="left" w:pos="420"/>
              </w:tabs>
              <w:ind w:firstLine="330" w:firstLineChars="150"/>
              <w:rPr>
                <w:rFonts w:ascii="宋体" w:hAnsi="宋体"/>
                <w:szCs w:val="21"/>
              </w:rPr>
            </w:pPr>
          </w:p>
        </w:tc>
      </w:tr>
      <w:tr w14:paraId="3C55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trPr>
        <w:tc>
          <w:tcPr>
            <w:tcW w:w="683" w:type="dxa"/>
            <w:vAlign w:val="center"/>
          </w:tcPr>
          <w:p w14:paraId="21648CB4">
            <w:pPr>
              <w:tabs>
                <w:tab w:val="left" w:pos="420"/>
              </w:tabs>
              <w:jc w:val="center"/>
              <w:rPr>
                <w:rFonts w:ascii="宋体" w:hAnsi="宋体"/>
                <w:szCs w:val="21"/>
              </w:rPr>
            </w:pPr>
          </w:p>
        </w:tc>
        <w:tc>
          <w:tcPr>
            <w:tcW w:w="1194" w:type="dxa"/>
            <w:vAlign w:val="center"/>
          </w:tcPr>
          <w:p w14:paraId="4BA6B3BD">
            <w:pPr>
              <w:tabs>
                <w:tab w:val="left" w:pos="420"/>
              </w:tabs>
              <w:jc w:val="center"/>
              <w:rPr>
                <w:rFonts w:ascii="宋体" w:hAnsi="宋体"/>
                <w:szCs w:val="21"/>
              </w:rPr>
            </w:pPr>
          </w:p>
        </w:tc>
        <w:tc>
          <w:tcPr>
            <w:tcW w:w="1178" w:type="dxa"/>
            <w:vAlign w:val="center"/>
          </w:tcPr>
          <w:p w14:paraId="1C1835CA">
            <w:pPr>
              <w:tabs>
                <w:tab w:val="left" w:pos="420"/>
              </w:tabs>
              <w:jc w:val="center"/>
              <w:rPr>
                <w:rFonts w:ascii="宋体" w:hAnsi="宋体"/>
                <w:szCs w:val="21"/>
              </w:rPr>
            </w:pPr>
          </w:p>
        </w:tc>
        <w:tc>
          <w:tcPr>
            <w:tcW w:w="1274" w:type="dxa"/>
            <w:vAlign w:val="center"/>
          </w:tcPr>
          <w:p w14:paraId="7BEEDF11">
            <w:pPr>
              <w:tabs>
                <w:tab w:val="left" w:pos="420"/>
              </w:tabs>
              <w:jc w:val="center"/>
              <w:rPr>
                <w:rFonts w:ascii="宋体" w:hAnsi="宋体"/>
                <w:szCs w:val="21"/>
              </w:rPr>
            </w:pPr>
          </w:p>
        </w:tc>
        <w:tc>
          <w:tcPr>
            <w:tcW w:w="1126" w:type="dxa"/>
          </w:tcPr>
          <w:p w14:paraId="70A1F1F1">
            <w:pPr>
              <w:tabs>
                <w:tab w:val="left" w:pos="420"/>
              </w:tabs>
              <w:ind w:firstLine="330" w:firstLineChars="150"/>
              <w:rPr>
                <w:rFonts w:ascii="宋体" w:hAnsi="宋体"/>
                <w:szCs w:val="21"/>
              </w:rPr>
            </w:pPr>
          </w:p>
        </w:tc>
        <w:tc>
          <w:tcPr>
            <w:tcW w:w="1126" w:type="dxa"/>
            <w:vAlign w:val="center"/>
          </w:tcPr>
          <w:p w14:paraId="245B3B87">
            <w:pPr>
              <w:tabs>
                <w:tab w:val="left" w:pos="420"/>
              </w:tabs>
              <w:ind w:firstLine="330" w:firstLineChars="150"/>
              <w:rPr>
                <w:rFonts w:ascii="宋体" w:hAnsi="宋体"/>
                <w:szCs w:val="21"/>
              </w:rPr>
            </w:pPr>
          </w:p>
        </w:tc>
        <w:tc>
          <w:tcPr>
            <w:tcW w:w="1126" w:type="dxa"/>
            <w:vAlign w:val="center"/>
          </w:tcPr>
          <w:p w14:paraId="73E05FA8">
            <w:pPr>
              <w:tabs>
                <w:tab w:val="left" w:pos="420"/>
              </w:tabs>
              <w:ind w:firstLine="330" w:firstLineChars="150"/>
              <w:rPr>
                <w:rFonts w:ascii="宋体" w:hAnsi="宋体"/>
                <w:szCs w:val="21"/>
              </w:rPr>
            </w:pPr>
          </w:p>
        </w:tc>
        <w:tc>
          <w:tcPr>
            <w:tcW w:w="1126" w:type="dxa"/>
            <w:vAlign w:val="center"/>
          </w:tcPr>
          <w:p w14:paraId="21C5666E">
            <w:pPr>
              <w:tabs>
                <w:tab w:val="left" w:pos="420"/>
              </w:tabs>
              <w:ind w:firstLine="330" w:firstLineChars="150"/>
              <w:rPr>
                <w:rFonts w:ascii="宋体" w:hAnsi="宋体"/>
                <w:szCs w:val="21"/>
              </w:rPr>
            </w:pPr>
          </w:p>
        </w:tc>
        <w:tc>
          <w:tcPr>
            <w:tcW w:w="1401" w:type="dxa"/>
            <w:vAlign w:val="center"/>
          </w:tcPr>
          <w:p w14:paraId="16D81F8F">
            <w:pPr>
              <w:tabs>
                <w:tab w:val="left" w:pos="420"/>
              </w:tabs>
              <w:ind w:firstLine="330" w:firstLineChars="150"/>
              <w:rPr>
                <w:rFonts w:ascii="宋体" w:hAnsi="宋体"/>
                <w:szCs w:val="21"/>
              </w:rPr>
            </w:pPr>
          </w:p>
        </w:tc>
      </w:tr>
      <w:tr w14:paraId="7F8F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trPr>
        <w:tc>
          <w:tcPr>
            <w:tcW w:w="683" w:type="dxa"/>
            <w:vAlign w:val="center"/>
          </w:tcPr>
          <w:p w14:paraId="080D9F16">
            <w:pPr>
              <w:tabs>
                <w:tab w:val="left" w:pos="420"/>
              </w:tabs>
              <w:jc w:val="center"/>
              <w:rPr>
                <w:rFonts w:ascii="宋体" w:hAnsi="宋体"/>
                <w:szCs w:val="21"/>
              </w:rPr>
            </w:pPr>
          </w:p>
        </w:tc>
        <w:tc>
          <w:tcPr>
            <w:tcW w:w="1194" w:type="dxa"/>
            <w:vAlign w:val="center"/>
          </w:tcPr>
          <w:p w14:paraId="7383A9AC">
            <w:pPr>
              <w:tabs>
                <w:tab w:val="left" w:pos="420"/>
              </w:tabs>
              <w:jc w:val="center"/>
              <w:rPr>
                <w:rFonts w:ascii="宋体" w:hAnsi="宋体"/>
                <w:szCs w:val="21"/>
              </w:rPr>
            </w:pPr>
          </w:p>
        </w:tc>
        <w:tc>
          <w:tcPr>
            <w:tcW w:w="1178" w:type="dxa"/>
            <w:vAlign w:val="center"/>
          </w:tcPr>
          <w:p w14:paraId="4C52195A">
            <w:pPr>
              <w:tabs>
                <w:tab w:val="left" w:pos="420"/>
              </w:tabs>
              <w:jc w:val="center"/>
              <w:rPr>
                <w:rFonts w:ascii="宋体" w:hAnsi="宋体"/>
                <w:szCs w:val="21"/>
              </w:rPr>
            </w:pPr>
          </w:p>
        </w:tc>
        <w:tc>
          <w:tcPr>
            <w:tcW w:w="1274" w:type="dxa"/>
            <w:vAlign w:val="center"/>
          </w:tcPr>
          <w:p w14:paraId="194814EE">
            <w:pPr>
              <w:tabs>
                <w:tab w:val="left" w:pos="420"/>
              </w:tabs>
              <w:jc w:val="center"/>
              <w:rPr>
                <w:rFonts w:ascii="宋体" w:hAnsi="宋体"/>
                <w:szCs w:val="21"/>
              </w:rPr>
            </w:pPr>
          </w:p>
        </w:tc>
        <w:tc>
          <w:tcPr>
            <w:tcW w:w="1126" w:type="dxa"/>
          </w:tcPr>
          <w:p w14:paraId="17CC581C">
            <w:pPr>
              <w:tabs>
                <w:tab w:val="left" w:pos="420"/>
              </w:tabs>
              <w:ind w:firstLine="330" w:firstLineChars="150"/>
              <w:rPr>
                <w:rFonts w:ascii="宋体" w:hAnsi="宋体"/>
                <w:szCs w:val="21"/>
              </w:rPr>
            </w:pPr>
          </w:p>
        </w:tc>
        <w:tc>
          <w:tcPr>
            <w:tcW w:w="1126" w:type="dxa"/>
            <w:vAlign w:val="center"/>
          </w:tcPr>
          <w:p w14:paraId="2EED6351">
            <w:pPr>
              <w:tabs>
                <w:tab w:val="left" w:pos="420"/>
              </w:tabs>
              <w:ind w:firstLine="330" w:firstLineChars="150"/>
              <w:rPr>
                <w:rFonts w:ascii="宋体" w:hAnsi="宋体"/>
                <w:szCs w:val="21"/>
              </w:rPr>
            </w:pPr>
          </w:p>
        </w:tc>
        <w:tc>
          <w:tcPr>
            <w:tcW w:w="1126" w:type="dxa"/>
            <w:vAlign w:val="center"/>
          </w:tcPr>
          <w:p w14:paraId="59AC6BB8">
            <w:pPr>
              <w:tabs>
                <w:tab w:val="left" w:pos="420"/>
              </w:tabs>
              <w:ind w:firstLine="330" w:firstLineChars="150"/>
              <w:rPr>
                <w:rFonts w:ascii="宋体" w:hAnsi="宋体"/>
                <w:szCs w:val="21"/>
              </w:rPr>
            </w:pPr>
          </w:p>
        </w:tc>
        <w:tc>
          <w:tcPr>
            <w:tcW w:w="1126" w:type="dxa"/>
            <w:vAlign w:val="center"/>
          </w:tcPr>
          <w:p w14:paraId="14377F30">
            <w:pPr>
              <w:tabs>
                <w:tab w:val="left" w:pos="420"/>
              </w:tabs>
              <w:ind w:firstLine="330" w:firstLineChars="150"/>
              <w:rPr>
                <w:rFonts w:ascii="宋体" w:hAnsi="宋体"/>
                <w:szCs w:val="21"/>
              </w:rPr>
            </w:pPr>
          </w:p>
        </w:tc>
        <w:tc>
          <w:tcPr>
            <w:tcW w:w="1401" w:type="dxa"/>
            <w:vAlign w:val="center"/>
          </w:tcPr>
          <w:p w14:paraId="72C41BD3">
            <w:pPr>
              <w:tabs>
                <w:tab w:val="left" w:pos="420"/>
              </w:tabs>
              <w:ind w:firstLine="330" w:firstLineChars="150"/>
              <w:rPr>
                <w:rFonts w:ascii="宋体" w:hAnsi="宋体"/>
                <w:szCs w:val="21"/>
              </w:rPr>
            </w:pPr>
          </w:p>
        </w:tc>
      </w:tr>
      <w:tr w14:paraId="1F78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trPr>
        <w:tc>
          <w:tcPr>
            <w:tcW w:w="683" w:type="dxa"/>
            <w:vAlign w:val="center"/>
          </w:tcPr>
          <w:p w14:paraId="4FF72783">
            <w:pPr>
              <w:tabs>
                <w:tab w:val="left" w:pos="420"/>
              </w:tabs>
              <w:jc w:val="center"/>
              <w:rPr>
                <w:rFonts w:ascii="宋体" w:hAnsi="宋体"/>
                <w:szCs w:val="21"/>
              </w:rPr>
            </w:pPr>
          </w:p>
          <w:p w14:paraId="10A5454D">
            <w:pPr>
              <w:tabs>
                <w:tab w:val="left" w:pos="420"/>
              </w:tabs>
              <w:jc w:val="center"/>
              <w:rPr>
                <w:rFonts w:ascii="宋体" w:hAnsi="宋体"/>
                <w:szCs w:val="21"/>
              </w:rPr>
            </w:pPr>
          </w:p>
        </w:tc>
        <w:tc>
          <w:tcPr>
            <w:tcW w:w="1194" w:type="dxa"/>
            <w:vAlign w:val="center"/>
          </w:tcPr>
          <w:p w14:paraId="3E6C38DF">
            <w:pPr>
              <w:tabs>
                <w:tab w:val="left" w:pos="420"/>
              </w:tabs>
              <w:jc w:val="center"/>
              <w:rPr>
                <w:rFonts w:ascii="宋体" w:hAnsi="宋体"/>
                <w:szCs w:val="21"/>
              </w:rPr>
            </w:pPr>
          </w:p>
        </w:tc>
        <w:tc>
          <w:tcPr>
            <w:tcW w:w="1178" w:type="dxa"/>
            <w:vAlign w:val="center"/>
          </w:tcPr>
          <w:p w14:paraId="0F02199F">
            <w:pPr>
              <w:tabs>
                <w:tab w:val="left" w:pos="420"/>
              </w:tabs>
              <w:jc w:val="center"/>
              <w:rPr>
                <w:rFonts w:ascii="宋体" w:hAnsi="宋体"/>
                <w:szCs w:val="21"/>
              </w:rPr>
            </w:pPr>
          </w:p>
        </w:tc>
        <w:tc>
          <w:tcPr>
            <w:tcW w:w="1274" w:type="dxa"/>
            <w:vAlign w:val="center"/>
          </w:tcPr>
          <w:p w14:paraId="688C2E5B">
            <w:pPr>
              <w:tabs>
                <w:tab w:val="left" w:pos="420"/>
              </w:tabs>
              <w:jc w:val="center"/>
              <w:rPr>
                <w:rFonts w:ascii="宋体" w:hAnsi="宋体"/>
                <w:szCs w:val="21"/>
              </w:rPr>
            </w:pPr>
          </w:p>
        </w:tc>
        <w:tc>
          <w:tcPr>
            <w:tcW w:w="1126" w:type="dxa"/>
          </w:tcPr>
          <w:p w14:paraId="1FCDE20A">
            <w:pPr>
              <w:tabs>
                <w:tab w:val="left" w:pos="420"/>
              </w:tabs>
              <w:ind w:firstLine="330" w:firstLineChars="150"/>
              <w:rPr>
                <w:rFonts w:ascii="宋体" w:hAnsi="宋体"/>
                <w:szCs w:val="21"/>
              </w:rPr>
            </w:pPr>
          </w:p>
        </w:tc>
        <w:tc>
          <w:tcPr>
            <w:tcW w:w="1126" w:type="dxa"/>
            <w:vAlign w:val="center"/>
          </w:tcPr>
          <w:p w14:paraId="1F161ECE">
            <w:pPr>
              <w:tabs>
                <w:tab w:val="left" w:pos="420"/>
              </w:tabs>
              <w:ind w:firstLine="330" w:firstLineChars="150"/>
              <w:rPr>
                <w:rFonts w:ascii="宋体" w:hAnsi="宋体"/>
                <w:szCs w:val="21"/>
              </w:rPr>
            </w:pPr>
          </w:p>
        </w:tc>
        <w:tc>
          <w:tcPr>
            <w:tcW w:w="1126" w:type="dxa"/>
            <w:vAlign w:val="center"/>
          </w:tcPr>
          <w:p w14:paraId="75FF55FB">
            <w:pPr>
              <w:tabs>
                <w:tab w:val="left" w:pos="420"/>
              </w:tabs>
              <w:ind w:firstLine="330" w:firstLineChars="150"/>
              <w:rPr>
                <w:rFonts w:ascii="宋体" w:hAnsi="宋体"/>
                <w:szCs w:val="21"/>
              </w:rPr>
            </w:pPr>
          </w:p>
        </w:tc>
        <w:tc>
          <w:tcPr>
            <w:tcW w:w="1126" w:type="dxa"/>
            <w:vAlign w:val="center"/>
          </w:tcPr>
          <w:p w14:paraId="344E6069">
            <w:pPr>
              <w:tabs>
                <w:tab w:val="left" w:pos="420"/>
              </w:tabs>
              <w:ind w:firstLine="330" w:firstLineChars="150"/>
              <w:rPr>
                <w:rFonts w:ascii="宋体" w:hAnsi="宋体"/>
                <w:szCs w:val="21"/>
              </w:rPr>
            </w:pPr>
          </w:p>
        </w:tc>
        <w:tc>
          <w:tcPr>
            <w:tcW w:w="1401" w:type="dxa"/>
            <w:vAlign w:val="center"/>
          </w:tcPr>
          <w:p w14:paraId="20D7C949">
            <w:pPr>
              <w:tabs>
                <w:tab w:val="left" w:pos="420"/>
              </w:tabs>
              <w:ind w:firstLine="330" w:firstLineChars="150"/>
              <w:rPr>
                <w:rFonts w:ascii="宋体" w:hAnsi="宋体"/>
                <w:szCs w:val="21"/>
              </w:rPr>
            </w:pPr>
          </w:p>
        </w:tc>
      </w:tr>
    </w:tbl>
    <w:p w14:paraId="128B4D29"/>
    <w:p w14:paraId="32838908">
      <w:pPr>
        <w:pStyle w:val="12"/>
        <w:bidi w:val="0"/>
      </w:pPr>
      <w:r>
        <w:t>注：</w:t>
      </w:r>
    </w:p>
    <w:p w14:paraId="5BBAEED6">
      <w:pPr>
        <w:pStyle w:val="12"/>
        <w:bidi w:val="0"/>
      </w:pPr>
      <w:r>
        <w:t>1、如为正在实施或新承接业绩，竣工日期及交工日期一栏请填写“无”，以上汇总表所填信息若无法在业绩证明资料中体现的，以项目业主出具的证明为准。</w:t>
      </w:r>
    </w:p>
    <w:p w14:paraId="62EB3DEC">
      <w:pPr>
        <w:pStyle w:val="12"/>
        <w:bidi w:val="0"/>
      </w:pPr>
      <w:r>
        <w:t>2、表中所有空格内容均须填写，如确实不须填写或无法填写，应在空格中填写“无”。</w:t>
      </w:r>
      <w:r>
        <w:br w:type="page"/>
      </w:r>
    </w:p>
    <w:p w14:paraId="1EE7ABB9">
      <w:pPr>
        <w:pStyle w:val="5"/>
        <w:jc w:val="center"/>
        <w:rPr>
          <w:b/>
          <w:bCs/>
        </w:rPr>
      </w:pPr>
      <w:r>
        <w:rPr>
          <w:rFonts w:hint="eastAsia"/>
          <w:b/>
          <w:bCs/>
        </w:rPr>
        <w:t>（</w:t>
      </w:r>
      <w:r>
        <w:rPr>
          <w:rFonts w:hint="default"/>
          <w:b/>
          <w:bCs/>
          <w:lang w:val="en-US"/>
        </w:rPr>
        <w:t>四</w:t>
      </w:r>
      <w:r>
        <w:rPr>
          <w:rFonts w:hint="eastAsia"/>
          <w:b/>
          <w:bCs/>
        </w:rPr>
        <w:t>）</w:t>
      </w:r>
      <w:r>
        <w:rPr>
          <w:b/>
          <w:bCs/>
          <w:sz w:val="22"/>
          <w:szCs w:val="32"/>
        </w:rPr>
        <w:t>近年</w:t>
      </w:r>
      <w:r>
        <w:rPr>
          <w:rFonts w:hint="default" w:ascii="宋体" w:hAnsi="宋体"/>
          <w:b/>
          <w:bCs/>
          <w:sz w:val="22"/>
        </w:rPr>
        <w:t>（</w:t>
      </w:r>
      <w:r>
        <w:rPr>
          <w:rFonts w:hint="default" w:ascii="宋体" w:hAnsi="宋体"/>
          <w:b/>
          <w:bCs/>
          <w:sz w:val="22"/>
          <w:szCs w:val="32"/>
          <w:u w:val="single"/>
          <w:lang w:val="en-US" w:eastAsia="zh-CN"/>
        </w:rPr>
        <w:t xml:space="preserve">     </w:t>
      </w:r>
      <w:r>
        <w:rPr>
          <w:rFonts w:hint="default" w:ascii="宋体" w:hAnsi="宋体"/>
          <w:b/>
          <w:bCs/>
          <w:sz w:val="22"/>
        </w:rPr>
        <w:t>至投标截止时间）</w:t>
      </w:r>
      <w:r>
        <w:rPr>
          <w:rFonts w:ascii="宋体" w:hAnsi="宋体" w:eastAsia="宋体"/>
          <w:b/>
          <w:bCs/>
          <w:sz w:val="22"/>
        </w:rPr>
        <w:t>的</w:t>
      </w:r>
      <w:r>
        <w:rPr>
          <w:b/>
          <w:bCs/>
          <w:sz w:val="22"/>
          <w:szCs w:val="32"/>
        </w:rPr>
        <w:t>类似工程业绩表</w:t>
      </w:r>
    </w:p>
    <w:p w14:paraId="17869413"/>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1"/>
        <w:gridCol w:w="6960"/>
      </w:tblGrid>
      <w:tr w14:paraId="2462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1" w:type="dxa"/>
            <w:vMerge w:val="restart"/>
            <w:vAlign w:val="center"/>
          </w:tcPr>
          <w:p w14:paraId="61AAA291">
            <w:pPr>
              <w:pStyle w:val="8"/>
              <w:keepNext w:val="0"/>
              <w:keepLines w:val="0"/>
              <w:suppressLineNumbers w:val="0"/>
              <w:spacing w:before="0" w:beforeAutospacing="0" w:after="0" w:afterAutospacing="0" w:line="360" w:lineRule="auto"/>
              <w:ind w:left="0" w:right="0" w:firstLine="0" w:firstLineChars="0"/>
              <w:jc w:val="center"/>
              <w:rPr>
                <w:rFonts w:hint="eastAsia"/>
                <w:sz w:val="21"/>
                <w:szCs w:val="21"/>
              </w:rPr>
            </w:pPr>
            <w:r>
              <w:rPr>
                <w:rFonts w:hint="default"/>
                <w:sz w:val="21"/>
                <w:szCs w:val="21"/>
              </w:rPr>
              <w:t>1</w:t>
            </w:r>
          </w:p>
        </w:tc>
        <w:tc>
          <w:tcPr>
            <w:tcW w:w="6960" w:type="dxa"/>
            <w:vAlign w:val="center"/>
          </w:tcPr>
          <w:p w14:paraId="6A2B90E8">
            <w:pPr>
              <w:keepNext w:val="0"/>
              <w:keepLines w:val="0"/>
              <w:suppressLineNumbers w:val="0"/>
              <w:spacing w:before="0" w:beforeAutospacing="0" w:after="0" w:afterAutospacing="0"/>
              <w:ind w:left="0" w:right="0"/>
              <w:rPr>
                <w:rFonts w:hint="eastAsia" w:ascii="宋体" w:hAnsi="宋体"/>
                <w:szCs w:val="21"/>
              </w:rPr>
            </w:pPr>
            <w:r>
              <w:rPr>
                <w:rFonts w:hint="default" w:ascii="宋体" w:hAnsi="宋体"/>
                <w:szCs w:val="21"/>
              </w:rPr>
              <w:t>合同名称：</w:t>
            </w:r>
          </w:p>
        </w:tc>
      </w:tr>
      <w:tr w14:paraId="1C22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1" w:type="dxa"/>
            <w:vMerge w:val="continue"/>
            <w:vAlign w:val="center"/>
          </w:tcPr>
          <w:p w14:paraId="0341A255">
            <w:pPr>
              <w:keepNext w:val="0"/>
              <w:keepLines w:val="0"/>
              <w:suppressLineNumbers w:val="0"/>
              <w:spacing w:before="0" w:beforeAutospacing="0" w:after="0" w:afterAutospacing="0"/>
              <w:ind w:left="0" w:right="0" w:firstLine="420"/>
              <w:jc w:val="center"/>
              <w:rPr>
                <w:rFonts w:hint="eastAsia" w:ascii="宋体" w:hAnsi="宋体"/>
                <w:szCs w:val="21"/>
              </w:rPr>
            </w:pPr>
          </w:p>
        </w:tc>
        <w:tc>
          <w:tcPr>
            <w:tcW w:w="6960" w:type="dxa"/>
            <w:vAlign w:val="center"/>
          </w:tcPr>
          <w:p w14:paraId="07FD5140">
            <w:pPr>
              <w:keepNext w:val="0"/>
              <w:keepLines w:val="0"/>
              <w:suppressLineNumbers w:val="0"/>
              <w:spacing w:before="0" w:beforeAutospacing="0" w:after="0" w:afterAutospacing="0"/>
              <w:ind w:left="0" w:right="0"/>
              <w:rPr>
                <w:rFonts w:hint="eastAsia" w:ascii="宋体" w:hAnsi="宋体"/>
                <w:szCs w:val="21"/>
              </w:rPr>
            </w:pPr>
            <w:r>
              <w:rPr>
                <w:rFonts w:hint="default" w:ascii="宋体" w:hAnsi="宋体"/>
                <w:color w:val="000000"/>
                <w:szCs w:val="21"/>
              </w:rPr>
              <w:t>发包人</w:t>
            </w:r>
            <w:r>
              <w:rPr>
                <w:rFonts w:hint="default" w:ascii="宋体" w:hAnsi="宋体"/>
                <w:szCs w:val="21"/>
              </w:rPr>
              <w:t>名称：</w:t>
            </w:r>
          </w:p>
        </w:tc>
      </w:tr>
      <w:tr w14:paraId="225E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1" w:type="dxa"/>
            <w:vMerge w:val="continue"/>
            <w:vAlign w:val="center"/>
          </w:tcPr>
          <w:p w14:paraId="7DCC4241">
            <w:pPr>
              <w:keepNext w:val="0"/>
              <w:keepLines w:val="0"/>
              <w:suppressLineNumbers w:val="0"/>
              <w:spacing w:before="0" w:beforeAutospacing="0" w:after="0" w:afterAutospacing="0"/>
              <w:ind w:left="0" w:right="0" w:firstLine="420"/>
              <w:jc w:val="center"/>
              <w:rPr>
                <w:rFonts w:hint="eastAsia" w:ascii="宋体" w:hAnsi="宋体"/>
                <w:szCs w:val="21"/>
              </w:rPr>
            </w:pPr>
          </w:p>
        </w:tc>
        <w:tc>
          <w:tcPr>
            <w:tcW w:w="6960" w:type="dxa"/>
            <w:vAlign w:val="center"/>
          </w:tcPr>
          <w:p w14:paraId="2016B65B">
            <w:pPr>
              <w:keepNext w:val="0"/>
              <w:keepLines w:val="0"/>
              <w:suppressLineNumbers w:val="0"/>
              <w:spacing w:before="0" w:beforeAutospacing="0" w:after="0" w:afterAutospacing="0"/>
              <w:ind w:left="0" w:right="0"/>
              <w:rPr>
                <w:rFonts w:hint="eastAsia" w:ascii="宋体" w:hAnsi="宋体"/>
                <w:szCs w:val="21"/>
              </w:rPr>
            </w:pPr>
            <w:r>
              <w:rPr>
                <w:rFonts w:hint="default" w:ascii="宋体" w:hAnsi="宋体"/>
                <w:szCs w:val="21"/>
              </w:rPr>
              <w:t>合同总价：</w:t>
            </w:r>
          </w:p>
        </w:tc>
      </w:tr>
      <w:tr w14:paraId="31DB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1" w:type="dxa"/>
            <w:vMerge w:val="continue"/>
            <w:vAlign w:val="center"/>
          </w:tcPr>
          <w:p w14:paraId="20F38C0B">
            <w:pPr>
              <w:keepNext w:val="0"/>
              <w:keepLines w:val="0"/>
              <w:suppressLineNumbers w:val="0"/>
              <w:spacing w:before="0" w:beforeAutospacing="0" w:after="0" w:afterAutospacing="0"/>
              <w:ind w:left="0" w:right="0" w:firstLine="420"/>
              <w:jc w:val="center"/>
              <w:rPr>
                <w:rFonts w:hint="eastAsia" w:ascii="宋体" w:hAnsi="宋体"/>
                <w:szCs w:val="21"/>
              </w:rPr>
            </w:pPr>
          </w:p>
        </w:tc>
        <w:tc>
          <w:tcPr>
            <w:tcW w:w="6960" w:type="dxa"/>
            <w:vAlign w:val="center"/>
          </w:tcPr>
          <w:p w14:paraId="3A5033AD">
            <w:pPr>
              <w:keepNext w:val="0"/>
              <w:keepLines w:val="0"/>
              <w:suppressLineNumbers w:val="0"/>
              <w:spacing w:before="0" w:beforeAutospacing="0" w:after="0" w:afterAutospacing="0"/>
              <w:ind w:left="4" w:leftChars="-10" w:right="0" w:hanging="26" w:hangingChars="12"/>
              <w:rPr>
                <w:rFonts w:hint="eastAsia" w:ascii="宋体" w:hAnsi="宋体"/>
                <w:szCs w:val="21"/>
              </w:rPr>
            </w:pPr>
            <w:r>
              <w:rPr>
                <w:rFonts w:hint="default" w:ascii="宋体" w:hAnsi="宋体"/>
                <w:szCs w:val="21"/>
              </w:rPr>
              <w:t>工程地址：</w:t>
            </w:r>
          </w:p>
        </w:tc>
      </w:tr>
      <w:tr w14:paraId="25DF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1" w:type="dxa"/>
            <w:vMerge w:val="continue"/>
            <w:vAlign w:val="center"/>
          </w:tcPr>
          <w:p w14:paraId="41F5F081">
            <w:pPr>
              <w:keepNext w:val="0"/>
              <w:keepLines w:val="0"/>
              <w:suppressLineNumbers w:val="0"/>
              <w:spacing w:before="0" w:beforeAutospacing="0" w:after="0" w:afterAutospacing="0"/>
              <w:ind w:left="0" w:right="0" w:firstLine="420"/>
              <w:jc w:val="center"/>
              <w:rPr>
                <w:rFonts w:hint="eastAsia" w:ascii="宋体" w:hAnsi="宋体"/>
                <w:szCs w:val="21"/>
              </w:rPr>
            </w:pPr>
          </w:p>
        </w:tc>
        <w:tc>
          <w:tcPr>
            <w:tcW w:w="6960" w:type="dxa"/>
            <w:vAlign w:val="center"/>
          </w:tcPr>
          <w:p w14:paraId="13184A1A">
            <w:pPr>
              <w:pStyle w:val="43"/>
              <w:keepNext w:val="0"/>
              <w:keepLines w:val="0"/>
              <w:suppressLineNumbers w:val="0"/>
              <w:adjustRightInd/>
              <w:spacing w:before="0" w:beforeAutospacing="0" w:after="0" w:afterAutospacing="0" w:line="360" w:lineRule="auto"/>
              <w:ind w:left="0" w:right="0"/>
              <w:textAlignment w:val="auto"/>
              <w:rPr>
                <w:rFonts w:hint="eastAsia" w:hAnsi="宋体"/>
                <w:sz w:val="21"/>
                <w:szCs w:val="21"/>
              </w:rPr>
            </w:pPr>
            <w:r>
              <w:rPr>
                <w:rFonts w:hint="eastAsia" w:hAnsi="宋体"/>
                <w:sz w:val="21"/>
                <w:szCs w:val="21"/>
              </w:rPr>
              <w:t>项目规模</w:t>
            </w:r>
            <w:r>
              <w:rPr>
                <w:rFonts w:hint="default" w:hAnsi="宋体"/>
                <w:sz w:val="21"/>
                <w:szCs w:val="21"/>
              </w:rPr>
              <w:t>：</w:t>
            </w:r>
          </w:p>
        </w:tc>
      </w:tr>
      <w:tr w14:paraId="770C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01" w:type="dxa"/>
            <w:vAlign w:val="center"/>
          </w:tcPr>
          <w:p w14:paraId="088A0C46">
            <w:pPr>
              <w:pStyle w:val="8"/>
              <w:keepNext w:val="0"/>
              <w:keepLines w:val="0"/>
              <w:suppressLineNumbers w:val="0"/>
              <w:spacing w:before="0" w:beforeAutospacing="0" w:after="0" w:afterAutospacing="0" w:line="360" w:lineRule="auto"/>
              <w:ind w:left="0" w:right="0" w:firstLine="0" w:firstLineChars="0"/>
              <w:jc w:val="center"/>
              <w:rPr>
                <w:rFonts w:hint="eastAsia"/>
                <w:sz w:val="21"/>
                <w:szCs w:val="21"/>
              </w:rPr>
            </w:pPr>
            <w:r>
              <w:rPr>
                <w:rFonts w:hint="default"/>
                <w:sz w:val="21"/>
                <w:szCs w:val="21"/>
              </w:rPr>
              <w:t>2</w:t>
            </w:r>
          </w:p>
        </w:tc>
        <w:tc>
          <w:tcPr>
            <w:tcW w:w="6960" w:type="dxa"/>
            <w:vAlign w:val="center"/>
          </w:tcPr>
          <w:p w14:paraId="33058D5B">
            <w:pPr>
              <w:pStyle w:val="43"/>
              <w:keepNext w:val="0"/>
              <w:keepLines w:val="0"/>
              <w:suppressLineNumbers w:val="0"/>
              <w:adjustRightInd/>
              <w:spacing w:before="0" w:beforeAutospacing="0" w:after="0" w:afterAutospacing="0" w:line="360" w:lineRule="auto"/>
              <w:ind w:left="0" w:right="0"/>
              <w:textAlignment w:val="auto"/>
              <w:rPr>
                <w:rFonts w:hint="eastAsia" w:hAnsi="宋体"/>
                <w:sz w:val="21"/>
                <w:szCs w:val="21"/>
              </w:rPr>
            </w:pPr>
            <w:r>
              <w:rPr>
                <w:rFonts w:hint="default" w:hAnsi="宋体"/>
                <w:sz w:val="21"/>
                <w:szCs w:val="21"/>
              </w:rPr>
              <w:t>所承担合同</w:t>
            </w:r>
            <w:r>
              <w:rPr>
                <w:rFonts w:hint="eastAsia" w:hAnsi="宋体"/>
                <w:sz w:val="21"/>
                <w:szCs w:val="21"/>
              </w:rPr>
              <w:t>的主要</w:t>
            </w:r>
            <w:r>
              <w:rPr>
                <w:rFonts w:hint="default" w:hAnsi="宋体"/>
                <w:sz w:val="21"/>
                <w:szCs w:val="21"/>
              </w:rPr>
              <w:t>内容</w:t>
            </w:r>
            <w:r>
              <w:rPr>
                <w:rFonts w:hint="eastAsia" w:hAnsi="宋体"/>
                <w:sz w:val="21"/>
                <w:szCs w:val="21"/>
              </w:rPr>
              <w:t>：</w:t>
            </w:r>
          </w:p>
        </w:tc>
      </w:tr>
      <w:tr w14:paraId="7C55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01" w:type="dxa"/>
            <w:vAlign w:val="center"/>
          </w:tcPr>
          <w:p w14:paraId="3CF5F260">
            <w:pPr>
              <w:pStyle w:val="8"/>
              <w:keepNext w:val="0"/>
              <w:keepLines w:val="0"/>
              <w:suppressLineNumbers w:val="0"/>
              <w:spacing w:before="0" w:beforeAutospacing="0" w:after="0" w:afterAutospacing="0" w:line="360" w:lineRule="auto"/>
              <w:ind w:left="0" w:right="0" w:firstLine="0" w:firstLineChars="0"/>
              <w:jc w:val="center"/>
              <w:rPr>
                <w:rFonts w:hint="eastAsia"/>
                <w:sz w:val="21"/>
                <w:szCs w:val="21"/>
              </w:rPr>
            </w:pPr>
            <w:r>
              <w:rPr>
                <w:rFonts w:hint="eastAsia"/>
                <w:sz w:val="21"/>
                <w:szCs w:val="21"/>
              </w:rPr>
              <w:t>3</w:t>
            </w:r>
          </w:p>
        </w:tc>
        <w:tc>
          <w:tcPr>
            <w:tcW w:w="6960" w:type="dxa"/>
            <w:vAlign w:val="center"/>
          </w:tcPr>
          <w:p w14:paraId="42601D6C">
            <w:pPr>
              <w:pStyle w:val="43"/>
              <w:keepNext w:val="0"/>
              <w:keepLines w:val="0"/>
              <w:suppressLineNumbers w:val="0"/>
              <w:adjustRightInd/>
              <w:spacing w:before="0" w:beforeAutospacing="0" w:after="0" w:afterAutospacing="0"/>
              <w:ind w:left="0" w:right="0"/>
              <w:textAlignment w:val="auto"/>
              <w:rPr>
                <w:rFonts w:hint="eastAsia" w:hAnsi="宋体"/>
                <w:sz w:val="21"/>
                <w:szCs w:val="21"/>
              </w:rPr>
            </w:pPr>
            <w:r>
              <w:rPr>
                <w:rFonts w:hint="default" w:hAnsi="宋体"/>
                <w:sz w:val="21"/>
                <w:szCs w:val="21"/>
              </w:rPr>
              <w:t>合同工期：</w:t>
            </w:r>
          </w:p>
        </w:tc>
      </w:tr>
      <w:tr w14:paraId="24E2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01" w:type="dxa"/>
            <w:vAlign w:val="center"/>
          </w:tcPr>
          <w:p w14:paraId="7B55C31D">
            <w:pPr>
              <w:pStyle w:val="8"/>
              <w:keepNext w:val="0"/>
              <w:keepLines w:val="0"/>
              <w:suppressLineNumbers w:val="0"/>
              <w:spacing w:before="0" w:beforeAutospacing="0" w:after="0" w:afterAutospacing="0" w:line="360" w:lineRule="auto"/>
              <w:ind w:left="0" w:right="0" w:firstLine="0" w:firstLineChars="0"/>
              <w:jc w:val="center"/>
              <w:rPr>
                <w:rFonts w:hint="eastAsia"/>
                <w:sz w:val="21"/>
                <w:szCs w:val="21"/>
              </w:rPr>
            </w:pPr>
            <w:r>
              <w:rPr>
                <w:rFonts w:hint="eastAsia"/>
                <w:sz w:val="21"/>
                <w:szCs w:val="21"/>
              </w:rPr>
              <w:t>4</w:t>
            </w:r>
          </w:p>
        </w:tc>
        <w:tc>
          <w:tcPr>
            <w:tcW w:w="6960" w:type="dxa"/>
            <w:vAlign w:val="center"/>
          </w:tcPr>
          <w:p w14:paraId="242B1C1C">
            <w:pPr>
              <w:keepNext w:val="0"/>
              <w:keepLines w:val="0"/>
              <w:suppressLineNumbers w:val="0"/>
              <w:spacing w:before="0" w:beforeAutospacing="0" w:after="0" w:afterAutospacing="0"/>
              <w:ind w:left="4" w:leftChars="-10" w:right="0" w:hanging="26" w:hangingChars="12"/>
              <w:rPr>
                <w:rFonts w:hint="eastAsia" w:ascii="宋体" w:hAnsi="宋体"/>
                <w:szCs w:val="21"/>
              </w:rPr>
            </w:pPr>
            <w:r>
              <w:rPr>
                <w:rFonts w:hint="default" w:ascii="宋体" w:hAnsi="宋体"/>
                <w:szCs w:val="21"/>
              </w:rPr>
              <w:t>其    他：</w:t>
            </w:r>
          </w:p>
        </w:tc>
      </w:tr>
    </w:tbl>
    <w:p w14:paraId="79953F41">
      <w:pPr>
        <w:spacing w:line="360" w:lineRule="auto"/>
        <w:jc w:val="both"/>
        <w:rPr>
          <w:rFonts w:ascii="Times New Roman" w:hAnsi="Times New Roman" w:eastAsia="仿宋" w:cs="Times New Roman"/>
          <w:color w:val="auto"/>
          <w:sz w:val="21"/>
          <w:szCs w:val="21"/>
          <w:highlight w:val="none"/>
        </w:rPr>
      </w:pPr>
      <w:r>
        <w:rPr>
          <w:rFonts w:ascii="Times New Roman" w:hAnsi="Times New Roman" w:eastAsia="仿宋" w:cs="Times New Roman"/>
          <w:color w:val="auto"/>
          <w:sz w:val="21"/>
          <w:szCs w:val="21"/>
          <w:highlight w:val="none"/>
        </w:rPr>
        <w:t>1、每个</w:t>
      </w:r>
      <w:r>
        <w:rPr>
          <w:rFonts w:hint="eastAsia" w:ascii="Times New Roman" w:hAnsi="Times New Roman" w:eastAsia="仿宋" w:cs="Times New Roman"/>
          <w:color w:val="auto"/>
          <w:sz w:val="21"/>
          <w:szCs w:val="21"/>
          <w:highlight w:val="none"/>
        </w:rPr>
        <w:t>类似工程业绩</w:t>
      </w:r>
      <w:r>
        <w:rPr>
          <w:rFonts w:ascii="Times New Roman" w:hAnsi="Times New Roman" w:eastAsia="仿宋" w:cs="Times New Roman"/>
          <w:color w:val="auto"/>
          <w:sz w:val="21"/>
          <w:szCs w:val="21"/>
          <w:highlight w:val="none"/>
        </w:rPr>
        <w:t>项目须单独填表，</w:t>
      </w:r>
      <w:r>
        <w:rPr>
          <w:rFonts w:hint="eastAsia" w:ascii="Times New Roman" w:hAnsi="Times New Roman" w:eastAsia="仿宋" w:cs="Times New Roman"/>
          <w:color w:val="auto"/>
          <w:sz w:val="21"/>
          <w:szCs w:val="21"/>
          <w:highlight w:val="none"/>
        </w:rPr>
        <w:t>宜标明序号。</w:t>
      </w:r>
    </w:p>
    <w:p w14:paraId="6E155240">
      <w:pPr>
        <w:spacing w:line="360" w:lineRule="auto"/>
        <w:jc w:val="both"/>
        <w:rPr>
          <w:rFonts w:hint="eastAsia" w:ascii="Times New Roman" w:hAnsi="Times New Roman" w:eastAsia="仿宋" w:cs="Times New Roman"/>
          <w:color w:val="auto"/>
          <w:sz w:val="21"/>
          <w:szCs w:val="21"/>
          <w:highlight w:val="none"/>
        </w:rPr>
      </w:pPr>
      <w:r>
        <w:rPr>
          <w:rFonts w:hint="eastAsia" w:ascii="Times New Roman" w:hAnsi="Times New Roman" w:eastAsia="仿宋" w:cs="Times New Roman"/>
          <w:color w:val="auto"/>
          <w:sz w:val="21"/>
          <w:szCs w:val="21"/>
          <w:highlight w:val="none"/>
        </w:rPr>
        <w:t>2、类似工程业绩是指:详见资格条件及评标办法要求，“近年完成</w:t>
      </w:r>
      <w:r>
        <w:rPr>
          <w:rFonts w:hint="eastAsia" w:ascii="Times New Roman" w:hAnsi="Times New Roman" w:eastAsia="仿宋" w:cs="Times New Roman"/>
          <w:color w:val="auto"/>
          <w:sz w:val="21"/>
          <w:szCs w:val="21"/>
          <w:highlight w:val="none"/>
          <w:lang w:val="en-US" w:eastAsia="zh-CN"/>
        </w:rPr>
        <w:t>的施工</w:t>
      </w:r>
      <w:r>
        <w:rPr>
          <w:rFonts w:hint="eastAsia" w:ascii="Times New Roman" w:hAnsi="Times New Roman" w:eastAsia="仿宋" w:cs="Times New Roman"/>
          <w:color w:val="auto"/>
          <w:sz w:val="21"/>
          <w:szCs w:val="21"/>
          <w:highlight w:val="none"/>
        </w:rPr>
        <w:t>”应附合同协议书、工程接收证书（工程竣工验收证书），类似项目业绩时间以工程接收证书（工程竣工验收证书）载明的时间为准；</w:t>
      </w:r>
    </w:p>
    <w:p w14:paraId="7B7B7B74">
      <w:pPr>
        <w:spacing w:line="360" w:lineRule="auto"/>
        <w:jc w:val="both"/>
        <w:rPr>
          <w:rFonts w:hint="eastAsia" w:ascii="Times New Roman" w:hAnsi="Times New Roman" w:eastAsia="仿宋" w:cs="Times New Roman"/>
          <w:color w:val="auto"/>
          <w:sz w:val="21"/>
          <w:szCs w:val="21"/>
          <w:highlight w:val="none"/>
        </w:rPr>
      </w:pPr>
      <w:r>
        <w:rPr>
          <w:rFonts w:hint="eastAsia" w:ascii="Times New Roman" w:hAnsi="Times New Roman" w:eastAsia="仿宋" w:cs="Times New Roman"/>
          <w:color w:val="auto"/>
          <w:sz w:val="21"/>
          <w:szCs w:val="21"/>
          <w:highlight w:val="none"/>
        </w:rPr>
        <w:t>“</w:t>
      </w:r>
      <w:r>
        <w:rPr>
          <w:rFonts w:hint="eastAsia" w:ascii="Times New Roman" w:hAnsi="Times New Roman" w:eastAsia="仿宋" w:cs="Times New Roman"/>
          <w:color w:val="auto"/>
          <w:sz w:val="21"/>
          <w:szCs w:val="21"/>
          <w:highlight w:val="none"/>
          <w:lang w:val="en-US" w:eastAsia="zh-CN"/>
        </w:rPr>
        <w:t>正在实施或新承接</w:t>
      </w:r>
      <w:r>
        <w:rPr>
          <w:rFonts w:hint="eastAsia" w:ascii="Times New Roman" w:hAnsi="Times New Roman" w:eastAsia="仿宋" w:cs="Times New Roman"/>
          <w:color w:val="auto"/>
          <w:sz w:val="21"/>
          <w:szCs w:val="21"/>
          <w:highlight w:val="none"/>
        </w:rPr>
        <w:t>”应附合同协议书</w:t>
      </w:r>
      <w:r>
        <w:rPr>
          <w:rFonts w:hint="eastAsia" w:ascii="Times New Roman" w:hAnsi="Times New Roman" w:eastAsia="仿宋" w:cs="Times New Roman"/>
          <w:color w:val="auto"/>
          <w:sz w:val="21"/>
          <w:szCs w:val="21"/>
          <w:highlight w:val="none"/>
          <w:lang w:eastAsia="zh-CN"/>
        </w:rPr>
        <w:t>，</w:t>
      </w:r>
      <w:r>
        <w:rPr>
          <w:rFonts w:hint="eastAsia" w:ascii="Times New Roman" w:hAnsi="Times New Roman" w:eastAsia="仿宋" w:cs="Times New Roman"/>
          <w:color w:val="auto"/>
          <w:sz w:val="21"/>
          <w:szCs w:val="21"/>
          <w:highlight w:val="none"/>
        </w:rPr>
        <w:t>类似项目业绩时间以</w:t>
      </w:r>
      <w:r>
        <w:rPr>
          <w:rFonts w:hint="eastAsia" w:ascii="Times New Roman" w:hAnsi="Times New Roman" w:eastAsia="仿宋" w:cs="Times New Roman"/>
          <w:color w:val="auto"/>
          <w:sz w:val="21"/>
          <w:szCs w:val="21"/>
          <w:highlight w:val="none"/>
          <w:lang w:val="en-US" w:eastAsia="zh-CN"/>
        </w:rPr>
        <w:t>合同签订时间为准</w:t>
      </w:r>
      <w:r>
        <w:rPr>
          <w:rFonts w:hint="eastAsia" w:ascii="Times New Roman" w:hAnsi="Times New Roman" w:eastAsia="仿宋" w:cs="Times New Roman"/>
          <w:color w:val="auto"/>
          <w:sz w:val="21"/>
          <w:szCs w:val="21"/>
          <w:highlight w:val="none"/>
        </w:rPr>
        <w:t>；</w:t>
      </w:r>
    </w:p>
    <w:p w14:paraId="7E65B7AF">
      <w:pPr>
        <w:spacing w:line="360" w:lineRule="auto"/>
        <w:jc w:val="both"/>
        <w:rPr>
          <w:rFonts w:ascii="Times New Roman" w:hAnsi="Times New Roman" w:eastAsia="仿宋" w:cs="Times New Roman"/>
          <w:color w:val="auto"/>
          <w:sz w:val="21"/>
          <w:szCs w:val="21"/>
          <w:highlight w:val="none"/>
        </w:rPr>
      </w:pPr>
      <w:r>
        <w:rPr>
          <w:rFonts w:hint="eastAsia" w:ascii="Times New Roman" w:hAnsi="Times New Roman" w:eastAsia="仿宋" w:cs="Times New Roman"/>
          <w:color w:val="auto"/>
          <w:sz w:val="21"/>
          <w:szCs w:val="21"/>
          <w:highlight w:val="none"/>
        </w:rPr>
        <w:t>3、类似工程业绩的合同或中标（中选）通知书均无法体现出所要求的建设规模或技术指标，则投标人还需提供项目业主盖章确认的其建设规模或技术指标或类似工程业绩时间的证明材料，投标人须将此证明材料复印件或扫描件放入投标文件中。</w:t>
      </w:r>
    </w:p>
    <w:p w14:paraId="20229265">
      <w:pPr>
        <w:spacing w:line="360" w:lineRule="auto"/>
        <w:jc w:val="both"/>
        <w:rPr>
          <w:rFonts w:ascii="Times New Roman" w:hAnsi="Times New Roman" w:eastAsia="仿宋" w:cs="Times New Roman"/>
          <w:color w:val="auto"/>
          <w:sz w:val="21"/>
          <w:szCs w:val="21"/>
          <w:highlight w:val="none"/>
        </w:rPr>
      </w:pPr>
      <w:r>
        <w:rPr>
          <w:rFonts w:hint="eastAsia" w:ascii="Times New Roman" w:hAnsi="Times New Roman" w:eastAsia="仿宋" w:cs="Times New Roman"/>
          <w:color w:val="auto"/>
          <w:sz w:val="21"/>
          <w:szCs w:val="21"/>
          <w:highlight w:val="none"/>
        </w:rPr>
        <w:t>4、所提供类似工程业绩须符合企业的资质等级，超越资质等级取得的类似工程业绩以及在取得相应资质等级时间以前越级承担（含不具备资质非法承担）的类似工程业绩均无效。</w:t>
      </w:r>
    </w:p>
    <w:p w14:paraId="2C05E8C2">
      <w:r>
        <w:br w:type="page"/>
      </w:r>
    </w:p>
    <w:p w14:paraId="17B6968B">
      <w:pPr>
        <w:pStyle w:val="5"/>
        <w:jc w:val="center"/>
        <w:rPr>
          <w:b/>
          <w:bCs/>
        </w:rPr>
      </w:pPr>
      <w:bookmarkStart w:id="225" w:name="_Toc68800261"/>
      <w:bookmarkStart w:id="226" w:name="_Toc246996374"/>
      <w:bookmarkStart w:id="227" w:name="_Toc246997117"/>
      <w:bookmarkStart w:id="228" w:name="_Toc296602622"/>
      <w:bookmarkStart w:id="229" w:name="_Toc68889805"/>
      <w:bookmarkStart w:id="230" w:name="_Toc247085892"/>
      <w:r>
        <w:rPr>
          <w:rFonts w:hint="eastAsia"/>
          <w:b/>
          <w:bCs/>
        </w:rPr>
        <w:t>（</w:t>
      </w:r>
      <w:r>
        <w:rPr>
          <w:rFonts w:hint="eastAsia"/>
          <w:b/>
          <w:bCs/>
          <w:lang w:val="en-US" w:eastAsia="zh-CN"/>
        </w:rPr>
        <w:t>五</w:t>
      </w:r>
      <w:r>
        <w:rPr>
          <w:rFonts w:hint="eastAsia"/>
          <w:b/>
          <w:bCs/>
        </w:rPr>
        <w:t>）其他资格审查资料</w:t>
      </w:r>
      <w:bookmarkEnd w:id="225"/>
      <w:bookmarkEnd w:id="226"/>
      <w:bookmarkEnd w:id="227"/>
      <w:bookmarkEnd w:id="228"/>
      <w:bookmarkEnd w:id="229"/>
      <w:bookmarkEnd w:id="230"/>
    </w:p>
    <w:p w14:paraId="17B43DE7">
      <w:r>
        <w:br w:type="page"/>
      </w:r>
    </w:p>
    <w:p w14:paraId="5AA8699C">
      <w:pPr>
        <w:pStyle w:val="4"/>
        <w:numPr>
          <w:ilvl w:val="0"/>
          <w:numId w:val="5"/>
        </w:numPr>
        <w:jc w:val="center"/>
      </w:pPr>
      <w:r>
        <w:t>其他资料</w:t>
      </w:r>
    </w:p>
    <w:p w14:paraId="289B68B5">
      <w:pPr>
        <w:pStyle w:val="10"/>
      </w:pPr>
      <w:r>
        <w:t>1</w:t>
      </w:r>
      <w:r>
        <w:rPr>
          <w:rFonts w:hint="eastAsia"/>
        </w:rPr>
        <w:t>.</w:t>
      </w:r>
      <w:r>
        <w:t>投标人认为有必要提供的其他材料。</w:t>
      </w:r>
    </w:p>
    <w:p w14:paraId="7C6C705B">
      <w:r>
        <w:br w:type="page"/>
      </w:r>
    </w:p>
    <w:p w14:paraId="198D2FF7">
      <w:pPr>
        <w:pStyle w:val="10"/>
        <w:rPr>
          <w:rFonts w:hint="default"/>
          <w:lang w:val="en-US"/>
        </w:rPr>
      </w:pPr>
      <w:r>
        <w:rPr>
          <w:rFonts w:hint="eastAsia"/>
          <w:lang w:eastAsia="zh-CN"/>
        </w:rPr>
        <w:t>□</w:t>
      </w:r>
      <w:r>
        <w:rPr>
          <w:rFonts w:hint="eastAsia"/>
          <w:lang w:val="en-US" w:eastAsia="zh-CN"/>
        </w:rPr>
        <w:t>2、中小企业声明函</w:t>
      </w:r>
    </w:p>
    <w:p w14:paraId="200695EA">
      <w:pPr>
        <w:pStyle w:val="10"/>
        <w:jc w:val="center"/>
        <w:rPr>
          <w:rFonts w:hint="eastAsia"/>
          <w:b/>
          <w:bCs/>
          <w:sz w:val="22"/>
          <w:szCs w:val="21"/>
        </w:rPr>
      </w:pPr>
      <w:r>
        <w:rPr>
          <w:rFonts w:hint="eastAsia"/>
          <w:b/>
          <w:bCs/>
          <w:sz w:val="22"/>
          <w:szCs w:val="21"/>
        </w:rPr>
        <w:t>中小企业声明函</w:t>
      </w:r>
    </w:p>
    <w:p w14:paraId="021003E9">
      <w:pPr>
        <w:pStyle w:val="10"/>
        <w:ind w:firstLine="440" w:firstLineChars="200"/>
        <w:rPr>
          <w:rFonts w:hint="eastAsia"/>
        </w:rPr>
      </w:pPr>
      <w:r>
        <w:rPr>
          <w:rFonts w:hint="eastAsia"/>
        </w:rPr>
        <w:t>本单位郑重声明，根据《四川省人民政府办公厅关于深化改革创新促进招标投标市场规范健康发展的意见》（川办规（2025）8号）的规定，本单位参加</w:t>
      </w:r>
      <w:r>
        <w:rPr>
          <w:rFonts w:hint="eastAsia"/>
          <w:u w:val="single"/>
        </w:rPr>
        <w:t xml:space="preserve">     （招标人名称）</w:t>
      </w:r>
      <w:r>
        <w:rPr>
          <w:rFonts w:hint="eastAsia"/>
        </w:rPr>
        <w:t>的</w:t>
      </w:r>
      <w:r>
        <w:rPr>
          <w:rFonts w:hint="eastAsia"/>
          <w:u w:val="single"/>
        </w:rPr>
        <w:t xml:space="preserve">        （项目名称、标段名称）</w:t>
      </w:r>
      <w:r>
        <w:rPr>
          <w:rFonts w:hint="eastAsia"/>
        </w:rPr>
        <w:t>招标活动，本单位的具体情况如下：</w:t>
      </w:r>
    </w:p>
    <w:p w14:paraId="70DE9972">
      <w:pPr>
        <w:pStyle w:val="10"/>
        <w:ind w:firstLine="440" w:firstLineChars="200"/>
        <w:rPr>
          <w:rFonts w:hint="eastAsia"/>
        </w:rPr>
      </w:pPr>
      <w:r>
        <w:rPr>
          <w:rFonts w:hint="eastAsia"/>
          <w:u w:val="single"/>
        </w:rPr>
        <w:t xml:space="preserve">        </w:t>
      </w:r>
      <w:r>
        <w:rPr>
          <w:rFonts w:hint="eastAsia"/>
        </w:rPr>
        <w:t>（项目名称、标段名称）属于建筑业； 承建（承接）企业为</w:t>
      </w:r>
      <w:r>
        <w:rPr>
          <w:rFonts w:hint="eastAsia"/>
          <w:u w:val="single"/>
          <w:lang w:val="en-US" w:eastAsia="zh-CN"/>
        </w:rPr>
        <w:t xml:space="preserve">       </w:t>
      </w:r>
      <w:r>
        <w:rPr>
          <w:rFonts w:hint="eastAsia"/>
          <w:u w:val="single"/>
        </w:rPr>
        <w:t>（单位名称）</w:t>
      </w:r>
      <w:r>
        <w:rPr>
          <w:rFonts w:hint="eastAsia"/>
        </w:rPr>
        <w:t>，营业收入为</w:t>
      </w:r>
      <w:r>
        <w:rPr>
          <w:rFonts w:hint="eastAsia"/>
          <w:u w:val="single"/>
        </w:rPr>
        <w:t xml:space="preserve">      </w:t>
      </w:r>
      <w:r>
        <w:rPr>
          <w:rFonts w:hint="eastAsia"/>
        </w:rPr>
        <w:t>万元，资产总额为</w:t>
      </w:r>
      <w:r>
        <w:rPr>
          <w:rFonts w:hint="eastAsia"/>
          <w:u w:val="single"/>
        </w:rPr>
        <w:t xml:space="preserve">      </w:t>
      </w:r>
      <w:r>
        <w:rPr>
          <w:rFonts w:hint="eastAsia"/>
        </w:rPr>
        <w:t>万元，属于</w:t>
      </w:r>
      <w:r>
        <w:rPr>
          <w:rFonts w:hint="eastAsia"/>
          <w:u w:val="single"/>
          <w:lang w:val="en-US" w:eastAsia="zh-CN"/>
        </w:rPr>
        <w:t xml:space="preserve">     </w:t>
      </w:r>
      <w:r>
        <w:rPr>
          <w:rFonts w:hint="eastAsia"/>
          <w:u w:val="single"/>
        </w:rPr>
        <w:t>（中型企业或小型企业或微型企业）</w:t>
      </w:r>
      <w:r>
        <w:rPr>
          <w:rFonts w:hint="eastAsia"/>
        </w:rPr>
        <w:t>；</w:t>
      </w:r>
    </w:p>
    <w:p w14:paraId="06B80B3F">
      <w:pPr>
        <w:pStyle w:val="10"/>
        <w:ind w:firstLine="440" w:firstLineChars="200"/>
        <w:rPr>
          <w:rFonts w:hint="eastAsia"/>
        </w:rPr>
      </w:pPr>
      <w:r>
        <w:rPr>
          <w:rFonts w:hint="eastAsia"/>
        </w:rPr>
        <w:t>本单位声明不属于大企业的分支机构，不存在控股股东为大企业的情形，也不存在与大企业的负责人为同一人的情形。</w:t>
      </w:r>
    </w:p>
    <w:p w14:paraId="62731CE1">
      <w:pPr>
        <w:pStyle w:val="10"/>
        <w:ind w:firstLine="440" w:firstLineChars="200"/>
        <w:rPr>
          <w:rFonts w:hint="eastAsia"/>
        </w:rPr>
      </w:pPr>
      <w:r>
        <w:rPr>
          <w:rFonts w:hint="eastAsia"/>
        </w:rPr>
        <w:t>本单位对上述声明内容的真实性负责。如有虚假，将依法承担相应责任。</w:t>
      </w:r>
    </w:p>
    <w:p w14:paraId="03F5AA84">
      <w:pPr>
        <w:pStyle w:val="10"/>
        <w:rPr>
          <w:rFonts w:hint="eastAsia"/>
        </w:rPr>
      </w:pPr>
    </w:p>
    <w:p w14:paraId="61CF3E71">
      <w:pPr>
        <w:pStyle w:val="10"/>
        <w:jc w:val="right"/>
        <w:rPr>
          <w:rFonts w:hint="eastAsia"/>
        </w:rPr>
      </w:pPr>
      <w:r>
        <w:rPr>
          <w:rFonts w:hint="eastAsia"/>
        </w:rPr>
        <w:t>声明单位</w:t>
      </w:r>
      <w:r>
        <w:rPr>
          <w:rFonts w:hint="eastAsia"/>
          <w:u w:val="none"/>
        </w:rPr>
        <w:t>：</w:t>
      </w:r>
      <w:r>
        <w:rPr>
          <w:rFonts w:hint="eastAsia"/>
          <w:u w:val="single"/>
        </w:rPr>
        <w:t xml:space="preserve">       （盖单位章）</w:t>
      </w:r>
    </w:p>
    <w:p w14:paraId="33789C63">
      <w:pPr>
        <w:pStyle w:val="10"/>
        <w:jc w:val="right"/>
        <w:rPr>
          <w:rFonts w:hint="eastAsia"/>
        </w:rPr>
      </w:pPr>
      <w:r>
        <w:rPr>
          <w:rFonts w:hint="eastAsia"/>
        </w:rPr>
        <w:t>____年____月____日</w:t>
      </w:r>
    </w:p>
    <w:p w14:paraId="289C7C6D">
      <w:pPr>
        <w:pStyle w:val="10"/>
        <w:spacing w:line="240" w:lineRule="auto"/>
        <w:rPr>
          <w:rFonts w:hint="eastAsia"/>
        </w:rPr>
      </w:pPr>
      <w:r>
        <w:rPr>
          <w:rFonts w:hint="eastAsia"/>
        </w:rPr>
        <w:t>注:</w:t>
      </w:r>
    </w:p>
    <w:p w14:paraId="1B3A953F">
      <w:pPr>
        <w:pStyle w:val="10"/>
        <w:spacing w:line="240" w:lineRule="auto"/>
        <w:rPr>
          <w:rFonts w:hint="eastAsia"/>
        </w:rPr>
      </w:pPr>
      <w:r>
        <w:rPr>
          <w:rFonts w:hint="eastAsia"/>
        </w:rPr>
        <w:t>1、投标人根据《工业和信息化部、国家统计局、国家发展和改革委员会、财政部关于印发中小企业划型标准规定的通知》(工信部联企业(2011)300号)规定，结合自身实际，确定对应的中小企业划型。</w:t>
      </w:r>
    </w:p>
    <w:p w14:paraId="617C8C86">
      <w:pPr>
        <w:pStyle w:val="10"/>
        <w:spacing w:line="240" w:lineRule="auto"/>
        <w:rPr>
          <w:rFonts w:hint="eastAsia"/>
        </w:rPr>
      </w:pPr>
      <w:r>
        <w:rPr>
          <w:rFonts w:hint="eastAsia"/>
        </w:rPr>
        <w:t>2、营业收入、资产总额填报上一年度数据，无上一年度数据的新成立企业从业人员、营业收入、资产总额填0或不填，根据提交投标文件时的实际情况填写企业类型。“上一年度”时间认定分两种情况。例：招标文件开始下载的时间在6月1日以前的，上一年度是指当年之前的1个年度或当年的上一年之前的1个年度。如某项目招标，招标文件开始下载的时间是2020年5 月1日，“上一年度”是指2019 年度或2018 年度，采用哪个年度，由投标人选择；招标文件开始下载的时间在6 月 1 日以后（含6月1日）的，“上一年度”是指当年之前的1个年度，如某项目招标，招标文件开始下载的时间是 2020 年 6月5日，“上一年度”是指2019年度。</w:t>
      </w:r>
    </w:p>
    <w:p w14:paraId="213CBCAE">
      <w:pPr>
        <w:pStyle w:val="10"/>
        <w:spacing w:line="240" w:lineRule="auto"/>
      </w:pPr>
      <w:r>
        <w:rPr>
          <w:rFonts w:hint="eastAsia"/>
        </w:rPr>
        <w:t>3、若为联合体投标的，联合体所有单位均应属于中小企业，并应分别填写此表。</w:t>
      </w:r>
    </w:p>
    <w:p w14:paraId="2A2DA089">
      <w:r>
        <w:br w:type="page"/>
      </w:r>
    </w:p>
    <w:p w14:paraId="3E7A8988">
      <w:pPr>
        <w:snapToGrid w:val="0"/>
        <w:rPr>
          <w:rFonts w:ascii="仿宋" w:hAnsi="仿宋" w:eastAsia="仿宋"/>
          <w:szCs w:val="21"/>
        </w:rPr>
      </w:pPr>
      <w:r>
        <w:rPr>
          <w:rFonts w:hint="eastAsia" w:ascii="仿宋" w:hAnsi="仿宋" w:eastAsia="仿宋"/>
          <w:szCs w:val="21"/>
        </w:rPr>
        <w:t>注：投标文件格式中招标人需增加的内容填入“投标文件格式增加表”中</w:t>
      </w:r>
    </w:p>
    <w:p w14:paraId="6B2F20D4">
      <w:pPr>
        <w:spacing w:line="500" w:lineRule="exact"/>
        <w:jc w:val="center"/>
        <w:rPr>
          <w:rFonts w:ascii="宋体" w:hAnsi="宋体"/>
          <w:b/>
          <w:szCs w:val="21"/>
        </w:rPr>
      </w:pPr>
      <w:r>
        <w:rPr>
          <w:rFonts w:hint="eastAsia" w:ascii="宋体" w:hAnsi="宋体"/>
          <w:b/>
          <w:szCs w:val="21"/>
        </w:rPr>
        <w:t>投标文件格式增加表</w:t>
      </w:r>
    </w:p>
    <w:p w14:paraId="12ED3259">
      <w:pPr>
        <w:spacing w:line="500" w:lineRule="exact"/>
        <w:rPr>
          <w:rFonts w:ascii="宋体" w:hAnsi="宋体"/>
          <w:b/>
          <w:szCs w:val="21"/>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8704"/>
      </w:tblGrid>
      <w:tr w14:paraId="4B6B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vAlign w:val="center"/>
          </w:tcPr>
          <w:p w14:paraId="648A4AF3">
            <w:pPr>
              <w:ind w:firstLine="110" w:firstLineChars="50"/>
              <w:rPr>
                <w:rFonts w:ascii="宋体" w:hAnsi="宋体"/>
                <w:szCs w:val="21"/>
              </w:rPr>
            </w:pPr>
            <w:r>
              <w:rPr>
                <w:rFonts w:hint="eastAsia" w:ascii="宋体" w:hAnsi="宋体"/>
                <w:szCs w:val="21"/>
              </w:rPr>
              <w:t>条款号</w:t>
            </w:r>
          </w:p>
        </w:tc>
        <w:tc>
          <w:tcPr>
            <w:tcW w:w="8804" w:type="dxa"/>
            <w:vAlign w:val="center"/>
          </w:tcPr>
          <w:p w14:paraId="1C51E927">
            <w:pPr>
              <w:ind w:left="376" w:leftChars="171"/>
              <w:jc w:val="center"/>
              <w:rPr>
                <w:rFonts w:ascii="宋体" w:hAnsi="宋体"/>
                <w:szCs w:val="21"/>
              </w:rPr>
            </w:pPr>
            <w:r>
              <w:rPr>
                <w:rFonts w:hint="eastAsia" w:ascii="宋体" w:hAnsi="宋体"/>
                <w:szCs w:val="21"/>
              </w:rPr>
              <w:t>增加内容及格式</w:t>
            </w:r>
          </w:p>
        </w:tc>
      </w:tr>
      <w:tr w14:paraId="6DC0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158" w:type="dxa"/>
          </w:tcPr>
          <w:p w14:paraId="59B4B0F2">
            <w:pPr>
              <w:spacing w:line="500" w:lineRule="exact"/>
              <w:rPr>
                <w:rFonts w:ascii="宋体" w:hAnsi="宋体"/>
                <w:b/>
                <w:szCs w:val="21"/>
              </w:rPr>
            </w:pPr>
          </w:p>
        </w:tc>
        <w:tc>
          <w:tcPr>
            <w:tcW w:w="8804" w:type="dxa"/>
          </w:tcPr>
          <w:p w14:paraId="04CF9F61">
            <w:pPr>
              <w:spacing w:line="500" w:lineRule="exact"/>
              <w:rPr>
                <w:rFonts w:ascii="宋体" w:hAnsi="宋体"/>
                <w:b/>
                <w:szCs w:val="21"/>
              </w:rPr>
            </w:pPr>
          </w:p>
        </w:tc>
      </w:tr>
    </w:tbl>
    <w:p w14:paraId="360566BE">
      <w:pPr>
        <w:spacing w:line="500" w:lineRule="exact"/>
        <w:jc w:val="center"/>
        <w:rPr>
          <w:szCs w:val="21"/>
        </w:rPr>
      </w:pPr>
    </w:p>
    <w:p w14:paraId="00F80F62">
      <w:pPr>
        <w:pStyle w:val="10"/>
        <w:ind w:left="0"/>
        <w:sectPr>
          <w:pgSz w:w="11906" w:h="16838"/>
          <w:pgMar w:top="1134" w:right="1134" w:bottom="1134" w:left="1134" w:header="851" w:footer="992" w:gutter="0"/>
          <w:pgNumType w:fmt="decimal"/>
          <w:cols w:space="425" w:num="1"/>
          <w:docGrid w:type="lines" w:linePitch="312" w:charSpace="0"/>
        </w:sectPr>
      </w:pPr>
    </w:p>
    <w:p w14:paraId="1F5705EC">
      <w:pPr>
        <w:pStyle w:val="3"/>
        <w:numPr>
          <w:ilvl w:val="0"/>
          <w:numId w:val="3"/>
        </w:numPr>
        <w:rPr>
          <w:rFonts w:hint="default"/>
          <w:b/>
          <w:bCs w:val="0"/>
          <w:sz w:val="44"/>
          <w:szCs w:val="44"/>
        </w:rPr>
      </w:pPr>
      <w:bookmarkStart w:id="231" w:name="_Toc13233"/>
      <w:bookmarkStart w:id="232" w:name="_Toc6417"/>
      <w:r>
        <w:rPr>
          <w:rFonts w:hint="default"/>
          <w:b/>
          <w:bCs w:val="0"/>
          <w:sz w:val="44"/>
          <w:szCs w:val="44"/>
        </w:rPr>
        <w:t>定标方案</w:t>
      </w:r>
      <w:bookmarkEnd w:id="231"/>
      <w:bookmarkEnd w:id="232"/>
    </w:p>
    <w:tbl>
      <w:tblPr>
        <w:tblStyle w:val="20"/>
        <w:tblW w:w="9854" w:type="dxa"/>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807"/>
        <w:gridCol w:w="7123"/>
      </w:tblGrid>
      <w:tr w14:paraId="1FD1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924" w:type="dxa"/>
            <w:vAlign w:val="center"/>
          </w:tcPr>
          <w:p w14:paraId="12432402">
            <w:pPr>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序号</w:t>
            </w:r>
          </w:p>
        </w:tc>
        <w:tc>
          <w:tcPr>
            <w:tcW w:w="1807" w:type="dxa"/>
            <w:vAlign w:val="center"/>
          </w:tcPr>
          <w:p w14:paraId="5C402377">
            <w:pPr>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条款名称</w:t>
            </w:r>
          </w:p>
        </w:tc>
        <w:tc>
          <w:tcPr>
            <w:tcW w:w="7123" w:type="dxa"/>
          </w:tcPr>
          <w:p w14:paraId="7ADE6D20">
            <w:pPr>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内容</w:t>
            </w:r>
          </w:p>
        </w:tc>
      </w:tr>
      <w:tr w14:paraId="6B12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61B8950C">
            <w:pPr>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1</w:t>
            </w:r>
          </w:p>
        </w:tc>
        <w:tc>
          <w:tcPr>
            <w:tcW w:w="1807" w:type="dxa"/>
            <w:vAlign w:val="center"/>
          </w:tcPr>
          <w:p w14:paraId="7151F744">
            <w:pPr>
              <w:ind w:firstLine="220" w:firstLineChars="100"/>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定标时限</w:t>
            </w:r>
          </w:p>
        </w:tc>
        <w:tc>
          <w:tcPr>
            <w:tcW w:w="7123" w:type="dxa"/>
          </w:tcPr>
          <w:p w14:paraId="0A24B5B8">
            <w:pPr>
              <w:jc w:val="left"/>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定标时限：</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p>
          <w:p w14:paraId="5FB160C3">
            <w:pPr>
              <w:spacing w:line="240" w:lineRule="auto"/>
              <w:jc w:val="left"/>
              <w:rPr>
                <w:rFonts w:hint="eastAsia" w:ascii="宋体" w:hAnsi="宋体" w:cs="宋体"/>
                <w:color w:val="auto"/>
                <w:szCs w:val="22"/>
                <w:highlight w:val="none"/>
                <w:u w:val="singl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注：定标一般应在中标候选人公示期结束之日起20日内完成。</w:t>
            </w:r>
          </w:p>
        </w:tc>
      </w:tr>
      <w:tr w14:paraId="54F2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0AA471EB">
            <w:pPr>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2</w:t>
            </w:r>
          </w:p>
        </w:tc>
        <w:tc>
          <w:tcPr>
            <w:tcW w:w="1807" w:type="dxa"/>
            <w:vAlign w:val="center"/>
          </w:tcPr>
          <w:p w14:paraId="092005EB">
            <w:pPr>
              <w:pStyle w:val="36"/>
              <w:ind w:left="0" w:leftChars="0" w:firstLine="0" w:firstLineChars="0"/>
              <w:jc w:val="center"/>
              <w:rPr>
                <w:rFonts w:hint="eastAsia" w:ascii="宋体" w:hAnsi="宋体" w:eastAsia="宋体" w:cs="宋体"/>
                <w:b w:val="0"/>
                <w:bCs/>
                <w:color w:val="auto"/>
                <w:kern w:val="2"/>
                <w:sz w:val="22"/>
                <w:szCs w:val="22"/>
                <w:highlight w:val="none"/>
                <w:u w:val="none"/>
                <w:vertAlign w:val="baseline"/>
                <w:lang w:val="en-US" w:eastAsia="zh-CN" w:bidi="ar-SA"/>
              </w:rPr>
            </w:pPr>
            <w:r>
              <w:rPr>
                <w:rFonts w:hint="eastAsia" w:ascii="宋体" w:hAnsi="宋体" w:eastAsia="宋体" w:cs="宋体"/>
                <w:b w:val="0"/>
                <w:bCs/>
                <w:color w:val="auto"/>
                <w:kern w:val="2"/>
                <w:sz w:val="22"/>
                <w:szCs w:val="22"/>
                <w:highlight w:val="none"/>
                <w:u w:val="none"/>
                <w:vertAlign w:val="baseline"/>
                <w:lang w:val="en-US" w:eastAsia="zh-CN" w:bidi="ar-SA"/>
              </w:rPr>
              <w:t>是否进行中标候选人核查</w:t>
            </w:r>
          </w:p>
        </w:tc>
        <w:tc>
          <w:tcPr>
            <w:tcW w:w="7123" w:type="dxa"/>
          </w:tcPr>
          <w:p w14:paraId="3FEF9C2F">
            <w:pPr>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color w:val="auto"/>
                <w:sz w:val="22"/>
                <w:szCs w:val="22"/>
                <w:highlight w:val="none"/>
                <w:u w:val="none"/>
                <w:vertAlign w:val="baseline"/>
                <w:lang w:val="en-US" w:eastAsia="zh-CN"/>
              </w:rPr>
              <w:t xml:space="preserve">不进行  </w:t>
            </w:r>
          </w:p>
          <w:p w14:paraId="354BADA9">
            <w:pPr>
              <w:jc w:val="left"/>
              <w:rPr>
                <w:rFonts w:hint="eastAsia" w:ascii="宋体" w:hAnsi="宋体" w:cs="宋体"/>
                <w:b w:val="0"/>
                <w:bCs/>
                <w:color w:val="auto"/>
                <w:kern w:val="2"/>
                <w:sz w:val="22"/>
                <w:szCs w:val="22"/>
                <w:highlight w:val="none"/>
                <w:u w:val="single"/>
                <w:vertAlign w:val="baseline"/>
                <w:lang w:val="en-US" w:eastAsia="zh-CN" w:bidi="ar-SA"/>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color w:val="auto"/>
                <w:sz w:val="22"/>
                <w:szCs w:val="22"/>
                <w:highlight w:val="none"/>
                <w:u w:val="none"/>
                <w:vertAlign w:val="baseline"/>
                <w:lang w:val="en-US" w:eastAsia="zh-CN"/>
              </w:rPr>
              <w:t>进行</w:t>
            </w:r>
            <w:r>
              <w:rPr>
                <w:rFonts w:hint="eastAsia" w:ascii="宋体" w:hAnsi="宋体" w:cs="宋体"/>
                <w:b w:val="0"/>
                <w:bCs/>
                <w:color w:val="auto"/>
                <w:kern w:val="2"/>
                <w:sz w:val="22"/>
                <w:szCs w:val="22"/>
                <w:highlight w:val="none"/>
                <w:u w:val="none"/>
                <w:vertAlign w:val="baseline"/>
                <w:lang w:val="en-US" w:eastAsia="zh-CN" w:bidi="ar-SA"/>
              </w:rPr>
              <w:t xml:space="preserve">   核查的内容：</w:t>
            </w:r>
            <w:r>
              <w:rPr>
                <w:rFonts w:hint="eastAsia" w:ascii="宋体" w:hAnsi="宋体" w:cs="宋体"/>
                <w:b w:val="0"/>
                <w:bCs/>
                <w:color w:val="auto"/>
                <w:kern w:val="2"/>
                <w:sz w:val="22"/>
                <w:szCs w:val="22"/>
                <w:highlight w:val="none"/>
                <w:u w:val="single"/>
                <w:vertAlign w:val="baseline"/>
                <w:lang w:val="en-US" w:eastAsia="zh-CN" w:bidi="ar-SA"/>
              </w:rPr>
              <w:t xml:space="preserve">                      </w:t>
            </w:r>
          </w:p>
          <w:p w14:paraId="3F57B514">
            <w:pPr>
              <w:pStyle w:val="36"/>
              <w:ind w:left="0" w:leftChars="0" w:firstLine="0" w:firstLineChars="0"/>
              <w:rPr>
                <w:rFonts w:hint="eastAsia" w:ascii="宋体" w:hAnsi="宋体" w:eastAsia="宋体" w:cs="宋体"/>
                <w:color w:val="auto"/>
                <w:sz w:val="22"/>
                <w:highlight w:val="non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核查可包括信用状况、履约能力、是否受到可能影响履约的行政处罚、是否被标注“资质异常”、是否被安全生产许可预警标注等内容，以及招标人认为需要核查的其他内容。核查应在定标前完成并将相关核查结果作为定标资料提交定标会议。</w:t>
            </w:r>
          </w:p>
        </w:tc>
      </w:tr>
      <w:tr w14:paraId="5C5A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924" w:type="dxa"/>
            <w:vAlign w:val="center"/>
          </w:tcPr>
          <w:p w14:paraId="4E177F17">
            <w:pPr>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3</w:t>
            </w:r>
          </w:p>
        </w:tc>
        <w:tc>
          <w:tcPr>
            <w:tcW w:w="1807" w:type="dxa"/>
            <w:vAlign w:val="center"/>
          </w:tcPr>
          <w:p w14:paraId="16B4B014">
            <w:pPr>
              <w:jc w:val="center"/>
              <w:rPr>
                <w:rFonts w:hint="eastAsia" w:ascii="宋体" w:hAnsi="宋体" w:cs="宋体"/>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是否进行现场考察</w:t>
            </w:r>
          </w:p>
        </w:tc>
        <w:tc>
          <w:tcPr>
            <w:tcW w:w="7123" w:type="dxa"/>
          </w:tcPr>
          <w:p w14:paraId="307D877C">
            <w:pPr>
              <w:jc w:val="left"/>
              <w:rPr>
                <w:rFonts w:hint="eastAsia" w:ascii="宋体" w:hAnsi="宋体" w:cs="宋体"/>
                <w:b w:val="0"/>
                <w:bCs/>
                <w:color w:val="auto"/>
                <w:kern w:val="2"/>
                <w:sz w:val="22"/>
                <w:szCs w:val="22"/>
                <w:highlight w:val="none"/>
                <w:u w:val="none"/>
                <w:vertAlign w:val="baseline"/>
                <w:lang w:val="en-US" w:eastAsia="zh-CN" w:bidi="ar-SA"/>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b w:val="0"/>
                <w:bCs/>
                <w:color w:val="auto"/>
                <w:kern w:val="2"/>
                <w:sz w:val="22"/>
                <w:szCs w:val="22"/>
                <w:highlight w:val="none"/>
                <w:u w:val="none"/>
                <w:vertAlign w:val="baseline"/>
                <w:lang w:val="en-US" w:eastAsia="zh-CN" w:bidi="ar-SA"/>
              </w:rPr>
              <w:t xml:space="preserve">不进行  </w:t>
            </w:r>
          </w:p>
          <w:p w14:paraId="40E4BA28">
            <w:pPr>
              <w:jc w:val="left"/>
              <w:rPr>
                <w:rFonts w:hint="eastAsia" w:ascii="宋体" w:hAnsi="宋体" w:cs="宋体"/>
                <w:color w:val="auto"/>
                <w:szCs w:val="22"/>
                <w:highlight w:val="none"/>
                <w:u w:val="single"/>
                <w:lang w:val="en-US" w:eastAsia="zh-CN"/>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b w:val="0"/>
                <w:bCs/>
                <w:color w:val="auto"/>
                <w:kern w:val="2"/>
                <w:sz w:val="22"/>
                <w:szCs w:val="22"/>
                <w:highlight w:val="none"/>
                <w:u w:val="none"/>
                <w:vertAlign w:val="baseline"/>
                <w:lang w:val="en-US" w:eastAsia="zh-CN" w:bidi="ar-SA"/>
              </w:rPr>
              <w:t>进行    考察的内容：</w:t>
            </w:r>
            <w:r>
              <w:rPr>
                <w:rFonts w:hint="eastAsia" w:ascii="宋体" w:hAnsi="宋体" w:cs="宋体"/>
                <w:b w:val="0"/>
                <w:bCs/>
                <w:color w:val="auto"/>
                <w:kern w:val="2"/>
                <w:sz w:val="22"/>
                <w:szCs w:val="22"/>
                <w:highlight w:val="none"/>
                <w:u w:val="single"/>
                <w:vertAlign w:val="baseline"/>
                <w:lang w:val="en-US" w:eastAsia="zh-CN" w:bidi="ar-SA"/>
              </w:rPr>
              <w:t xml:space="preserve">            </w:t>
            </w:r>
          </w:p>
          <w:p w14:paraId="5B1B509B">
            <w:pPr>
              <w:pStyle w:val="36"/>
              <w:ind w:firstLine="0" w:firstLineChars="0"/>
              <w:rPr>
                <w:rFonts w:hint="eastAsia" w:ascii="宋体" w:hAnsi="宋体" w:eastAsia="宋体" w:cs="宋体"/>
                <w:b w:val="0"/>
                <w:bCs/>
                <w:color w:val="auto"/>
                <w:sz w:val="22"/>
                <w:highlight w:val="non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开展考察的，应当基于公平原则涵盖所有中标候选人，不得区别对待。考察期间，不得与中标候选人就中标条件、合同实质性内容进行谈判。考察活动应当全过程录音、录像并纳入招标档案统一存档备查。考察应在定标前完成并将相关考察结果作为定标资料提交定标会议。</w:t>
            </w:r>
          </w:p>
        </w:tc>
      </w:tr>
      <w:tr w14:paraId="6F23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13081109">
            <w:pPr>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4</w:t>
            </w:r>
          </w:p>
        </w:tc>
        <w:tc>
          <w:tcPr>
            <w:tcW w:w="1807" w:type="dxa"/>
            <w:vAlign w:val="center"/>
          </w:tcPr>
          <w:p w14:paraId="640CD744">
            <w:pPr>
              <w:jc w:val="center"/>
              <w:rPr>
                <w:rFonts w:hint="eastAsia" w:ascii="宋体" w:hAnsi="宋体" w:cs="宋体"/>
                <w:b w:val="0"/>
                <w:bCs w:val="0"/>
                <w:color w:val="auto"/>
                <w:sz w:val="22"/>
                <w:szCs w:val="22"/>
                <w:highlight w:val="none"/>
                <w:u w:val="none"/>
                <w:vertAlign w:val="baseline"/>
                <w:lang w:val="en-US" w:eastAsia="zh-CN"/>
              </w:rPr>
            </w:pPr>
            <w:r>
              <w:rPr>
                <w:rFonts w:hint="eastAsia" w:ascii="宋体" w:hAnsi="宋体" w:cs="宋体"/>
                <w:color w:val="auto"/>
                <w:sz w:val="22"/>
                <w:szCs w:val="22"/>
                <w:highlight w:val="none"/>
                <w:u w:val="none"/>
                <w:vertAlign w:val="baseline"/>
                <w:lang w:val="en-US" w:eastAsia="zh-CN"/>
              </w:rPr>
              <w:t>是否进行</w:t>
            </w:r>
            <w:r>
              <w:rPr>
                <w:rFonts w:hint="eastAsia" w:ascii="宋体" w:hAnsi="宋体" w:cs="宋体"/>
                <w:b w:val="0"/>
                <w:bCs w:val="0"/>
                <w:color w:val="auto"/>
                <w:sz w:val="22"/>
                <w:szCs w:val="22"/>
                <w:highlight w:val="none"/>
                <w:u w:val="none"/>
                <w:vertAlign w:val="baseline"/>
                <w:lang w:val="en-US" w:eastAsia="zh-CN"/>
              </w:rPr>
              <w:t>拟派项目团队现场答辩</w:t>
            </w:r>
          </w:p>
        </w:tc>
        <w:tc>
          <w:tcPr>
            <w:tcW w:w="7123" w:type="dxa"/>
          </w:tcPr>
          <w:p w14:paraId="36BE502D">
            <w:pPr>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color w:val="auto"/>
                <w:sz w:val="22"/>
                <w:szCs w:val="22"/>
                <w:highlight w:val="none"/>
                <w:u w:val="none"/>
                <w:vertAlign w:val="baseline"/>
                <w:lang w:val="en-US" w:eastAsia="zh-CN"/>
              </w:rPr>
              <w:t xml:space="preserve">不进行    </w:t>
            </w:r>
          </w:p>
          <w:p w14:paraId="22C7727B">
            <w:pPr>
              <w:jc w:val="left"/>
              <w:rPr>
                <w:rFonts w:hint="eastAsia" w:ascii="宋体" w:hAnsi="宋体" w:cs="宋体"/>
                <w:color w:val="auto"/>
                <w:sz w:val="22"/>
                <w:szCs w:val="22"/>
                <w:highlight w:val="none"/>
                <w:u w:val="single"/>
                <w:vertAlign w:val="baseline"/>
                <w:lang w:val="en-US" w:eastAsia="zh-CN"/>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color w:val="auto"/>
                <w:sz w:val="22"/>
                <w:szCs w:val="22"/>
                <w:highlight w:val="none"/>
                <w:u w:val="none"/>
                <w:vertAlign w:val="baseline"/>
                <w:lang w:val="en-US" w:eastAsia="zh-CN"/>
              </w:rPr>
              <w:t>进行    答辩内容与要求:</w:t>
            </w:r>
            <w:r>
              <w:rPr>
                <w:rFonts w:hint="eastAsia" w:ascii="宋体" w:hAnsi="宋体" w:cs="宋体"/>
                <w:color w:val="auto"/>
                <w:sz w:val="22"/>
                <w:szCs w:val="22"/>
                <w:highlight w:val="none"/>
                <w:u w:val="single"/>
                <w:vertAlign w:val="baseline"/>
                <w:lang w:val="en-US" w:eastAsia="zh-CN"/>
              </w:rPr>
              <w:t xml:space="preserve">         </w:t>
            </w:r>
          </w:p>
          <w:p w14:paraId="3BEB8858">
            <w:pPr>
              <w:pStyle w:val="36"/>
              <w:ind w:firstLine="0" w:firstLineChars="0"/>
              <w:rPr>
                <w:rFonts w:hint="eastAsia" w:ascii="宋体" w:hAnsi="宋体" w:eastAsia="宋体" w:cs="宋体"/>
                <w:color w:val="auto"/>
                <w:sz w:val="22"/>
                <w:highlight w:val="non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开展答辩的，应当基于公平原则涵盖所有中标候选人，不得区别对待。答辩期间，不得与中标候选人就中标条件、合同实质性内容进行谈判。答辩活动应当全过程录音、录像并纳入招标档案统一存档备查。答辩应在定标前完成并将相关答辩结果作为定标资料提交定标会议。</w:t>
            </w:r>
          </w:p>
        </w:tc>
      </w:tr>
      <w:tr w14:paraId="0C26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center"/>
          </w:tcPr>
          <w:p w14:paraId="593CF056">
            <w:pPr>
              <w:jc w:val="center"/>
              <w:rPr>
                <w:rFonts w:hint="eastAsia" w:ascii="宋体" w:hAnsi="宋体" w:eastAsia="宋体" w:cs="宋体"/>
                <w:color w:val="auto"/>
                <w:kern w:val="2"/>
                <w:sz w:val="22"/>
                <w:szCs w:val="22"/>
                <w:highlight w:val="none"/>
                <w:u w:val="none"/>
                <w:vertAlign w:val="baseline"/>
                <w:lang w:val="en-US" w:eastAsia="zh-CN" w:bidi="ar-SA"/>
              </w:rPr>
            </w:pPr>
            <w:r>
              <w:rPr>
                <w:rFonts w:hint="eastAsia" w:ascii="宋体" w:hAnsi="宋体" w:eastAsia="宋体" w:cs="宋体"/>
                <w:color w:val="auto"/>
                <w:sz w:val="22"/>
                <w:szCs w:val="22"/>
                <w:highlight w:val="none"/>
                <w:u w:val="none"/>
                <w:vertAlign w:val="baseline"/>
                <w:lang w:val="en-US" w:eastAsia="zh-CN"/>
              </w:rPr>
              <w:t>5</w:t>
            </w:r>
          </w:p>
        </w:tc>
        <w:tc>
          <w:tcPr>
            <w:tcW w:w="1807" w:type="dxa"/>
            <w:shd w:val="clear" w:color="auto" w:fill="auto"/>
            <w:vAlign w:val="center"/>
          </w:tcPr>
          <w:p w14:paraId="0272D957">
            <w:pPr>
              <w:ind w:firstLine="440" w:firstLineChars="200"/>
              <w:jc w:val="center"/>
              <w:rPr>
                <w:rFonts w:hint="eastAsia" w:ascii="宋体" w:hAnsi="宋体" w:eastAsia="宋体" w:cs="宋体"/>
                <w:color w:val="auto"/>
                <w:kern w:val="2"/>
                <w:sz w:val="22"/>
                <w:szCs w:val="22"/>
                <w:highlight w:val="none"/>
                <w:u w:val="none"/>
                <w:vertAlign w:val="baseline"/>
                <w:lang w:val="en-US" w:eastAsia="zh-CN" w:bidi="ar-SA"/>
              </w:rPr>
            </w:pPr>
            <w:r>
              <w:rPr>
                <w:rFonts w:hint="eastAsia" w:ascii="宋体" w:hAnsi="宋体" w:cs="宋体"/>
                <w:color w:val="auto"/>
                <w:sz w:val="22"/>
                <w:szCs w:val="22"/>
                <w:highlight w:val="none"/>
                <w:u w:val="none"/>
                <w:vertAlign w:val="baseline"/>
                <w:lang w:val="en-US" w:eastAsia="zh-CN"/>
              </w:rPr>
              <w:t>定标因素</w:t>
            </w:r>
          </w:p>
        </w:tc>
        <w:tc>
          <w:tcPr>
            <w:tcW w:w="7123" w:type="dxa"/>
            <w:shd w:val="clear" w:color="auto" w:fill="auto"/>
            <w:vAlign w:val="top"/>
          </w:tcPr>
          <w:p w14:paraId="781E101A">
            <w:pPr>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定标因素:</w:t>
            </w:r>
            <w:r>
              <w:rPr>
                <w:rFonts w:hint="eastAsia" w:ascii="宋体" w:hAnsi="宋体" w:cs="宋体"/>
                <w:color w:val="auto"/>
                <w:sz w:val="22"/>
                <w:szCs w:val="22"/>
                <w:highlight w:val="none"/>
                <w:u w:val="single"/>
                <w:vertAlign w:val="baseline"/>
                <w:lang w:val="en-US" w:eastAsia="zh-CN"/>
              </w:rPr>
              <w:t xml:space="preserve">                     </w:t>
            </w:r>
          </w:p>
          <w:p w14:paraId="4F4C67BD">
            <w:pPr>
              <w:spacing w:line="240" w:lineRule="auto"/>
              <w:ind w:firstLine="0" w:firstLineChars="0"/>
              <w:jc w:val="left"/>
              <w:rPr>
                <w:rFonts w:hint="eastAsia" w:ascii="宋体" w:hAnsi="宋体" w:cs="宋体"/>
                <w:color w:val="FF0000"/>
                <w:szCs w:val="22"/>
                <w:highlight w:val="none"/>
              </w:rPr>
            </w:pPr>
            <w:r>
              <w:rPr>
                <w:rFonts w:hint="eastAsia" w:ascii="宋体" w:hAnsi="宋体" w:eastAsia="宋体" w:cs="宋体"/>
                <w:b w:val="0"/>
                <w:bCs/>
                <w:color w:val="FF0000"/>
                <w:kern w:val="2"/>
                <w:sz w:val="22"/>
                <w:szCs w:val="22"/>
                <w:highlight w:val="none"/>
                <w:u w:val="none"/>
                <w:vertAlign w:val="baseline"/>
                <w:lang w:val="en-US" w:eastAsia="zh-CN" w:bidi="ar-SA"/>
              </w:rPr>
              <w:t>注：（1）招标人应根据项目具体情况选择定标因素，不宜将投标文件编写水平优劣、评标专家评价高低、报价高低作为唯一依据，还应结合项目特征、规模、技术难度等，重点考察企业实力、信用状况、拟派团队管理技术实力等直接关系到履约能力和水平的因素。定标可参考以下要素：价格因素、企业实力、企业信誉、投标方案、拟派团队能力与水平、提供产品服务质量、招标人认为需要考量的其他合理因素。</w:t>
            </w:r>
          </w:p>
          <w:p w14:paraId="322EFF6D">
            <w:pPr>
              <w:spacing w:line="240" w:lineRule="auto"/>
              <w:ind w:firstLine="0" w:firstLineChars="0"/>
              <w:jc w:val="left"/>
              <w:rPr>
                <w:rFonts w:hint="eastAsia" w:ascii="宋体" w:hAnsi="宋体" w:cs="宋体"/>
                <w:b w:val="0"/>
                <w:bCs/>
                <w:color w:val="FF0000"/>
                <w:kern w:val="2"/>
                <w:sz w:val="22"/>
                <w:szCs w:val="22"/>
                <w:highlight w:val="none"/>
                <w:u w:val="none"/>
                <w:vertAlign w:val="baseli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（2）</w:t>
            </w:r>
            <w:r>
              <w:rPr>
                <w:rFonts w:hint="eastAsia" w:ascii="宋体" w:hAnsi="宋体" w:cs="宋体"/>
                <w:b w:val="0"/>
                <w:bCs/>
                <w:color w:val="FF0000"/>
                <w:kern w:val="2"/>
                <w:sz w:val="22"/>
                <w:szCs w:val="22"/>
                <w:highlight w:val="none"/>
                <w:u w:val="none"/>
                <w:vertAlign w:val="baseline"/>
                <w:lang w:val="en-US" w:eastAsia="zh-CN" w:bidi="ar-SA"/>
              </w:rPr>
              <w:t>仅面向中小企业发包的，在其他定标因素相当的情况下，原则上应优先选择小微建筑企业。</w:t>
            </w:r>
          </w:p>
          <w:p w14:paraId="675F1FB1">
            <w:pPr>
              <w:spacing w:line="240" w:lineRule="auto"/>
              <w:ind w:firstLine="0" w:firstLineChars="0"/>
              <w:jc w:val="left"/>
              <w:rPr>
                <w:rFonts w:hint="eastAsia" w:ascii="宋体" w:hAnsi="宋体" w:eastAsia="宋体" w:cs="宋体"/>
                <w:b w:val="0"/>
                <w:bCs/>
                <w:color w:val="FF0000"/>
                <w:kern w:val="2"/>
                <w:sz w:val="22"/>
                <w:szCs w:val="22"/>
                <w:highlight w:val="none"/>
                <w:u w:val="none"/>
                <w:vertAlign w:val="baseline"/>
                <w:lang w:val="en-US" w:eastAsia="zh-CN" w:bidi="ar-SA"/>
              </w:rPr>
            </w:pPr>
            <w:r>
              <w:rPr>
                <w:rFonts w:hint="eastAsia" w:ascii="宋体" w:hAnsi="宋体" w:cs="宋体"/>
                <w:b w:val="0"/>
                <w:bCs/>
                <w:color w:val="FF0000"/>
                <w:kern w:val="2"/>
                <w:sz w:val="22"/>
                <w:szCs w:val="22"/>
                <w:highlight w:val="none"/>
                <w:u w:val="none"/>
                <w:vertAlign w:val="baseline"/>
                <w:lang w:val="en-US" w:eastAsia="zh-CN" w:bidi="ar-SA"/>
              </w:rPr>
              <w:t>（3）</w:t>
            </w:r>
            <w:r>
              <w:rPr>
                <w:rFonts w:hint="eastAsia"/>
                <w:color w:val="FF0000"/>
                <w:u w:val="none"/>
              </w:rPr>
              <w:t>原则上优先面向中小企业发包</w:t>
            </w:r>
            <w:r>
              <w:rPr>
                <w:rFonts w:hint="eastAsia"/>
                <w:color w:val="FF0000"/>
                <w:u w:val="none"/>
                <w:lang w:val="en-US" w:eastAsia="zh-CN"/>
              </w:rPr>
              <w:t>的，</w:t>
            </w:r>
            <w:r>
              <w:rPr>
                <w:rFonts w:hint="eastAsia" w:ascii="宋体" w:hAnsi="宋体" w:cs="宋体"/>
                <w:b w:val="0"/>
                <w:bCs/>
                <w:color w:val="FF0000"/>
                <w:kern w:val="2"/>
                <w:sz w:val="22"/>
                <w:szCs w:val="22"/>
                <w:highlight w:val="none"/>
                <w:u w:val="none"/>
                <w:vertAlign w:val="baseline"/>
                <w:lang w:val="en-US" w:eastAsia="zh-CN" w:bidi="ar-SA"/>
              </w:rPr>
              <w:t>在其他定标因素相当的情况下，原则上应优先选择小微建筑企业、其次选择中型建筑企业。</w:t>
            </w:r>
          </w:p>
        </w:tc>
      </w:tr>
      <w:tr w14:paraId="16AB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315522CF">
            <w:pPr>
              <w:jc w:val="center"/>
              <w:rPr>
                <w:rFonts w:hint="eastAsia" w:ascii="宋体" w:hAnsi="宋体" w:eastAsia="宋体" w:cs="宋体"/>
                <w:color w:val="auto"/>
                <w:sz w:val="22"/>
                <w:szCs w:val="22"/>
                <w:highlight w:val="none"/>
                <w:u w:val="none"/>
                <w:vertAlign w:val="baseline"/>
                <w:lang w:val="en-US" w:eastAsia="zh-CN"/>
              </w:rPr>
            </w:pPr>
            <w:r>
              <w:rPr>
                <w:rFonts w:hint="eastAsia" w:ascii="宋体" w:hAnsi="宋体" w:eastAsia="宋体" w:cs="宋体"/>
                <w:color w:val="auto"/>
                <w:sz w:val="22"/>
                <w:szCs w:val="22"/>
                <w:highlight w:val="none"/>
                <w:u w:val="none"/>
                <w:vertAlign w:val="baseline"/>
                <w:lang w:val="en-US" w:eastAsia="zh-CN"/>
              </w:rPr>
              <w:t>6</w:t>
            </w:r>
          </w:p>
        </w:tc>
        <w:tc>
          <w:tcPr>
            <w:tcW w:w="1807" w:type="dxa"/>
            <w:vAlign w:val="center"/>
          </w:tcPr>
          <w:p w14:paraId="50439E33">
            <w:pPr>
              <w:ind w:firstLine="480"/>
              <w:jc w:val="center"/>
              <w:rPr>
                <w:rFonts w:hint="eastAsia" w:ascii="宋体" w:hAnsi="宋体" w:eastAsia="宋体" w:cs="宋体"/>
                <w:color w:val="auto"/>
                <w:sz w:val="22"/>
                <w:highlight w:val="none"/>
              </w:rPr>
            </w:pPr>
            <w:r>
              <w:rPr>
                <w:rFonts w:hint="eastAsia" w:ascii="宋体" w:hAnsi="宋体" w:cs="宋体"/>
                <w:color w:val="auto"/>
                <w:sz w:val="22"/>
                <w:szCs w:val="22"/>
                <w:highlight w:val="none"/>
                <w:u w:val="none"/>
                <w:vertAlign w:val="baseline"/>
                <w:lang w:val="en-US" w:eastAsia="zh-CN"/>
              </w:rPr>
              <w:t>定标方式</w:t>
            </w:r>
          </w:p>
        </w:tc>
        <w:tc>
          <w:tcPr>
            <w:tcW w:w="7123" w:type="dxa"/>
          </w:tcPr>
          <w:p w14:paraId="6CECCC25">
            <w:pPr>
              <w:numPr>
                <w:ilvl w:val="0"/>
                <w:numId w:val="0"/>
              </w:numPr>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color w:val="auto"/>
                <w:sz w:val="22"/>
                <w:szCs w:val="22"/>
                <w:highlight w:val="none"/>
                <w:u w:val="none"/>
                <w:vertAlign w:val="baseline"/>
                <w:lang w:val="en-US" w:eastAsia="zh-CN"/>
              </w:rPr>
              <w:t>招标人领导班子（党政机关、事业单位、团体组织的党委、党组，国有及国有控股企业相应“三重一大”决策层级）集体决策</w:t>
            </w:r>
          </w:p>
          <w:p w14:paraId="022EA99C">
            <w:pPr>
              <w:numPr>
                <w:ilvl w:val="0"/>
                <w:numId w:val="0"/>
              </w:numPr>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FF0000"/>
                <w:sz w:val="22"/>
                <w:szCs w:val="22"/>
                <w:highlight w:val="none"/>
                <w:u w:val="none"/>
                <w:vertAlign w:val="baseline"/>
                <w:lang w:val="en-US" w:eastAsia="zh-CN"/>
              </w:rPr>
              <w:t>（具体规则）</w:t>
            </w:r>
          </w:p>
          <w:p w14:paraId="0CA6042C">
            <w:pPr>
              <w:jc w:val="left"/>
              <w:rPr>
                <w:rFonts w:hint="eastAsia" w:ascii="宋体" w:hAnsi="宋体" w:cs="宋体"/>
                <w:color w:val="auto"/>
                <w:sz w:val="22"/>
                <w:szCs w:val="22"/>
                <w:highlight w:val="none"/>
                <w:u w:val="none"/>
                <w:vertAlign w:val="baseline"/>
                <w:lang w:val="en-US" w:eastAsia="zh-CN"/>
              </w:rPr>
            </w:pPr>
            <w:r>
              <w:rPr>
                <w:rFonts w:hint="eastAsia" w:asciiTheme="minorEastAsia" w:hAnsiTheme="minorEastAsia" w:cstheme="minorBidi"/>
                <w:color w:val="auto"/>
                <w:kern w:val="2"/>
                <w:sz w:val="21"/>
                <w:szCs w:val="21"/>
                <w:highlight w:val="none"/>
                <w:lang w:eastAsia="zh-CN"/>
              </w:rPr>
              <w:t>○</w:t>
            </w:r>
            <w:r>
              <w:rPr>
                <w:rFonts w:hint="eastAsia" w:ascii="宋体" w:hAnsi="宋体" w:cs="宋体"/>
                <w:color w:val="auto"/>
                <w:sz w:val="22"/>
                <w:szCs w:val="22"/>
                <w:highlight w:val="none"/>
                <w:u w:val="none"/>
                <w:vertAlign w:val="baseline"/>
                <w:lang w:val="en-US" w:eastAsia="zh-CN"/>
              </w:rPr>
              <w:t>组建定标委员会确定（</w:t>
            </w:r>
            <w:r>
              <w:rPr>
                <w:rFonts w:hint="eastAsia" w:ascii="宋体" w:hAnsi="宋体" w:cs="宋体"/>
                <w:sz w:val="22"/>
                <w:szCs w:val="22"/>
              </w:rPr>
              <w:t>□</w:t>
            </w:r>
            <w:r>
              <w:rPr>
                <w:rFonts w:hint="eastAsia" w:ascii="宋体" w:hAnsi="宋体" w:cs="宋体"/>
                <w:color w:val="auto"/>
                <w:sz w:val="22"/>
                <w:szCs w:val="22"/>
                <w:highlight w:val="none"/>
                <w:u w:val="none"/>
                <w:vertAlign w:val="baseline"/>
                <w:lang w:val="en-US" w:eastAsia="zh-CN"/>
              </w:rPr>
              <w:t xml:space="preserve">直接票决制  </w:t>
            </w:r>
            <w:r>
              <w:rPr>
                <w:rFonts w:hint="eastAsia" w:ascii="宋体" w:hAnsi="宋体" w:cs="宋体"/>
                <w:sz w:val="22"/>
                <w:szCs w:val="22"/>
              </w:rPr>
              <w:t>□</w:t>
            </w:r>
            <w:r>
              <w:rPr>
                <w:rFonts w:hint="eastAsia" w:ascii="宋体" w:hAnsi="宋体" w:cs="宋体"/>
                <w:color w:val="auto"/>
                <w:sz w:val="22"/>
                <w:szCs w:val="22"/>
                <w:highlight w:val="none"/>
                <w:u w:val="none"/>
                <w:vertAlign w:val="baseline"/>
                <w:lang w:val="en-US" w:eastAsia="zh-CN"/>
              </w:rPr>
              <w:t xml:space="preserve">逐轮票决制 </w:t>
            </w:r>
            <w:r>
              <w:rPr>
                <w:rFonts w:hint="eastAsia" w:ascii="宋体" w:hAnsi="宋体" w:cs="宋体"/>
                <w:sz w:val="22"/>
                <w:szCs w:val="22"/>
              </w:rPr>
              <w:t>□</w:t>
            </w:r>
            <w:r>
              <w:rPr>
                <w:rFonts w:hint="eastAsia" w:ascii="宋体" w:hAnsi="宋体" w:cs="宋体"/>
                <w:color w:val="auto"/>
                <w:sz w:val="22"/>
                <w:szCs w:val="22"/>
                <w:highlight w:val="none"/>
                <w:u w:val="none"/>
                <w:vertAlign w:val="baseline"/>
                <w:lang w:val="en-US" w:eastAsia="zh-CN"/>
              </w:rPr>
              <w:t>其他）</w:t>
            </w:r>
          </w:p>
          <w:p w14:paraId="58D98DA6">
            <w:pPr>
              <w:numPr>
                <w:ilvl w:val="0"/>
                <w:numId w:val="0"/>
              </w:numPr>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FF0000"/>
                <w:sz w:val="22"/>
                <w:szCs w:val="22"/>
                <w:highlight w:val="none"/>
                <w:u w:val="none"/>
                <w:vertAlign w:val="baseline"/>
                <w:lang w:val="en-US" w:eastAsia="zh-CN"/>
              </w:rPr>
              <w:t>（具体规则）</w:t>
            </w:r>
          </w:p>
          <w:p w14:paraId="2F017B49">
            <w:pPr>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定标委员会组成:</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p>
          <w:p w14:paraId="78A0A843">
            <w:pPr>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数量:</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p>
          <w:p w14:paraId="527D58C6">
            <w:pPr>
              <w:jc w:val="left"/>
              <w:rPr>
                <w:rFonts w:hint="eastAsia" w:ascii="宋体" w:hAnsi="宋体" w:cs="宋体"/>
                <w:color w:val="auto"/>
                <w:sz w:val="22"/>
                <w:szCs w:val="22"/>
                <w:highlight w:val="none"/>
                <w:u w:val="single"/>
                <w:vertAlign w:val="baseline"/>
                <w:lang w:val="en-US" w:eastAsia="zh-CN"/>
              </w:rPr>
            </w:pPr>
            <w:r>
              <w:rPr>
                <w:rFonts w:hint="eastAsia" w:ascii="宋体" w:hAnsi="宋体" w:cs="宋体"/>
                <w:color w:val="auto"/>
                <w:sz w:val="22"/>
                <w:szCs w:val="22"/>
                <w:highlight w:val="none"/>
                <w:u w:val="none"/>
                <w:vertAlign w:val="baseline"/>
                <w:lang w:val="en-US" w:eastAsia="zh-CN"/>
              </w:rPr>
              <w:t>定标委员会成员应当回避的具体情形：</w:t>
            </w:r>
            <w:r>
              <w:rPr>
                <w:rFonts w:hint="eastAsia" w:ascii="宋体" w:hAnsi="宋体" w:cs="宋体"/>
                <w:color w:val="auto"/>
                <w:sz w:val="22"/>
                <w:szCs w:val="22"/>
                <w:highlight w:val="none"/>
                <w:u w:val="single"/>
                <w:vertAlign w:val="baseline"/>
                <w:lang w:val="en-US" w:eastAsia="zh-CN"/>
              </w:rPr>
              <w:t xml:space="preserve">      </w:t>
            </w:r>
            <w:r>
              <w:rPr>
                <w:rFonts w:hint="eastAsia" w:ascii="宋体" w:hAnsi="宋体" w:cs="宋体"/>
                <w:color w:val="auto"/>
                <w:sz w:val="22"/>
                <w:szCs w:val="22"/>
                <w:highlight w:val="none"/>
                <w:u w:val="single"/>
                <w:vertAlign w:val="baseline"/>
                <w:lang w:eastAsia="zh-CN"/>
              </w:rPr>
              <w:t xml:space="preserve">    </w:t>
            </w:r>
            <w:r>
              <w:rPr>
                <w:rFonts w:hint="eastAsia" w:ascii="宋体" w:hAnsi="宋体" w:cs="宋体"/>
                <w:color w:val="auto"/>
                <w:sz w:val="22"/>
                <w:szCs w:val="22"/>
                <w:highlight w:val="none"/>
                <w:u w:val="single"/>
                <w:vertAlign w:val="baseline"/>
                <w:lang w:val="en-US" w:eastAsia="zh-CN"/>
              </w:rPr>
              <w:t xml:space="preserve">       </w:t>
            </w:r>
          </w:p>
          <w:p w14:paraId="768F663D">
            <w:pPr>
              <w:pStyle w:val="36"/>
              <w:ind w:left="0" w:leftChars="0" w:firstLine="0" w:firstLineChars="0"/>
              <w:rPr>
                <w:rFonts w:hint="eastAsia" w:ascii="宋体" w:hAnsi="宋体" w:eastAsia="宋体" w:cs="宋体"/>
                <w:color w:val="auto"/>
                <w:sz w:val="22"/>
                <w:highlight w:val="non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招标控制价在3000万元以下，使用通用技术、性能标准，或者招标人对技术、性能没有特殊要求的施工项目，宜通过招标人议事决策机制直接定标。项目规模较大、技术较为复杂的项目，招标人可以组建定标委员会负责定标事宜。</w:t>
            </w:r>
          </w:p>
        </w:tc>
      </w:tr>
    </w:tbl>
    <w:p w14:paraId="383452F7">
      <w:pPr>
        <w:rPr>
          <w:rFonts w:ascii="Times New Roman" w:hAnsi="Times New Roman" w:cstheme="minorBidi"/>
          <w:color w:val="FF0000"/>
          <w:highlight w:val="none"/>
          <w:lang w:eastAsia="zh-CN"/>
        </w:rPr>
      </w:pPr>
      <w:r>
        <w:rPr>
          <w:rFonts w:hint="eastAsia" w:ascii="Times New Roman" w:hAnsi="Times New Roman" w:cstheme="minorBidi"/>
          <w:color w:val="FF0000"/>
          <w:sz w:val="21"/>
          <w:szCs w:val="21"/>
          <w:highlight w:val="none"/>
          <w:lang w:eastAsia="zh-CN"/>
        </w:rPr>
        <w:t>注：招标人应结合项目实际编制定标方案，具体要求详见《四川省发展和改革委员会等部门关于扩面推广工程建设项目招标投标中标候选人评定分离机制的通知》。</w:t>
      </w:r>
    </w:p>
    <w:p w14:paraId="2A755CD6">
      <w:pPr>
        <w:pStyle w:val="11"/>
      </w:pPr>
    </w:p>
    <w:sectPr>
      <w:pgSz w:w="11906" w:h="16838"/>
      <w:pgMar w:top="1134" w:right="1134" w:bottom="1134" w:left="113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4A0C6AB-D023-4B3D-9029-D080ADEA75F5}"/>
  </w:font>
  <w:font w:name="黑体">
    <w:panose1 w:val="02010609060101010101"/>
    <w:charset w:val="86"/>
    <w:family w:val="auto"/>
    <w:pitch w:val="default"/>
    <w:sig w:usb0="800002BF" w:usb1="38CF7CFA" w:usb2="00000016" w:usb3="00000000" w:csb0="00040001" w:csb1="00000000"/>
    <w:embedRegular r:id="rId2" w:fontKey="{9B98EF72-DA9F-4B7C-A7C1-35DFC72933CB}"/>
  </w:font>
  <w:font w:name="Courier New">
    <w:panose1 w:val="02070309020205020404"/>
    <w:charset w:val="01"/>
    <w:family w:val="modern"/>
    <w:pitch w:val="default"/>
    <w:sig w:usb0="E0002EFF" w:usb1="C0007843" w:usb2="00000009" w:usb3="00000000" w:csb0="400001FF" w:csb1="FFFF0000"/>
    <w:embedRegular r:id="rId3" w:fontKey="{93153EFD-3466-4879-B799-A132067AD6F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D5A6BC0C-DD20-4743-8696-9D57A3493287}"/>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E60F4474-453E-48FD-8172-B87D56919F51}"/>
  </w:font>
  <w:font w:name="方正仿宋_GB2312">
    <w:panose1 w:val="02000000000000000000"/>
    <w:charset w:val="86"/>
    <w:family w:val="auto"/>
    <w:pitch w:val="default"/>
    <w:sig w:usb0="A00002BF" w:usb1="184F6CFA" w:usb2="00000012" w:usb3="00000000" w:csb0="00040001" w:csb1="00000000"/>
    <w:embedRegular r:id="rId6" w:fontKey="{9D47E635-BBD7-4000-A620-C82C5F1A38A1}"/>
  </w:font>
  <w:font w:name="Wingdings 2">
    <w:panose1 w:val="05020102010507070707"/>
    <w:charset w:val="02"/>
    <w:family w:val="roman"/>
    <w:pitch w:val="default"/>
    <w:sig w:usb0="00000000" w:usb1="00000000" w:usb2="00000000" w:usb3="00000000" w:csb0="80000000" w:csb1="00000000"/>
    <w:embedRegular r:id="rId7" w:fontKey="{34AE96CE-9797-4A9C-A854-983552DF8BE1}"/>
  </w:font>
  <w:font w:name="Microsoft JhengHei">
    <w:panose1 w:val="020B0604030504040204"/>
    <w:charset w:val="88"/>
    <w:family w:val="swiss"/>
    <w:pitch w:val="default"/>
    <w:sig w:usb0="000002A7" w:usb1="28CF4400" w:usb2="00000016" w:usb3="00000000" w:csb0="00100009" w:csb1="00000000"/>
    <w:embedRegular r:id="rId8" w:fontKey="{FB18D3D3-0FA9-417C-A942-A4F481E9AC6E}"/>
  </w:font>
  <w:font w:name="MingLiU">
    <w:altName w:val="PMingLiU-ExtB"/>
    <w:panose1 w:val="02010609000101010101"/>
    <w:charset w:val="88"/>
    <w:family w:val="modern"/>
    <w:pitch w:val="default"/>
    <w:sig w:usb0="00000000" w:usb1="00000000" w:usb2="00000010" w:usb3="00000000" w:csb0="00100000" w:csb1="00000000"/>
    <w:embedRegular r:id="rId9" w:fontKey="{863EBA94-3CB4-4B8F-922B-3AADCF00AD1B}"/>
  </w:font>
  <w:font w:name="PMingLiU-ExtB">
    <w:panose1 w:val="02020500000000000000"/>
    <w:charset w:val="88"/>
    <w:family w:val="auto"/>
    <w:pitch w:val="default"/>
    <w:sig w:usb0="8000002F" w:usb1="02000008" w:usb2="00000000" w:usb3="00000000" w:csb0="00100001" w:csb1="00000000"/>
  </w:font>
  <w:font w:name="WPSEMBED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8E81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FBC1E">
    <w:pPr>
      <w:pStyle w:val="13"/>
      <w:tabs>
        <w:tab w:val="center" w:pos="4986"/>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14F0A">
    <w:pPr>
      <w:pStyle w:val="13"/>
      <w:tabs>
        <w:tab w:val="center" w:pos="498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57C1C">
                          <w:pPr>
                            <w:pStyle w:val="1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F257C1C">
                    <w:pPr>
                      <w:pStyle w:val="13"/>
                    </w:pPr>
                    <w:r>
                      <w:fldChar w:fldCharType="begin"/>
                    </w:r>
                    <w:r>
                      <w:instrText xml:space="preserve"> PAGE  \* MERGEFORMAT </w:instrText>
                    </w:r>
                    <w:r>
                      <w:fldChar w:fldCharType="separate"/>
                    </w:r>
                    <w:r>
                      <w:t>31</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89786">
    <w:pPr>
      <w:spacing w:line="14" w:lineRule="auto"/>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5F496">
                          <w:pPr>
                            <w:pStyle w:val="13"/>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3A5F496">
                    <w:pPr>
                      <w:pStyle w:val="13"/>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E0A9D">
    <w:pPr>
      <w:spacing w:line="14" w:lineRule="auto"/>
      <w:rPr>
        <w:sz w:val="20"/>
        <w:szCs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57B7A">
                          <w:pPr>
                            <w:pStyle w:val="13"/>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8157B7A">
                    <w:pPr>
                      <w:pStyle w:val="13"/>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4786">
    <w:pPr>
      <w:spacing w:line="14" w:lineRule="auto"/>
      <w:rPr>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BCAB9">
                          <w:pPr>
                            <w:pStyle w:val="13"/>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EBBCAB9">
                    <w:pPr>
                      <w:pStyle w:val="13"/>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C7BAD">
    <w:pPr>
      <w:spacing w:line="14" w:lineRule="auto"/>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6DB01">
                          <w:pPr>
                            <w:pStyle w:val="13"/>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D26DB01">
                    <w:pPr>
                      <w:pStyle w:val="13"/>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26B64"/>
    <w:multiLevelType w:val="singleLevel"/>
    <w:tmpl w:val="80726B64"/>
    <w:lvl w:ilvl="0" w:tentative="0">
      <w:start w:val="4"/>
      <w:numFmt w:val="decimal"/>
      <w:suff w:val="space"/>
      <w:lvlText w:val="%1."/>
      <w:lvlJc w:val="left"/>
    </w:lvl>
  </w:abstractNum>
  <w:abstractNum w:abstractNumId="1">
    <w:nsid w:val="BA6A5ED5"/>
    <w:multiLevelType w:val="singleLevel"/>
    <w:tmpl w:val="BA6A5ED5"/>
    <w:lvl w:ilvl="0" w:tentative="0">
      <w:start w:val="1"/>
      <w:numFmt w:val="chineseCounting"/>
      <w:suff w:val="nothing"/>
      <w:lvlText w:val="（%1）"/>
      <w:lvlJc w:val="left"/>
      <w:rPr>
        <w:rFonts w:hint="eastAsia"/>
      </w:rPr>
    </w:lvl>
  </w:abstractNum>
  <w:abstractNum w:abstractNumId="2">
    <w:nsid w:val="C6D42E82"/>
    <w:multiLevelType w:val="singleLevel"/>
    <w:tmpl w:val="C6D42E82"/>
    <w:lvl w:ilvl="0" w:tentative="0">
      <w:start w:val="1"/>
      <w:numFmt w:val="chineseCounting"/>
      <w:suff w:val="nothing"/>
      <w:lvlText w:val="%1、"/>
      <w:lvlJc w:val="left"/>
      <w:rPr>
        <w:rFonts w:hint="eastAsia"/>
      </w:rPr>
    </w:lvl>
  </w:abstractNum>
  <w:abstractNum w:abstractNumId="3">
    <w:nsid w:val="DAE1292F"/>
    <w:multiLevelType w:val="singleLevel"/>
    <w:tmpl w:val="DAE1292F"/>
    <w:lvl w:ilvl="0" w:tentative="0">
      <w:start w:val="2"/>
      <w:numFmt w:val="decimal"/>
      <w:suff w:val="nothing"/>
      <w:lvlText w:val="%1、"/>
      <w:lvlJc w:val="left"/>
    </w:lvl>
  </w:abstractNum>
  <w:abstractNum w:abstractNumId="4">
    <w:nsid w:val="0A5DAB46"/>
    <w:multiLevelType w:val="singleLevel"/>
    <w:tmpl w:val="0A5DAB46"/>
    <w:lvl w:ilvl="0" w:tentative="0">
      <w:start w:val="4"/>
      <w:numFmt w:val="chineseCounting"/>
      <w:suff w:val="space"/>
      <w:lvlText w:val="第%1章"/>
      <w:lvlJc w:val="left"/>
      <w:rPr>
        <w:rFonts w:hint="eastAsia"/>
      </w:rPr>
    </w:lvl>
  </w:abstractNum>
  <w:abstractNum w:abstractNumId="5">
    <w:nsid w:val="1481B142"/>
    <w:multiLevelType w:val="singleLevel"/>
    <w:tmpl w:val="1481B142"/>
    <w:lvl w:ilvl="0" w:tentative="0">
      <w:start w:val="1"/>
      <w:numFmt w:val="decimal"/>
      <w:suff w:val="nothing"/>
      <w:lvlText w:val="（%1）"/>
      <w:lvlJc w:val="left"/>
    </w:lvl>
  </w:abstractNum>
  <w:abstractNum w:abstractNumId="6">
    <w:nsid w:val="239E42BC"/>
    <w:multiLevelType w:val="singleLevel"/>
    <w:tmpl w:val="239E42BC"/>
    <w:lvl w:ilvl="0" w:tentative="0">
      <w:start w:val="1"/>
      <w:numFmt w:val="chineseCounting"/>
      <w:suff w:val="nothing"/>
      <w:lvlText w:val="（%1）"/>
      <w:lvlJc w:val="left"/>
      <w:rPr>
        <w:rFonts w:hint="eastAsia"/>
      </w:rPr>
    </w:lvl>
  </w:abstractNum>
  <w:abstractNum w:abstractNumId="7">
    <w:nsid w:val="64E2023A"/>
    <w:multiLevelType w:val="multilevel"/>
    <w:tmpl w:val="64E202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7"/>
  </w:num>
  <w:num w:numId="3">
    <w:abstractNumId w:val="4"/>
  </w:num>
  <w:num w:numId="4">
    <w:abstractNumId w:val="3"/>
  </w:num>
  <w:num w:numId="5">
    <w:abstractNumId w:val="2"/>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hideSpellingErrors/>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ZWFkYjYzZjJiOWI5NDFiYTQzMDJmNmZhMDk5NjcifQ=="/>
  </w:docVars>
  <w:rsids>
    <w:rsidRoot w:val="00172A27"/>
    <w:rsid w:val="00172A27"/>
    <w:rsid w:val="0020662F"/>
    <w:rsid w:val="002A767E"/>
    <w:rsid w:val="002C45DC"/>
    <w:rsid w:val="003C2EFA"/>
    <w:rsid w:val="003D55B9"/>
    <w:rsid w:val="004B02E3"/>
    <w:rsid w:val="004D57BE"/>
    <w:rsid w:val="005D317F"/>
    <w:rsid w:val="00646F83"/>
    <w:rsid w:val="00754CA2"/>
    <w:rsid w:val="007B4ACE"/>
    <w:rsid w:val="00841C5B"/>
    <w:rsid w:val="008B023A"/>
    <w:rsid w:val="00970F6A"/>
    <w:rsid w:val="00985D3A"/>
    <w:rsid w:val="00991609"/>
    <w:rsid w:val="009A0420"/>
    <w:rsid w:val="009E394A"/>
    <w:rsid w:val="009E619E"/>
    <w:rsid w:val="00A00ABD"/>
    <w:rsid w:val="00A6077E"/>
    <w:rsid w:val="00B01F1B"/>
    <w:rsid w:val="00B409B2"/>
    <w:rsid w:val="00B47845"/>
    <w:rsid w:val="00B737A8"/>
    <w:rsid w:val="00BD1F36"/>
    <w:rsid w:val="00C27DDC"/>
    <w:rsid w:val="00DF68E0"/>
    <w:rsid w:val="00E77737"/>
    <w:rsid w:val="00FB4E41"/>
    <w:rsid w:val="014666C5"/>
    <w:rsid w:val="01612EDB"/>
    <w:rsid w:val="01A4627A"/>
    <w:rsid w:val="01B67A45"/>
    <w:rsid w:val="01C17F70"/>
    <w:rsid w:val="01F6365D"/>
    <w:rsid w:val="02810978"/>
    <w:rsid w:val="028170C5"/>
    <w:rsid w:val="02AE60E5"/>
    <w:rsid w:val="02E50AA8"/>
    <w:rsid w:val="03084734"/>
    <w:rsid w:val="03234164"/>
    <w:rsid w:val="03827B74"/>
    <w:rsid w:val="039E341F"/>
    <w:rsid w:val="03A75D8D"/>
    <w:rsid w:val="03CB7744"/>
    <w:rsid w:val="03DE304E"/>
    <w:rsid w:val="043B716E"/>
    <w:rsid w:val="046528F1"/>
    <w:rsid w:val="048803B9"/>
    <w:rsid w:val="050D0BEF"/>
    <w:rsid w:val="0518586B"/>
    <w:rsid w:val="05E1216A"/>
    <w:rsid w:val="05F66993"/>
    <w:rsid w:val="060B6023"/>
    <w:rsid w:val="06363EE3"/>
    <w:rsid w:val="06612C9D"/>
    <w:rsid w:val="069C29A2"/>
    <w:rsid w:val="06A66D2A"/>
    <w:rsid w:val="06C54BC8"/>
    <w:rsid w:val="06DC6A23"/>
    <w:rsid w:val="071C4619"/>
    <w:rsid w:val="07283837"/>
    <w:rsid w:val="072F2C30"/>
    <w:rsid w:val="084154DE"/>
    <w:rsid w:val="085563DD"/>
    <w:rsid w:val="08597FF8"/>
    <w:rsid w:val="0885444C"/>
    <w:rsid w:val="08A8730E"/>
    <w:rsid w:val="08B43490"/>
    <w:rsid w:val="08DB07BA"/>
    <w:rsid w:val="08FD33DC"/>
    <w:rsid w:val="0996504B"/>
    <w:rsid w:val="09EB0316"/>
    <w:rsid w:val="09FF598E"/>
    <w:rsid w:val="0A1E12A6"/>
    <w:rsid w:val="0A275B8E"/>
    <w:rsid w:val="0A691417"/>
    <w:rsid w:val="0A843284"/>
    <w:rsid w:val="0ADE466E"/>
    <w:rsid w:val="0B1A0FCF"/>
    <w:rsid w:val="0B377B1A"/>
    <w:rsid w:val="0B7817B9"/>
    <w:rsid w:val="0B7A6066"/>
    <w:rsid w:val="0B7D0F70"/>
    <w:rsid w:val="0B837303"/>
    <w:rsid w:val="0B982CC5"/>
    <w:rsid w:val="0C47147C"/>
    <w:rsid w:val="0C834577"/>
    <w:rsid w:val="0CA5652F"/>
    <w:rsid w:val="0CAC1F63"/>
    <w:rsid w:val="0D1C5698"/>
    <w:rsid w:val="0D2C1F07"/>
    <w:rsid w:val="0D5B2FB6"/>
    <w:rsid w:val="0D7129E8"/>
    <w:rsid w:val="0DB309DB"/>
    <w:rsid w:val="0E125691"/>
    <w:rsid w:val="0E383B6C"/>
    <w:rsid w:val="0E7A7852"/>
    <w:rsid w:val="0E943D89"/>
    <w:rsid w:val="0EE03FE7"/>
    <w:rsid w:val="0EEC6744"/>
    <w:rsid w:val="0EF11B52"/>
    <w:rsid w:val="0F33640C"/>
    <w:rsid w:val="0F975119"/>
    <w:rsid w:val="0FB21E2F"/>
    <w:rsid w:val="0FE6540B"/>
    <w:rsid w:val="10291AB8"/>
    <w:rsid w:val="10492DAB"/>
    <w:rsid w:val="107C0D19"/>
    <w:rsid w:val="109C56C1"/>
    <w:rsid w:val="10C60104"/>
    <w:rsid w:val="11730E05"/>
    <w:rsid w:val="11975230"/>
    <w:rsid w:val="11EA3FF1"/>
    <w:rsid w:val="120A6E42"/>
    <w:rsid w:val="12890B90"/>
    <w:rsid w:val="12903A5F"/>
    <w:rsid w:val="13182193"/>
    <w:rsid w:val="13E02B99"/>
    <w:rsid w:val="13E50804"/>
    <w:rsid w:val="140457E7"/>
    <w:rsid w:val="14484F0A"/>
    <w:rsid w:val="1504303A"/>
    <w:rsid w:val="15784F11"/>
    <w:rsid w:val="15AC3F9C"/>
    <w:rsid w:val="15F632D3"/>
    <w:rsid w:val="161C31AE"/>
    <w:rsid w:val="16497820"/>
    <w:rsid w:val="16C5204E"/>
    <w:rsid w:val="16D021C1"/>
    <w:rsid w:val="17127A9B"/>
    <w:rsid w:val="17313823"/>
    <w:rsid w:val="173B7AD6"/>
    <w:rsid w:val="17660122"/>
    <w:rsid w:val="179D54F0"/>
    <w:rsid w:val="18330AE8"/>
    <w:rsid w:val="18681247"/>
    <w:rsid w:val="18753975"/>
    <w:rsid w:val="18B70946"/>
    <w:rsid w:val="18CA033D"/>
    <w:rsid w:val="19017282"/>
    <w:rsid w:val="19F808D8"/>
    <w:rsid w:val="1A290400"/>
    <w:rsid w:val="1A7036FF"/>
    <w:rsid w:val="1A7B50AD"/>
    <w:rsid w:val="1A9E3B75"/>
    <w:rsid w:val="1AC608CC"/>
    <w:rsid w:val="1B844742"/>
    <w:rsid w:val="1B895B26"/>
    <w:rsid w:val="1BDA5D93"/>
    <w:rsid w:val="1BF319C6"/>
    <w:rsid w:val="1C0C4620"/>
    <w:rsid w:val="1C3A7A40"/>
    <w:rsid w:val="1C5A50D6"/>
    <w:rsid w:val="1C730D0F"/>
    <w:rsid w:val="1CA911C3"/>
    <w:rsid w:val="1CE5622D"/>
    <w:rsid w:val="1D0429B4"/>
    <w:rsid w:val="1D183CB3"/>
    <w:rsid w:val="1D3F6244"/>
    <w:rsid w:val="1D5D5A73"/>
    <w:rsid w:val="1DEC5649"/>
    <w:rsid w:val="1E13574F"/>
    <w:rsid w:val="1E7B3D6B"/>
    <w:rsid w:val="1E883755"/>
    <w:rsid w:val="1EAA6104"/>
    <w:rsid w:val="1F5B6CCF"/>
    <w:rsid w:val="1F9277B8"/>
    <w:rsid w:val="1FC32644"/>
    <w:rsid w:val="200E64F7"/>
    <w:rsid w:val="201A4DBC"/>
    <w:rsid w:val="204D75E2"/>
    <w:rsid w:val="20E33285"/>
    <w:rsid w:val="20E616A8"/>
    <w:rsid w:val="20EC3F80"/>
    <w:rsid w:val="20FB54AA"/>
    <w:rsid w:val="21232245"/>
    <w:rsid w:val="214D178A"/>
    <w:rsid w:val="216E3D0B"/>
    <w:rsid w:val="21BC24CA"/>
    <w:rsid w:val="21CC60BB"/>
    <w:rsid w:val="21CE265A"/>
    <w:rsid w:val="22490E2E"/>
    <w:rsid w:val="22D27797"/>
    <w:rsid w:val="231A2E2F"/>
    <w:rsid w:val="233025BC"/>
    <w:rsid w:val="23670F8F"/>
    <w:rsid w:val="237C1B82"/>
    <w:rsid w:val="238F44E6"/>
    <w:rsid w:val="239F11E6"/>
    <w:rsid w:val="23EE6D49"/>
    <w:rsid w:val="240B6D90"/>
    <w:rsid w:val="246F6D3F"/>
    <w:rsid w:val="249D31D3"/>
    <w:rsid w:val="24C432B9"/>
    <w:rsid w:val="24ED3C91"/>
    <w:rsid w:val="25382489"/>
    <w:rsid w:val="255C7576"/>
    <w:rsid w:val="256A5C1A"/>
    <w:rsid w:val="25906066"/>
    <w:rsid w:val="25AF3AA2"/>
    <w:rsid w:val="262607A6"/>
    <w:rsid w:val="26810224"/>
    <w:rsid w:val="2682699A"/>
    <w:rsid w:val="26C26FDC"/>
    <w:rsid w:val="26EB54E7"/>
    <w:rsid w:val="272A5824"/>
    <w:rsid w:val="27466A6E"/>
    <w:rsid w:val="274679DD"/>
    <w:rsid w:val="27534038"/>
    <w:rsid w:val="277B030D"/>
    <w:rsid w:val="27A3096B"/>
    <w:rsid w:val="27C91D00"/>
    <w:rsid w:val="27EC35F7"/>
    <w:rsid w:val="27ED0C75"/>
    <w:rsid w:val="28180C8B"/>
    <w:rsid w:val="282027F1"/>
    <w:rsid w:val="286D59EB"/>
    <w:rsid w:val="287B709F"/>
    <w:rsid w:val="288F719F"/>
    <w:rsid w:val="28A76938"/>
    <w:rsid w:val="28B57836"/>
    <w:rsid w:val="29150005"/>
    <w:rsid w:val="29BD7A29"/>
    <w:rsid w:val="29EC748A"/>
    <w:rsid w:val="2A012162"/>
    <w:rsid w:val="2A462747"/>
    <w:rsid w:val="2A4B7D59"/>
    <w:rsid w:val="2A674494"/>
    <w:rsid w:val="2A8C7596"/>
    <w:rsid w:val="2B035C08"/>
    <w:rsid w:val="2B0B03F9"/>
    <w:rsid w:val="2B136138"/>
    <w:rsid w:val="2B1B45DC"/>
    <w:rsid w:val="2B1C49D2"/>
    <w:rsid w:val="2B1F410E"/>
    <w:rsid w:val="2C12605B"/>
    <w:rsid w:val="2C5A1CD2"/>
    <w:rsid w:val="2C75731E"/>
    <w:rsid w:val="2C8F3ED4"/>
    <w:rsid w:val="2CB61AF3"/>
    <w:rsid w:val="2CB7248F"/>
    <w:rsid w:val="2CD74687"/>
    <w:rsid w:val="2CF25E95"/>
    <w:rsid w:val="2D835DF0"/>
    <w:rsid w:val="2DA06BF7"/>
    <w:rsid w:val="2DC61516"/>
    <w:rsid w:val="2DC75BC6"/>
    <w:rsid w:val="2DDF42A3"/>
    <w:rsid w:val="2DF806F8"/>
    <w:rsid w:val="2E060325"/>
    <w:rsid w:val="2E8B7B04"/>
    <w:rsid w:val="2E94166C"/>
    <w:rsid w:val="2EC171C6"/>
    <w:rsid w:val="2F254CDC"/>
    <w:rsid w:val="2F935EF0"/>
    <w:rsid w:val="2FA7754E"/>
    <w:rsid w:val="2FAC1E56"/>
    <w:rsid w:val="2FAD4B05"/>
    <w:rsid w:val="2FAE74F1"/>
    <w:rsid w:val="2FBF3B5B"/>
    <w:rsid w:val="2FCB6BAC"/>
    <w:rsid w:val="3004484F"/>
    <w:rsid w:val="30097581"/>
    <w:rsid w:val="304E37B0"/>
    <w:rsid w:val="309609C2"/>
    <w:rsid w:val="31045CB1"/>
    <w:rsid w:val="3138634D"/>
    <w:rsid w:val="3159476E"/>
    <w:rsid w:val="315B2092"/>
    <w:rsid w:val="31897F98"/>
    <w:rsid w:val="31C82673"/>
    <w:rsid w:val="31CA4C5E"/>
    <w:rsid w:val="322E6F38"/>
    <w:rsid w:val="325F39F3"/>
    <w:rsid w:val="32847A67"/>
    <w:rsid w:val="32C97A3C"/>
    <w:rsid w:val="32D828B7"/>
    <w:rsid w:val="33461432"/>
    <w:rsid w:val="337A4750"/>
    <w:rsid w:val="339B5279"/>
    <w:rsid w:val="33BD0685"/>
    <w:rsid w:val="33D518BD"/>
    <w:rsid w:val="345D5D81"/>
    <w:rsid w:val="34AD7485"/>
    <w:rsid w:val="35713ADD"/>
    <w:rsid w:val="359C6607"/>
    <w:rsid w:val="35F527D9"/>
    <w:rsid w:val="360F36CE"/>
    <w:rsid w:val="36295DB7"/>
    <w:rsid w:val="36A350A6"/>
    <w:rsid w:val="36B246F6"/>
    <w:rsid w:val="36F243E3"/>
    <w:rsid w:val="36F776FB"/>
    <w:rsid w:val="373504EF"/>
    <w:rsid w:val="3749499B"/>
    <w:rsid w:val="37895B66"/>
    <w:rsid w:val="385779DC"/>
    <w:rsid w:val="38C3256F"/>
    <w:rsid w:val="38C63D37"/>
    <w:rsid w:val="38D75825"/>
    <w:rsid w:val="3917335D"/>
    <w:rsid w:val="39E43F51"/>
    <w:rsid w:val="39F82229"/>
    <w:rsid w:val="3A7F3464"/>
    <w:rsid w:val="3AE457FB"/>
    <w:rsid w:val="3B024640"/>
    <w:rsid w:val="3B0A7CD4"/>
    <w:rsid w:val="3B3958CF"/>
    <w:rsid w:val="3BA64FD0"/>
    <w:rsid w:val="3C3907B6"/>
    <w:rsid w:val="3C8850E1"/>
    <w:rsid w:val="3C9628C6"/>
    <w:rsid w:val="3CA71017"/>
    <w:rsid w:val="3CE81A31"/>
    <w:rsid w:val="3CF7540C"/>
    <w:rsid w:val="3CFB2793"/>
    <w:rsid w:val="3D0B0F78"/>
    <w:rsid w:val="3D577A9F"/>
    <w:rsid w:val="3D721089"/>
    <w:rsid w:val="3DCA6B17"/>
    <w:rsid w:val="3DF2576E"/>
    <w:rsid w:val="3E1B4511"/>
    <w:rsid w:val="3E3A034D"/>
    <w:rsid w:val="3E40748F"/>
    <w:rsid w:val="3E44329A"/>
    <w:rsid w:val="3E760BC9"/>
    <w:rsid w:val="3E8D2BDF"/>
    <w:rsid w:val="3EE32B3C"/>
    <w:rsid w:val="3F331F7D"/>
    <w:rsid w:val="400332ED"/>
    <w:rsid w:val="400F4D36"/>
    <w:rsid w:val="40503157"/>
    <w:rsid w:val="406F211D"/>
    <w:rsid w:val="40F34953"/>
    <w:rsid w:val="413A5E87"/>
    <w:rsid w:val="42160261"/>
    <w:rsid w:val="4239006E"/>
    <w:rsid w:val="42FC04F1"/>
    <w:rsid w:val="43064176"/>
    <w:rsid w:val="434164D5"/>
    <w:rsid w:val="435E5815"/>
    <w:rsid w:val="437E781B"/>
    <w:rsid w:val="43BF691B"/>
    <w:rsid w:val="43C961EC"/>
    <w:rsid w:val="43EA5618"/>
    <w:rsid w:val="442B6727"/>
    <w:rsid w:val="4470245E"/>
    <w:rsid w:val="44987935"/>
    <w:rsid w:val="44C84788"/>
    <w:rsid w:val="44E50933"/>
    <w:rsid w:val="44F20B11"/>
    <w:rsid w:val="4508436D"/>
    <w:rsid w:val="453611F9"/>
    <w:rsid w:val="45442CDC"/>
    <w:rsid w:val="45485872"/>
    <w:rsid w:val="45A102AA"/>
    <w:rsid w:val="45B3534F"/>
    <w:rsid w:val="45BB0941"/>
    <w:rsid w:val="45BF3A89"/>
    <w:rsid w:val="45C63538"/>
    <w:rsid w:val="45D45DF9"/>
    <w:rsid w:val="45E144FD"/>
    <w:rsid w:val="45F8625B"/>
    <w:rsid w:val="470B4B11"/>
    <w:rsid w:val="47317E46"/>
    <w:rsid w:val="47D3314B"/>
    <w:rsid w:val="48515D51"/>
    <w:rsid w:val="48544668"/>
    <w:rsid w:val="485A3018"/>
    <w:rsid w:val="48664DDB"/>
    <w:rsid w:val="48A27AAA"/>
    <w:rsid w:val="48F16C79"/>
    <w:rsid w:val="49122723"/>
    <w:rsid w:val="496C2A3E"/>
    <w:rsid w:val="49AE3AC5"/>
    <w:rsid w:val="4A2E014D"/>
    <w:rsid w:val="4A3917B7"/>
    <w:rsid w:val="4A567DEB"/>
    <w:rsid w:val="4B766BF9"/>
    <w:rsid w:val="4C7764CB"/>
    <w:rsid w:val="4CB60A85"/>
    <w:rsid w:val="4CC326F5"/>
    <w:rsid w:val="4CE97C09"/>
    <w:rsid w:val="4E087EAE"/>
    <w:rsid w:val="4E5361CC"/>
    <w:rsid w:val="4EBD443E"/>
    <w:rsid w:val="4F1B3786"/>
    <w:rsid w:val="4F654F96"/>
    <w:rsid w:val="4F973140"/>
    <w:rsid w:val="4FC61199"/>
    <w:rsid w:val="4FC96BE0"/>
    <w:rsid w:val="4FF35ABE"/>
    <w:rsid w:val="502A72AC"/>
    <w:rsid w:val="50340705"/>
    <w:rsid w:val="503B1901"/>
    <w:rsid w:val="504161F6"/>
    <w:rsid w:val="50530D31"/>
    <w:rsid w:val="50564D09"/>
    <w:rsid w:val="505A7946"/>
    <w:rsid w:val="506A19D7"/>
    <w:rsid w:val="507043B3"/>
    <w:rsid w:val="5099694A"/>
    <w:rsid w:val="50AD2009"/>
    <w:rsid w:val="50B15E60"/>
    <w:rsid w:val="50C30F65"/>
    <w:rsid w:val="50C367A6"/>
    <w:rsid w:val="50DB3A16"/>
    <w:rsid w:val="516013AC"/>
    <w:rsid w:val="51601B90"/>
    <w:rsid w:val="51621D33"/>
    <w:rsid w:val="51F811E7"/>
    <w:rsid w:val="52185CBC"/>
    <w:rsid w:val="52364CEC"/>
    <w:rsid w:val="526644F7"/>
    <w:rsid w:val="527E763A"/>
    <w:rsid w:val="528B58E1"/>
    <w:rsid w:val="529D0015"/>
    <w:rsid w:val="530E4959"/>
    <w:rsid w:val="532B601E"/>
    <w:rsid w:val="53376291"/>
    <w:rsid w:val="5355620E"/>
    <w:rsid w:val="537B6C44"/>
    <w:rsid w:val="53B10425"/>
    <w:rsid w:val="53B52794"/>
    <w:rsid w:val="53BF4FBF"/>
    <w:rsid w:val="53D83FF7"/>
    <w:rsid w:val="54193167"/>
    <w:rsid w:val="54303245"/>
    <w:rsid w:val="5482072F"/>
    <w:rsid w:val="54DB7017"/>
    <w:rsid w:val="558444ED"/>
    <w:rsid w:val="55A33795"/>
    <w:rsid w:val="561A6B31"/>
    <w:rsid w:val="5624773C"/>
    <w:rsid w:val="563B0D0C"/>
    <w:rsid w:val="56651B6D"/>
    <w:rsid w:val="567C141C"/>
    <w:rsid w:val="5685766F"/>
    <w:rsid w:val="569D078B"/>
    <w:rsid w:val="56B24562"/>
    <w:rsid w:val="571222B5"/>
    <w:rsid w:val="571B196A"/>
    <w:rsid w:val="5738668D"/>
    <w:rsid w:val="57481D2E"/>
    <w:rsid w:val="57E25675"/>
    <w:rsid w:val="57E43BC3"/>
    <w:rsid w:val="57F72FAD"/>
    <w:rsid w:val="583A5A51"/>
    <w:rsid w:val="58D04AE8"/>
    <w:rsid w:val="58E867A4"/>
    <w:rsid w:val="5903074D"/>
    <w:rsid w:val="59292B67"/>
    <w:rsid w:val="594B6545"/>
    <w:rsid w:val="595562EA"/>
    <w:rsid w:val="5986297B"/>
    <w:rsid w:val="59E51F25"/>
    <w:rsid w:val="59F36430"/>
    <w:rsid w:val="5A1923F3"/>
    <w:rsid w:val="5A424B20"/>
    <w:rsid w:val="5A4E002E"/>
    <w:rsid w:val="5AB574CE"/>
    <w:rsid w:val="5ADF3332"/>
    <w:rsid w:val="5AEF4CD2"/>
    <w:rsid w:val="5B4D6AA7"/>
    <w:rsid w:val="5B620360"/>
    <w:rsid w:val="5BE50005"/>
    <w:rsid w:val="5BFC3D4F"/>
    <w:rsid w:val="5C930683"/>
    <w:rsid w:val="5C930776"/>
    <w:rsid w:val="5C955480"/>
    <w:rsid w:val="5D9A5F6B"/>
    <w:rsid w:val="5DD34B1A"/>
    <w:rsid w:val="5E1E4502"/>
    <w:rsid w:val="5F3E27D6"/>
    <w:rsid w:val="5F822705"/>
    <w:rsid w:val="5F8F2AD9"/>
    <w:rsid w:val="5FD736CE"/>
    <w:rsid w:val="600133C5"/>
    <w:rsid w:val="603E538B"/>
    <w:rsid w:val="60401B96"/>
    <w:rsid w:val="60625F9C"/>
    <w:rsid w:val="60656DF2"/>
    <w:rsid w:val="60F92028"/>
    <w:rsid w:val="613327EA"/>
    <w:rsid w:val="61376FC0"/>
    <w:rsid w:val="61477C1D"/>
    <w:rsid w:val="616B48C9"/>
    <w:rsid w:val="618F1660"/>
    <w:rsid w:val="619159E7"/>
    <w:rsid w:val="61A52179"/>
    <w:rsid w:val="61D35696"/>
    <w:rsid w:val="61D76816"/>
    <w:rsid w:val="625036CC"/>
    <w:rsid w:val="62597579"/>
    <w:rsid w:val="629052B6"/>
    <w:rsid w:val="62E55F8D"/>
    <w:rsid w:val="62F85523"/>
    <w:rsid w:val="636B2EFA"/>
    <w:rsid w:val="63992513"/>
    <w:rsid w:val="63A36C3E"/>
    <w:rsid w:val="63AD015F"/>
    <w:rsid w:val="63B048A0"/>
    <w:rsid w:val="63D53F5A"/>
    <w:rsid w:val="647B20B6"/>
    <w:rsid w:val="64D160C8"/>
    <w:rsid w:val="64DA7297"/>
    <w:rsid w:val="64F37B3E"/>
    <w:rsid w:val="650F1FB8"/>
    <w:rsid w:val="65A958B7"/>
    <w:rsid w:val="65CC2DDD"/>
    <w:rsid w:val="66314BF2"/>
    <w:rsid w:val="66330E15"/>
    <w:rsid w:val="663D0FEA"/>
    <w:rsid w:val="6692603B"/>
    <w:rsid w:val="66AC6D0F"/>
    <w:rsid w:val="66AC7169"/>
    <w:rsid w:val="66E06CA6"/>
    <w:rsid w:val="672A369D"/>
    <w:rsid w:val="67960E00"/>
    <w:rsid w:val="67DB3C66"/>
    <w:rsid w:val="67DE387B"/>
    <w:rsid w:val="67EA757E"/>
    <w:rsid w:val="680C0495"/>
    <w:rsid w:val="68135635"/>
    <w:rsid w:val="68171C03"/>
    <w:rsid w:val="68344A90"/>
    <w:rsid w:val="68AD267F"/>
    <w:rsid w:val="68C90A5B"/>
    <w:rsid w:val="68FC58A5"/>
    <w:rsid w:val="69740697"/>
    <w:rsid w:val="6992105F"/>
    <w:rsid w:val="69B17E97"/>
    <w:rsid w:val="69F31EF0"/>
    <w:rsid w:val="6A09775F"/>
    <w:rsid w:val="6A137B62"/>
    <w:rsid w:val="6A272A09"/>
    <w:rsid w:val="6A31098C"/>
    <w:rsid w:val="6B4771C3"/>
    <w:rsid w:val="6B9871BA"/>
    <w:rsid w:val="6BB90B6D"/>
    <w:rsid w:val="6C1E0B80"/>
    <w:rsid w:val="6C292B8B"/>
    <w:rsid w:val="6C69121A"/>
    <w:rsid w:val="6C700663"/>
    <w:rsid w:val="6CB147AE"/>
    <w:rsid w:val="6D007A87"/>
    <w:rsid w:val="6D2E5476"/>
    <w:rsid w:val="6D333407"/>
    <w:rsid w:val="6D472272"/>
    <w:rsid w:val="6D4A7278"/>
    <w:rsid w:val="6D4F2B28"/>
    <w:rsid w:val="6DA3293A"/>
    <w:rsid w:val="6E28698A"/>
    <w:rsid w:val="6E6856F7"/>
    <w:rsid w:val="6E7B65B8"/>
    <w:rsid w:val="6EC6759F"/>
    <w:rsid w:val="6ED039E8"/>
    <w:rsid w:val="6ED138C3"/>
    <w:rsid w:val="6F092536"/>
    <w:rsid w:val="6F224902"/>
    <w:rsid w:val="6F360803"/>
    <w:rsid w:val="6F836F22"/>
    <w:rsid w:val="6FA55D9E"/>
    <w:rsid w:val="6FF70D9A"/>
    <w:rsid w:val="6FFE5F86"/>
    <w:rsid w:val="7030738F"/>
    <w:rsid w:val="705441E8"/>
    <w:rsid w:val="706359CF"/>
    <w:rsid w:val="707A5B97"/>
    <w:rsid w:val="70945ECC"/>
    <w:rsid w:val="70E5475E"/>
    <w:rsid w:val="70E66C09"/>
    <w:rsid w:val="70F70446"/>
    <w:rsid w:val="718756A2"/>
    <w:rsid w:val="71DC40A5"/>
    <w:rsid w:val="71F7448B"/>
    <w:rsid w:val="720B41FA"/>
    <w:rsid w:val="720C508C"/>
    <w:rsid w:val="7233239F"/>
    <w:rsid w:val="726B7B77"/>
    <w:rsid w:val="72A273E5"/>
    <w:rsid w:val="731B7334"/>
    <w:rsid w:val="735F4A4A"/>
    <w:rsid w:val="73750F0E"/>
    <w:rsid w:val="738308E9"/>
    <w:rsid w:val="73D47361"/>
    <w:rsid w:val="74260CDA"/>
    <w:rsid w:val="74357ECE"/>
    <w:rsid w:val="74A27FEB"/>
    <w:rsid w:val="74BC6591"/>
    <w:rsid w:val="74DC6AB5"/>
    <w:rsid w:val="74F0086A"/>
    <w:rsid w:val="751B3469"/>
    <w:rsid w:val="75411D07"/>
    <w:rsid w:val="75572AF7"/>
    <w:rsid w:val="755D6BC5"/>
    <w:rsid w:val="75692B46"/>
    <w:rsid w:val="757933D5"/>
    <w:rsid w:val="75794C91"/>
    <w:rsid w:val="76884109"/>
    <w:rsid w:val="76C956E8"/>
    <w:rsid w:val="76CA41AC"/>
    <w:rsid w:val="777D57BE"/>
    <w:rsid w:val="7793066E"/>
    <w:rsid w:val="77CD60E6"/>
    <w:rsid w:val="77E9676F"/>
    <w:rsid w:val="77EF33D1"/>
    <w:rsid w:val="7893556F"/>
    <w:rsid w:val="789C158E"/>
    <w:rsid w:val="79793753"/>
    <w:rsid w:val="797C75D1"/>
    <w:rsid w:val="7A3D26DD"/>
    <w:rsid w:val="7A8D37DD"/>
    <w:rsid w:val="7AE856B5"/>
    <w:rsid w:val="7B2B4C60"/>
    <w:rsid w:val="7B392753"/>
    <w:rsid w:val="7B4D42B5"/>
    <w:rsid w:val="7B5426E5"/>
    <w:rsid w:val="7BB236EB"/>
    <w:rsid w:val="7BB71E46"/>
    <w:rsid w:val="7C183F2B"/>
    <w:rsid w:val="7D1D2F0B"/>
    <w:rsid w:val="7D9B3066"/>
    <w:rsid w:val="7DA47326"/>
    <w:rsid w:val="7EB868CE"/>
    <w:rsid w:val="7ECE6BA5"/>
    <w:rsid w:val="7F182BA8"/>
    <w:rsid w:val="7F5036C5"/>
    <w:rsid w:val="7F914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1"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7"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line="360" w:lineRule="auto"/>
    </w:pPr>
    <w:rPr>
      <w:rFonts w:eastAsia="宋体" w:asciiTheme="minorAscii" w:hAnsiTheme="minorAscii" w:cstheme="minorBidi"/>
      <w:kern w:val="2"/>
      <w:sz w:val="22"/>
      <w:szCs w:val="24"/>
      <w:lang w:val="en-US" w:eastAsia="zh-CN" w:bidi="ar-SA"/>
    </w:rPr>
  </w:style>
  <w:style w:type="paragraph" w:styleId="2">
    <w:name w:val="heading 1"/>
    <w:basedOn w:val="1"/>
    <w:next w:val="1"/>
    <w:autoRedefine/>
    <w:qFormat/>
    <w:uiPriority w:val="0"/>
    <w:pPr>
      <w:keepNext/>
      <w:keepLines/>
      <w:spacing w:before="340" w:after="330" w:line="576" w:lineRule="auto"/>
      <w:jc w:val="center"/>
      <w:outlineLvl w:val="0"/>
    </w:pPr>
    <w:rPr>
      <w:b/>
      <w:kern w:val="44"/>
      <w:sz w:val="44"/>
    </w:rPr>
  </w:style>
  <w:style w:type="paragraph" w:styleId="3">
    <w:name w:val="heading 2"/>
    <w:basedOn w:val="1"/>
    <w:next w:val="1"/>
    <w:autoRedefine/>
    <w:unhideWhenUsed/>
    <w:qFormat/>
    <w:uiPriority w:val="0"/>
    <w:pPr>
      <w:keepNext/>
      <w:keepLines/>
      <w:spacing w:before="140" w:after="140"/>
      <w:jc w:val="center"/>
      <w:outlineLvl w:val="1"/>
    </w:pPr>
    <w:rPr>
      <w:rFonts w:ascii="Arial" w:hAnsi="Arial"/>
      <w:b/>
      <w:sz w:val="44"/>
    </w:rPr>
  </w:style>
  <w:style w:type="paragraph" w:styleId="4">
    <w:name w:val="heading 3"/>
    <w:basedOn w:val="1"/>
    <w:next w:val="1"/>
    <w:link w:val="28"/>
    <w:autoRedefine/>
    <w:unhideWhenUsed/>
    <w:qFormat/>
    <w:uiPriority w:val="0"/>
    <w:pPr>
      <w:keepNext/>
      <w:keepLines/>
      <w:spacing w:before="140" w:after="140"/>
      <w:outlineLvl w:val="2"/>
    </w:pPr>
    <w:rPr>
      <w:rFonts w:asciiTheme="minorAscii" w:hAnsiTheme="minorAscii"/>
      <w:b/>
      <w:sz w:val="24"/>
    </w:rPr>
  </w:style>
  <w:style w:type="paragraph" w:styleId="5">
    <w:name w:val="heading 4"/>
    <w:basedOn w:val="1"/>
    <w:next w:val="1"/>
    <w:link w:val="27"/>
    <w:autoRedefine/>
    <w:qFormat/>
    <w:uiPriority w:val="1"/>
    <w:pPr>
      <w:outlineLvl w:val="3"/>
    </w:pPr>
    <w:rPr>
      <w:rFonts w:ascii="宋体" w:hAnsi="宋体"/>
      <w:sz w:val="22"/>
      <w:szCs w:val="32"/>
    </w:rPr>
  </w:style>
  <w:style w:type="paragraph" w:styleId="6">
    <w:name w:val="heading 5"/>
    <w:basedOn w:val="1"/>
    <w:next w:val="1"/>
    <w:autoRedefine/>
    <w:qFormat/>
    <w:uiPriority w:val="1"/>
    <w:pPr>
      <w:ind w:left="237"/>
      <w:jc w:val="center"/>
      <w:outlineLvl w:val="4"/>
    </w:pPr>
    <w:rPr>
      <w:rFonts w:ascii="宋体" w:hAnsi="宋体"/>
      <w:b/>
      <w:sz w:val="30"/>
      <w:szCs w:val="28"/>
    </w:rPr>
  </w:style>
  <w:style w:type="character" w:default="1" w:styleId="21">
    <w:name w:val="Default Paragraph Font"/>
    <w:autoRedefine/>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autoRedefine/>
    <w:qFormat/>
    <w:uiPriority w:val="0"/>
    <w:pPr>
      <w:ind w:left="2520" w:leftChars="1200"/>
    </w:pPr>
  </w:style>
  <w:style w:type="paragraph" w:styleId="8">
    <w:name w:val="Normal Indent"/>
    <w:basedOn w:val="1"/>
    <w:qFormat/>
    <w:uiPriority w:val="0"/>
    <w:pPr>
      <w:ind w:firstLine="420" w:firstLineChars="200"/>
    </w:pPr>
    <w:rPr>
      <w:rFonts w:ascii="宋体" w:hAnsi="宋体"/>
      <w:sz w:val="24"/>
      <w:szCs w:val="20"/>
    </w:rPr>
  </w:style>
  <w:style w:type="paragraph" w:styleId="9">
    <w:name w:val="annotation text"/>
    <w:basedOn w:val="1"/>
    <w:link w:val="32"/>
    <w:autoRedefine/>
    <w:qFormat/>
    <w:uiPriority w:val="0"/>
  </w:style>
  <w:style w:type="paragraph" w:styleId="10">
    <w:name w:val="Body Text"/>
    <w:basedOn w:val="1"/>
    <w:link w:val="26"/>
    <w:autoRedefine/>
    <w:qFormat/>
    <w:uiPriority w:val="0"/>
    <w:pPr>
      <w:spacing w:before="120" w:after="120"/>
      <w:ind w:left="520"/>
    </w:pPr>
    <w:rPr>
      <w:rFonts w:ascii="宋体" w:hAnsi="宋体"/>
      <w:szCs w:val="21"/>
    </w:rPr>
  </w:style>
  <w:style w:type="paragraph" w:styleId="11">
    <w:name w:val="Body Text Indent 2"/>
    <w:basedOn w:val="1"/>
    <w:qFormat/>
    <w:uiPriority w:val="0"/>
    <w:pPr>
      <w:spacing w:after="120" w:afterLines="0" w:afterAutospacing="0" w:line="480" w:lineRule="auto"/>
      <w:ind w:left="420" w:leftChars="200"/>
    </w:pPr>
  </w:style>
  <w:style w:type="paragraph" w:styleId="12">
    <w:name w:val="Balloon Text"/>
    <w:basedOn w:val="1"/>
    <w:link w:val="29"/>
    <w:autoRedefine/>
    <w:qFormat/>
    <w:uiPriority w:val="0"/>
    <w:pPr>
      <w:spacing w:line="240" w:lineRule="auto"/>
    </w:pPr>
    <w:rPr>
      <w:sz w:val="18"/>
      <w:szCs w:val="18"/>
    </w:rPr>
  </w:style>
  <w:style w:type="paragraph" w:styleId="13">
    <w:name w:val="footer"/>
    <w:basedOn w:val="1"/>
    <w:autoRedefine/>
    <w:qFormat/>
    <w:uiPriority w:val="0"/>
    <w:pPr>
      <w:tabs>
        <w:tab w:val="center" w:pos="4153"/>
        <w:tab w:val="right" w:pos="8306"/>
      </w:tabs>
      <w:snapToGrid w:val="0"/>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5">
    <w:name w:val="toc 1"/>
    <w:basedOn w:val="1"/>
    <w:next w:val="1"/>
    <w:autoRedefine/>
    <w:qFormat/>
    <w:uiPriority w:val="0"/>
    <w:rPr>
      <w:sz w:val="36"/>
    </w:rPr>
  </w:style>
  <w:style w:type="paragraph" w:styleId="16">
    <w:name w:val="index 7"/>
    <w:basedOn w:val="1"/>
    <w:next w:val="1"/>
    <w:qFormat/>
    <w:uiPriority w:val="0"/>
    <w:pPr>
      <w:ind w:left="1200" w:leftChars="1200"/>
    </w:pPr>
    <w:rPr>
      <w:szCs w:val="20"/>
    </w:rPr>
  </w:style>
  <w:style w:type="paragraph" w:styleId="17">
    <w:name w:val="toc 2"/>
    <w:basedOn w:val="1"/>
    <w:next w:val="1"/>
    <w:autoRedefine/>
    <w:qFormat/>
    <w:uiPriority w:val="0"/>
    <w:pPr>
      <w:ind w:left="420" w:leftChars="200"/>
    </w:pPr>
    <w:rPr>
      <w:rFonts w:asciiTheme="minorAscii" w:hAnsiTheme="minorAscii"/>
      <w:sz w:val="28"/>
    </w:rPr>
  </w:style>
  <w:style w:type="paragraph" w:styleId="18">
    <w:name w:val="Normal (Web)"/>
    <w:basedOn w:val="1"/>
    <w:autoRedefine/>
    <w:qFormat/>
    <w:uiPriority w:val="0"/>
    <w:pPr>
      <w:widowControl/>
      <w:spacing w:before="100" w:beforeAutospacing="1" w:after="100" w:afterAutospacing="1" w:line="240" w:lineRule="auto"/>
    </w:pPr>
    <w:rPr>
      <w:rFonts w:ascii="宋体" w:hAnsi="Times New Roman" w:cs="Times New Roman"/>
      <w:kern w:val="0"/>
      <w:sz w:val="18"/>
      <w:szCs w:val="18"/>
      <w:lang w:eastAsia="en-US"/>
    </w:rPr>
  </w:style>
  <w:style w:type="table" w:styleId="20">
    <w:name w:val="Table Grid"/>
    <w:basedOn w:val="19"/>
    <w:autoRedefine/>
    <w:qFormat/>
    <w:uiPriority w:val="37"/>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annotation reference"/>
    <w:basedOn w:val="21"/>
    <w:autoRedefine/>
    <w:qFormat/>
    <w:uiPriority w:val="0"/>
    <w:rPr>
      <w:sz w:val="21"/>
      <w:szCs w:val="21"/>
    </w:rPr>
  </w:style>
  <w:style w:type="paragraph" w:customStyle="1" w:styleId="24">
    <w:name w:val="封面"/>
    <w:basedOn w:val="1"/>
    <w:autoRedefine/>
    <w:qFormat/>
    <w:uiPriority w:val="0"/>
    <w:pPr>
      <w:jc w:val="center"/>
    </w:pPr>
    <w:rPr>
      <w:sz w:val="28"/>
    </w:rPr>
  </w:style>
  <w:style w:type="table" w:customStyle="1" w:styleId="25">
    <w:name w:val="Table Normal"/>
    <w:autoRedefine/>
    <w:semiHidden/>
    <w:unhideWhenUsed/>
    <w:qFormat/>
    <w:uiPriority w:val="2"/>
    <w:tblPr>
      <w:tblCellMar>
        <w:top w:w="0" w:type="dxa"/>
        <w:left w:w="0" w:type="dxa"/>
        <w:bottom w:w="0" w:type="dxa"/>
        <w:right w:w="0" w:type="dxa"/>
      </w:tblCellMar>
    </w:tblPr>
  </w:style>
  <w:style w:type="character" w:customStyle="1" w:styleId="26">
    <w:name w:val="正文文本 字符"/>
    <w:link w:val="10"/>
    <w:autoRedefine/>
    <w:qFormat/>
    <w:uiPriority w:val="0"/>
    <w:rPr>
      <w:rFonts w:ascii="宋体" w:hAnsi="宋体" w:eastAsia="宋体"/>
      <w:sz w:val="22"/>
      <w:szCs w:val="21"/>
    </w:rPr>
  </w:style>
  <w:style w:type="character" w:customStyle="1" w:styleId="27">
    <w:name w:val="标题 4 字符"/>
    <w:link w:val="5"/>
    <w:autoRedefine/>
    <w:qFormat/>
    <w:uiPriority w:val="1"/>
    <w:rPr>
      <w:rFonts w:ascii="宋体" w:hAnsi="宋体" w:eastAsia="宋体"/>
      <w:sz w:val="22"/>
      <w:szCs w:val="32"/>
    </w:rPr>
  </w:style>
  <w:style w:type="character" w:customStyle="1" w:styleId="28">
    <w:name w:val="标题 3 字符"/>
    <w:link w:val="4"/>
    <w:autoRedefine/>
    <w:qFormat/>
    <w:uiPriority w:val="0"/>
    <w:rPr>
      <w:rFonts w:eastAsia="宋体" w:asciiTheme="minorAscii" w:hAnsiTheme="minorAscii"/>
      <w:b/>
      <w:sz w:val="24"/>
    </w:rPr>
  </w:style>
  <w:style w:type="character" w:customStyle="1" w:styleId="29">
    <w:name w:val="批注框文本 字符"/>
    <w:basedOn w:val="21"/>
    <w:link w:val="12"/>
    <w:autoRedefine/>
    <w:qFormat/>
    <w:uiPriority w:val="0"/>
    <w:rPr>
      <w:rFonts w:eastAsia="宋体"/>
      <w:kern w:val="2"/>
      <w:sz w:val="18"/>
      <w:szCs w:val="18"/>
    </w:rPr>
  </w:style>
  <w:style w:type="paragraph" w:customStyle="1" w:styleId="30">
    <w:name w:val="Table Paragraph"/>
    <w:basedOn w:val="1"/>
    <w:autoRedefine/>
    <w:qFormat/>
    <w:uiPriority w:val="1"/>
    <w:rPr>
      <w:rFonts w:ascii="Calibri" w:hAnsi="Calibri"/>
      <w:kern w:val="0"/>
      <w:szCs w:val="22"/>
      <w:lang w:eastAsia="en-US"/>
    </w:rPr>
  </w:style>
  <w:style w:type="paragraph" w:customStyle="1" w:styleId="31">
    <w:name w:val="样式 标题 3 + (中文) 黑体 小四 非加粗 段前: 7.8 磅 段后: 0 磅 行距: 固定值 20 磅"/>
    <w:basedOn w:val="4"/>
    <w:autoRedefine/>
    <w:qFormat/>
    <w:uiPriority w:val="0"/>
    <w:pPr>
      <w:spacing w:before="0" w:after="0" w:line="400" w:lineRule="exact"/>
    </w:pPr>
    <w:rPr>
      <w:rFonts w:eastAsia="黑体" w:cs="宋体"/>
      <w:b w:val="0"/>
      <w:sz w:val="24"/>
      <w:szCs w:val="20"/>
    </w:rPr>
  </w:style>
  <w:style w:type="character" w:customStyle="1" w:styleId="32">
    <w:name w:val="批注文字 字符"/>
    <w:basedOn w:val="21"/>
    <w:link w:val="9"/>
    <w:autoRedefine/>
    <w:qFormat/>
    <w:uiPriority w:val="0"/>
    <w:rPr>
      <w:rFonts w:eastAsia="宋体"/>
      <w:kern w:val="2"/>
      <w:sz w:val="22"/>
      <w:szCs w:val="24"/>
    </w:rPr>
  </w:style>
  <w:style w:type="paragraph" w:customStyle="1" w:styleId="33">
    <w:name w:val="列出段落1"/>
    <w:basedOn w:val="1"/>
    <w:autoRedefine/>
    <w:qFormat/>
    <w:uiPriority w:val="0"/>
    <w:pPr>
      <w:spacing w:line="240" w:lineRule="auto"/>
      <w:ind w:firstLine="420" w:firstLineChars="200"/>
      <w:jc w:val="both"/>
    </w:pPr>
    <w:rPr>
      <w:rFonts w:ascii="Calibri" w:hAnsi="Calibri" w:cs="Times New Roman"/>
      <w:sz w:val="21"/>
      <w:szCs w:val="22"/>
    </w:rPr>
  </w:style>
  <w:style w:type="paragraph" w:customStyle="1" w:styleId="34">
    <w:name w:val="p0"/>
    <w:basedOn w:val="1"/>
    <w:autoRedefine/>
    <w:qFormat/>
    <w:uiPriority w:val="0"/>
    <w:pPr>
      <w:widowControl/>
      <w:spacing w:line="500" w:lineRule="atLeast"/>
      <w:ind w:firstLine="420"/>
      <w:jc w:val="both"/>
    </w:pPr>
    <w:rPr>
      <w:rFonts w:ascii="Times New Roman" w:hAnsi="Times New Roman" w:cs="Times New Roman"/>
      <w:kern w:val="0"/>
      <w:sz w:val="21"/>
      <w:szCs w:val="21"/>
    </w:rPr>
  </w:style>
  <w:style w:type="paragraph" w:styleId="35">
    <w:name w:val="List Paragraph"/>
    <w:basedOn w:val="1"/>
    <w:qFormat/>
    <w:uiPriority w:val="0"/>
    <w:pPr>
      <w:spacing w:line="500" w:lineRule="exact"/>
      <w:ind w:firstLine="420" w:firstLineChars="200"/>
    </w:pPr>
  </w:style>
  <w:style w:type="paragraph" w:customStyle="1" w:styleId="36">
    <w:name w:val="Body Text First Indent 21"/>
    <w:basedOn w:val="37"/>
    <w:qFormat/>
    <w:uiPriority w:val="0"/>
    <w:pPr>
      <w:ind w:firstLine="420" w:firstLineChars="200"/>
    </w:pPr>
  </w:style>
  <w:style w:type="paragraph" w:customStyle="1" w:styleId="37">
    <w:name w:val="Body Text Indent1"/>
    <w:basedOn w:val="38"/>
    <w:qFormat/>
    <w:uiPriority w:val="0"/>
    <w:pPr>
      <w:ind w:firstLine="624"/>
    </w:pPr>
    <w:rPr>
      <w:rFonts w:ascii="Calibri" w:hAnsi="Calibri" w:eastAsia="仿宋_GB2312"/>
      <w:b/>
      <w:sz w:val="36"/>
      <w:szCs w:val="22"/>
    </w:rPr>
  </w:style>
  <w:style w:type="paragraph" w:customStyle="1" w:styleId="38">
    <w:name w:val="正文 New New"/>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szCs w:val="20"/>
    </w:rPr>
  </w:style>
  <w:style w:type="paragraph" w:customStyle="1" w:styleId="40">
    <w:name w:val="_Style 159"/>
    <w:basedOn w:val="1"/>
    <w:next w:val="35"/>
    <w:qFormat/>
    <w:uiPriority w:val="34"/>
    <w:pPr>
      <w:spacing w:after="0" w:line="500" w:lineRule="exact"/>
      <w:ind w:firstLine="420" w:firstLineChars="200"/>
    </w:pPr>
  </w:style>
  <w:style w:type="paragraph" w:customStyle="1" w:styleId="41">
    <w:name w:val="列出段落6"/>
    <w:basedOn w:val="1"/>
    <w:qFormat/>
    <w:uiPriority w:val="0"/>
    <w:pPr>
      <w:ind w:firstLine="420" w:firstLineChars="200"/>
    </w:pPr>
    <w:rPr>
      <w:rFonts w:ascii="Calibri" w:hAnsi="Calibri"/>
      <w:szCs w:val="22"/>
    </w:rPr>
  </w:style>
  <w:style w:type="paragraph" w:customStyle="1" w:styleId="42">
    <w:name w:val="列出段落3"/>
    <w:basedOn w:val="1"/>
    <w:qFormat/>
    <w:uiPriority w:val="0"/>
    <w:pPr>
      <w:ind w:firstLine="420" w:firstLineChars="200"/>
    </w:pPr>
    <w:rPr>
      <w:rFonts w:ascii="Calibri" w:hAnsi="Calibri"/>
      <w:szCs w:val="22"/>
    </w:rPr>
  </w:style>
  <w:style w:type="paragraph" w:customStyle="1" w:styleId="43">
    <w:name w:val="纯文本1"/>
    <w:basedOn w:val="1"/>
    <w:qFormat/>
    <w:uiPriority w:val="0"/>
    <w:pPr>
      <w:adjustRightInd w:val="0"/>
      <w:jc w:val="left"/>
      <w:textAlignment w:val="baseline"/>
    </w:pPr>
    <w:rPr>
      <w:rFonts w:ascii="宋体" w:hAnsi="Courier New"/>
      <w:sz w:val="24"/>
      <w:szCs w:val="20"/>
    </w:rPr>
  </w:style>
  <w:style w:type="paragraph" w:customStyle="1" w:styleId="44">
    <w:name w:val="列出段落5"/>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104</Pages>
  <Words>14163</Words>
  <Characters>14834</Characters>
  <Lines>492</Lines>
  <Paragraphs>138</Paragraphs>
  <TotalTime>0</TotalTime>
  <ScaleCrop>false</ScaleCrop>
  <LinksUpToDate>false</LinksUpToDate>
  <CharactersWithSpaces>17145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2021-06-07T08:16:00Z</dcterms:created>
  <dc:creator>     Mask</dc:creator>
  <cp:lastModifiedBy>chicago6</cp:lastModifiedBy>
  <cp:lastPrinted>2026-05-30T11:30:00Z</cp:lastPrinted>
  <dcterms:modified xsi:type="dcterms:W3CDTF">2026-08-27T10:59:45Z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A9C8D5F2987E4AABADA7791E51BA625C_13</vt:lpwstr>
  </property>
  <property fmtid="{D5CDD505-2E9C-101B-9397-08002B2CF9AE}" pid="4" name="KSOTemplateDocerSaveRecord">
    <vt:lpwstr>eyJoZGlkIjoiYzY2NjI2NWJkMjQ4ZDFkY2ZiN2Q4NjhhYWVjOTdlZDIiLCJ1c2VySWQiOiI1MjA1NDg2MzkifQ==</vt:lpwstr>
  </property>
</Properties>
</file>