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Theme="minorEastAsia" w:hAnsiTheme="minorEastAsia"/>
        </w:rPr>
      </w:pPr>
    </w:p>
    <w:p>
      <w:pPr>
        <w:pStyle w:val="19"/>
        <w:rPr>
          <w:u w:val="single"/>
        </w:rPr>
      </w:pPr>
      <w:r>
        <w:rPr>
          <w:rFonts w:hint="eastAsia"/>
          <w:u w:val="single"/>
        </w:rPr>
        <w:t xml:space="preserve">                 </w:t>
      </w:r>
      <w:r>
        <w:rPr>
          <w:rFonts w:hint="eastAsia"/>
        </w:rPr>
        <w:t>（项目名称）</w:t>
      </w:r>
      <w:r>
        <w:rPr>
          <w:rFonts w:hint="eastAsia"/>
        </w:rPr>
        <w:sym w:font="Wingdings 2" w:char="00A3"/>
      </w:r>
      <w:r>
        <w:rPr>
          <w:rFonts w:hint="eastAsia"/>
        </w:rPr>
        <w:t>勘察</w:t>
      </w:r>
      <w:r>
        <w:rPr>
          <w:rFonts w:hint="eastAsia"/>
        </w:rPr>
        <w:sym w:font="Wingdings 2" w:char="00A3"/>
      </w:r>
      <w:r>
        <w:rPr>
          <w:rFonts w:hint="eastAsia"/>
        </w:rPr>
        <w:t>设计-施工总承包标段</w:t>
      </w:r>
    </w:p>
    <w:p>
      <w:pPr>
        <w:pStyle w:val="19"/>
        <w:rPr>
          <w:u w:val="single"/>
        </w:rPr>
      </w:pPr>
    </w:p>
    <w:p>
      <w:pPr>
        <w:pStyle w:val="19"/>
      </w:pPr>
      <w:r>
        <w:rPr>
          <w:rFonts w:hint="eastAsia"/>
        </w:rPr>
        <w:br w:type="textWrapping"/>
      </w:r>
    </w:p>
    <w:p>
      <w:pPr>
        <w:pStyle w:val="19"/>
        <w:rPr>
          <w:sz w:val="44"/>
          <w:szCs w:val="44"/>
        </w:rPr>
      </w:pPr>
      <w:r>
        <w:rPr>
          <w:rFonts w:hint="eastAsia"/>
          <w:sz w:val="44"/>
          <w:szCs w:val="44"/>
        </w:rPr>
        <w:t>招标文件</w:t>
      </w:r>
    </w:p>
    <w:p>
      <w:pPr>
        <w:pStyle w:val="19"/>
      </w:pPr>
    </w:p>
    <w:p>
      <w:pPr>
        <w:pStyle w:val="19"/>
      </w:pPr>
    </w:p>
    <w:p>
      <w:pPr>
        <w:pStyle w:val="19"/>
      </w:pPr>
      <w:r>
        <w:t>招标人：__________________________________（盖单位章）</w:t>
      </w:r>
    </w:p>
    <w:p>
      <w:pPr>
        <w:pStyle w:val="19"/>
      </w:pPr>
      <w:r>
        <w:rPr>
          <w:rFonts w:hint="eastAsia"/>
        </w:rPr>
        <w:t>□</w:t>
      </w:r>
      <w:r>
        <w:t>招标代理机构：</w:t>
      </w:r>
      <w:r>
        <w:rPr>
          <w:u w:val="single"/>
        </w:rPr>
        <w:tab/>
      </w:r>
      <w:r>
        <w:rPr>
          <w:u w:val="single"/>
        </w:rPr>
        <w:t xml:space="preserve">                </w:t>
      </w:r>
      <w:r>
        <w:rPr>
          <w:u w:val="single"/>
        </w:rPr>
        <w:tab/>
      </w:r>
      <w:r>
        <w:rPr>
          <w:rFonts w:hint="eastAsia"/>
          <w:u w:val="single"/>
        </w:rPr>
        <w:t xml:space="preserve">  </w:t>
      </w:r>
      <w:r>
        <w:rPr>
          <w:u w:val="single"/>
        </w:rPr>
        <w:t xml:space="preserve">   </w:t>
      </w:r>
      <w:r>
        <w:rPr>
          <w:u w:val="single"/>
        </w:rPr>
        <w:tab/>
      </w:r>
      <w:r>
        <w:t>（盖单位章）</w:t>
      </w:r>
    </w:p>
    <w:p>
      <w:pPr>
        <w:pStyle w:val="19"/>
      </w:pPr>
      <w:r>
        <w:t>项目负责人：________________________（盖从业人员印章）</w:t>
      </w:r>
    </w:p>
    <w:p>
      <w:pPr>
        <w:pStyle w:val="19"/>
      </w:pPr>
      <w:r>
        <w:t>招标文件编制人员：__________________（盖从业人员印章）</w:t>
      </w:r>
    </w:p>
    <w:p>
      <w:pPr>
        <w:pStyle w:val="19"/>
      </w:pPr>
    </w:p>
    <w:p>
      <w:pPr>
        <w:pStyle w:val="19"/>
      </w:pPr>
      <w:r>
        <w:rPr>
          <w:rFonts w:hint="eastAsia"/>
        </w:rPr>
        <w:t xml:space="preserve">                                        </w:t>
      </w:r>
      <w:r>
        <w:t>年</w:t>
      </w:r>
      <w:r>
        <w:rPr>
          <w:rFonts w:hint="eastAsia"/>
        </w:rPr>
        <w:t xml:space="preserve">   </w:t>
      </w:r>
      <w:r>
        <w:t>月</w:t>
      </w:r>
      <w:r>
        <w:rPr>
          <w:rFonts w:hint="eastAsia"/>
        </w:rPr>
        <w:t xml:space="preserve">   日</w:t>
      </w:r>
    </w:p>
    <w:p>
      <w:pPr>
        <w:jc w:val="center"/>
      </w:pPr>
    </w:p>
    <w:p>
      <w:pPr>
        <w:pStyle w:val="2"/>
      </w:pPr>
      <w:r>
        <w:t>注：</w:t>
      </w:r>
    </w:p>
    <w:p>
      <w:pPr>
        <w:pStyle w:val="2"/>
      </w:pPr>
      <w:r>
        <w:t>（1）实行自行招标组织形式的，项目负责人和招标文件编制人员应是招标人本单位具有编制招标文件和组织评标能力的人员，招标代理机构栏填"/"。</w:t>
      </w:r>
    </w:p>
    <w:p>
      <w:pPr>
        <w:pStyle w:val="2"/>
      </w:pPr>
      <w:r>
        <w:t>（2）实行委托招标组织形式的，项目负责人和招标文件编制人员应是招标人和招标代理机构双方签订的委托招标代理合同中约定的项目负责人和委派到本项目的主要专职技术人员。</w:t>
      </w:r>
    </w:p>
    <w:p>
      <w:pPr>
        <w:pStyle w:val="2"/>
      </w:pPr>
      <w:r>
        <w:t>（3）如未划分标段，“</w:t>
      </w:r>
      <w:r>
        <w:rPr>
          <w:rFonts w:hint="eastAsia"/>
          <w:u w:val="single"/>
        </w:rPr>
        <w:t xml:space="preserve">   </w:t>
      </w:r>
      <w:r>
        <w:t>标段”填写为“</w:t>
      </w:r>
      <w:r>
        <w:rPr>
          <w:rFonts w:hint="eastAsia"/>
          <w:u w:val="single"/>
        </w:rPr>
        <w:t xml:space="preserve"> </w:t>
      </w:r>
      <w:r>
        <w:rPr>
          <w:u w:val="single"/>
        </w:rPr>
        <w:t>/</w:t>
      </w:r>
      <w:r>
        <w:rPr>
          <w:rFonts w:hint="eastAsia"/>
          <w:u w:val="single"/>
        </w:rPr>
        <w:t xml:space="preserve"> </w:t>
      </w:r>
      <w:r>
        <w:t>标段”，如划分标段，则填写标段序号。</w:t>
      </w:r>
    </w:p>
    <w:p>
      <w:r>
        <w:br w:type="page"/>
      </w:r>
    </w:p>
    <w:sdt>
      <w:sdtPr>
        <w:rPr>
          <w:rFonts w:ascii="宋体" w:hAnsi="宋体"/>
          <w:sz w:val="32"/>
          <w:szCs w:val="32"/>
        </w:rPr>
        <w:id w:val="147457022"/>
        <w:docPartObj>
          <w:docPartGallery w:val="Table of Contents"/>
          <w:docPartUnique/>
        </w:docPartObj>
      </w:sdtPr>
      <w:sdtEndPr>
        <w:rPr>
          <w:rFonts w:asciiTheme="minorHAnsi" w:hAnsiTheme="minorHAnsi"/>
          <w:sz w:val="22"/>
          <w:szCs w:val="24"/>
        </w:rPr>
      </w:sdtEndPr>
      <w:sdtContent>
        <w:p>
          <w:pPr>
            <w:spacing w:line="240" w:lineRule="auto"/>
            <w:jc w:val="center"/>
            <w:rPr>
              <w:rFonts w:ascii="宋体" w:hAnsi="宋体"/>
              <w:sz w:val="44"/>
              <w:szCs w:val="44"/>
            </w:rPr>
          </w:pPr>
          <w:r>
            <w:rPr>
              <w:rFonts w:ascii="宋体" w:hAnsi="宋体"/>
              <w:sz w:val="44"/>
              <w:szCs w:val="44"/>
            </w:rPr>
            <w:t>目录</w:t>
          </w:r>
        </w:p>
        <w:p>
          <w:pPr>
            <w:pStyle w:val="2"/>
            <w:tabs>
              <w:tab w:val="left" w:pos="8194"/>
            </w:tabs>
          </w:pPr>
          <w:r>
            <w:rPr>
              <w:rFonts w:hint="eastAsia"/>
            </w:rPr>
            <w:tab/>
          </w:r>
        </w:p>
        <w:p>
          <w:pPr>
            <w:pStyle w:val="13"/>
            <w:tabs>
              <w:tab w:val="right" w:leader="dot" w:pos="9972"/>
            </w:tabs>
          </w:pPr>
          <w:r>
            <w:fldChar w:fldCharType="begin"/>
          </w:r>
          <w:r>
            <w:instrText xml:space="preserve">TOC \o "1-2" \h \u </w:instrText>
          </w:r>
          <w:r>
            <w:fldChar w:fldCharType="separate"/>
          </w:r>
          <w:r>
            <w:fldChar w:fldCharType="begin"/>
          </w:r>
          <w:r>
            <w:instrText xml:space="preserve"> HYPERLINK \l "_Toc23790" </w:instrText>
          </w:r>
          <w:r>
            <w:fldChar w:fldCharType="separate"/>
          </w:r>
          <w:r>
            <w:rPr>
              <w:rFonts w:asciiTheme="minorEastAsia" w:hAnsiTheme="minorEastAsia" w:eastAsiaTheme="minorEastAsia"/>
              <w:spacing w:val="2"/>
            </w:rPr>
            <w:t>第一卷</w:t>
          </w:r>
          <w:r>
            <w:tab/>
          </w:r>
          <w:r>
            <w:fldChar w:fldCharType="begin"/>
          </w:r>
          <w:r>
            <w:instrText xml:space="preserve"> PAGEREF _Toc23790 \h </w:instrText>
          </w:r>
          <w:r>
            <w:fldChar w:fldCharType="separate"/>
          </w:r>
          <w:r>
            <w:t>3</w:t>
          </w:r>
          <w:r>
            <w:fldChar w:fldCharType="end"/>
          </w:r>
          <w:r>
            <w:fldChar w:fldCharType="end"/>
          </w:r>
        </w:p>
        <w:p>
          <w:pPr>
            <w:pStyle w:val="14"/>
            <w:tabs>
              <w:tab w:val="right" w:leader="dot" w:pos="9972"/>
            </w:tabs>
            <w:ind w:left="440"/>
          </w:pPr>
          <w:r>
            <w:fldChar w:fldCharType="begin"/>
          </w:r>
          <w:r>
            <w:instrText xml:space="preserve"> HYPERLINK \l "_Toc9055" </w:instrText>
          </w:r>
          <w:r>
            <w:fldChar w:fldCharType="separate"/>
          </w:r>
          <w:r>
            <w:rPr>
              <w:rFonts w:hint="eastAsia"/>
            </w:rPr>
            <w:t>第一章 招标公告（适用于公开招标）</w:t>
          </w:r>
          <w:r>
            <w:tab/>
          </w:r>
          <w:r>
            <w:fldChar w:fldCharType="begin"/>
          </w:r>
          <w:r>
            <w:instrText xml:space="preserve"> PAGEREF _Toc9055 \h </w:instrText>
          </w:r>
          <w:r>
            <w:fldChar w:fldCharType="separate"/>
          </w:r>
          <w:r>
            <w:t>4</w:t>
          </w:r>
          <w:r>
            <w:fldChar w:fldCharType="end"/>
          </w:r>
          <w:r>
            <w:fldChar w:fldCharType="end"/>
          </w:r>
        </w:p>
        <w:p>
          <w:pPr>
            <w:pStyle w:val="14"/>
            <w:tabs>
              <w:tab w:val="right" w:leader="dot" w:pos="9972"/>
            </w:tabs>
            <w:ind w:left="440"/>
          </w:pPr>
          <w:r>
            <w:fldChar w:fldCharType="begin"/>
          </w:r>
          <w:r>
            <w:instrText xml:space="preserve"> HYPERLINK \l "_Toc9075" </w:instrText>
          </w:r>
          <w:r>
            <w:fldChar w:fldCharType="separate"/>
          </w:r>
          <w:r>
            <w:rPr>
              <w:rFonts w:hint="eastAsia"/>
            </w:rPr>
            <w:t>第一章 投标邀请书（适用于邀请招标）</w:t>
          </w:r>
          <w:r>
            <w:rPr>
              <w:rFonts w:hint="eastAsia"/>
            </w:rPr>
            <w:tab/>
          </w:r>
          <w:r>
            <w:rPr>
              <w:rFonts w:hint="eastAsia"/>
            </w:rPr>
            <w:fldChar w:fldCharType="begin"/>
          </w:r>
          <w:r>
            <w:rPr>
              <w:rFonts w:hint="eastAsia"/>
            </w:rPr>
            <w:instrText xml:space="preserve"> PAGEREF _Toc9075 \h </w:instrText>
          </w:r>
          <w:r>
            <w:rPr>
              <w:rFonts w:hint="eastAsia"/>
            </w:rPr>
            <w:fldChar w:fldCharType="separate"/>
          </w:r>
          <w:r>
            <w:rPr>
              <w:rFonts w:hint="eastAsia"/>
            </w:rPr>
            <w:t>9</w:t>
          </w:r>
          <w:r>
            <w:rPr>
              <w:rFonts w:hint="eastAsia"/>
            </w:rPr>
            <w:fldChar w:fldCharType="end"/>
          </w:r>
          <w:r>
            <w:rPr>
              <w:rFonts w:hint="eastAsia"/>
            </w:rPr>
            <w:fldChar w:fldCharType="end"/>
          </w:r>
        </w:p>
        <w:p>
          <w:pPr>
            <w:pStyle w:val="14"/>
            <w:tabs>
              <w:tab w:val="right" w:leader="dot" w:pos="9972"/>
            </w:tabs>
            <w:ind w:left="440"/>
          </w:pPr>
          <w:r>
            <w:fldChar w:fldCharType="begin"/>
          </w:r>
          <w:r>
            <w:instrText xml:space="preserve"> HYPERLINK \l "_Toc7983" </w:instrText>
          </w:r>
          <w:r>
            <w:fldChar w:fldCharType="separate"/>
          </w:r>
          <w:r>
            <w:rPr>
              <w:rFonts w:hint="eastAsia"/>
            </w:rPr>
            <w:t>第二章 投标人须知</w:t>
          </w:r>
          <w:r>
            <w:tab/>
          </w:r>
          <w:r>
            <w:fldChar w:fldCharType="begin"/>
          </w:r>
          <w:r>
            <w:instrText xml:space="preserve"> PAGEREF _Toc7983 \h </w:instrText>
          </w:r>
          <w:r>
            <w:fldChar w:fldCharType="separate"/>
          </w:r>
          <w:r>
            <w:t>15</w:t>
          </w:r>
          <w:r>
            <w:fldChar w:fldCharType="end"/>
          </w:r>
          <w:r>
            <w:fldChar w:fldCharType="end"/>
          </w:r>
        </w:p>
        <w:p>
          <w:pPr>
            <w:pStyle w:val="14"/>
            <w:tabs>
              <w:tab w:val="right" w:leader="dot" w:pos="9972"/>
            </w:tabs>
            <w:ind w:left="440"/>
          </w:pPr>
          <w:r>
            <w:fldChar w:fldCharType="begin"/>
          </w:r>
          <w:r>
            <w:instrText xml:space="preserve"> HYPERLINK \l "_Toc5504" </w:instrText>
          </w:r>
          <w:r>
            <w:fldChar w:fldCharType="separate"/>
          </w:r>
          <w:r>
            <w:rPr>
              <w:rFonts w:hint="eastAsia"/>
            </w:rPr>
            <w:t>第三章 评标办法（综合评估法）</w:t>
          </w:r>
          <w:r>
            <w:tab/>
          </w:r>
          <w:r>
            <w:fldChar w:fldCharType="begin"/>
          </w:r>
          <w:r>
            <w:instrText xml:space="preserve"> PAGEREF _Toc5504 \h </w:instrText>
          </w:r>
          <w:r>
            <w:fldChar w:fldCharType="separate"/>
          </w:r>
          <w:r>
            <w:t>48</w:t>
          </w:r>
          <w:r>
            <w:fldChar w:fldCharType="end"/>
          </w:r>
          <w:r>
            <w:fldChar w:fldCharType="end"/>
          </w:r>
        </w:p>
        <w:p>
          <w:pPr>
            <w:pStyle w:val="14"/>
            <w:tabs>
              <w:tab w:val="right" w:leader="dot" w:pos="9972"/>
            </w:tabs>
            <w:ind w:left="440"/>
          </w:pPr>
          <w:r>
            <w:fldChar w:fldCharType="begin"/>
          </w:r>
          <w:r>
            <w:instrText xml:space="preserve"> HYPERLINK \l "_Toc7595" </w:instrText>
          </w:r>
          <w:r>
            <w:fldChar w:fldCharType="separate"/>
          </w:r>
          <w:r>
            <w:rPr>
              <w:rFonts w:hint="eastAsia"/>
            </w:rPr>
            <w:t>第四章 合同条款及格式</w:t>
          </w:r>
          <w:r>
            <w:tab/>
          </w:r>
          <w:r>
            <w:fldChar w:fldCharType="begin"/>
          </w:r>
          <w:r>
            <w:instrText xml:space="preserve"> PAGEREF _Toc7595 \h </w:instrText>
          </w:r>
          <w:r>
            <w:fldChar w:fldCharType="separate"/>
          </w:r>
          <w:r>
            <w:t>61</w:t>
          </w:r>
          <w:r>
            <w:fldChar w:fldCharType="end"/>
          </w:r>
          <w:r>
            <w:fldChar w:fldCharType="end"/>
          </w:r>
        </w:p>
        <w:p>
          <w:pPr>
            <w:pStyle w:val="14"/>
            <w:tabs>
              <w:tab w:val="right" w:leader="dot" w:pos="9972"/>
            </w:tabs>
            <w:ind w:left="440"/>
          </w:pPr>
          <w:r>
            <w:fldChar w:fldCharType="begin"/>
          </w:r>
          <w:r>
            <w:instrText xml:space="preserve"> HYPERLINK \l "_Toc3266" </w:instrText>
          </w:r>
          <w:r>
            <w:fldChar w:fldCharType="separate"/>
          </w:r>
          <w:r>
            <w:rPr>
              <w:rFonts w:hint="eastAsia"/>
            </w:rPr>
            <w:t>第五章 工程量清单（另册）</w:t>
          </w:r>
          <w:r>
            <w:tab/>
          </w:r>
          <w:r>
            <w:fldChar w:fldCharType="begin"/>
          </w:r>
          <w:r>
            <w:instrText xml:space="preserve"> PAGEREF _Toc3266 \h </w:instrText>
          </w:r>
          <w:r>
            <w:fldChar w:fldCharType="separate"/>
          </w:r>
          <w:r>
            <w:t>124</w:t>
          </w:r>
          <w:r>
            <w:fldChar w:fldCharType="end"/>
          </w:r>
          <w:r>
            <w:fldChar w:fldCharType="end"/>
          </w:r>
        </w:p>
        <w:p>
          <w:pPr>
            <w:pStyle w:val="13"/>
            <w:tabs>
              <w:tab w:val="right" w:leader="dot" w:pos="9972"/>
            </w:tabs>
          </w:pPr>
          <w:r>
            <w:fldChar w:fldCharType="begin"/>
          </w:r>
          <w:r>
            <w:instrText xml:space="preserve"> HYPERLINK \l "_Toc3560" </w:instrText>
          </w:r>
          <w:r>
            <w:fldChar w:fldCharType="separate"/>
          </w:r>
          <w:r>
            <w:rPr>
              <w:rFonts w:hint="eastAsia"/>
            </w:rPr>
            <w:t>第二卷</w:t>
          </w:r>
          <w:r>
            <w:tab/>
          </w:r>
          <w:r>
            <w:fldChar w:fldCharType="begin"/>
          </w:r>
          <w:r>
            <w:instrText xml:space="preserve"> PAGEREF _Toc3560 \h </w:instrText>
          </w:r>
          <w:r>
            <w:fldChar w:fldCharType="separate"/>
          </w:r>
          <w:r>
            <w:t>125</w:t>
          </w:r>
          <w:r>
            <w:fldChar w:fldCharType="end"/>
          </w:r>
          <w:r>
            <w:fldChar w:fldCharType="end"/>
          </w:r>
        </w:p>
        <w:p>
          <w:pPr>
            <w:pStyle w:val="14"/>
            <w:tabs>
              <w:tab w:val="right" w:leader="dot" w:pos="9972"/>
            </w:tabs>
            <w:ind w:left="440"/>
          </w:pPr>
          <w:r>
            <w:fldChar w:fldCharType="begin"/>
          </w:r>
          <w:r>
            <w:instrText xml:space="preserve"> HYPERLINK \l "_Toc12202" </w:instrText>
          </w:r>
          <w:r>
            <w:fldChar w:fldCharType="separate"/>
          </w:r>
          <w:r>
            <w:rPr>
              <w:rFonts w:hint="eastAsia"/>
            </w:rPr>
            <w:t>第六章 图纸（另册）</w:t>
          </w:r>
          <w:r>
            <w:tab/>
          </w:r>
          <w:r>
            <w:fldChar w:fldCharType="begin"/>
          </w:r>
          <w:r>
            <w:instrText xml:space="preserve"> PAGEREF _Toc12202 \h </w:instrText>
          </w:r>
          <w:r>
            <w:fldChar w:fldCharType="separate"/>
          </w:r>
          <w:r>
            <w:t>126</w:t>
          </w:r>
          <w:r>
            <w:fldChar w:fldCharType="end"/>
          </w:r>
          <w:r>
            <w:fldChar w:fldCharType="end"/>
          </w:r>
        </w:p>
        <w:p>
          <w:pPr>
            <w:pStyle w:val="13"/>
            <w:tabs>
              <w:tab w:val="right" w:leader="dot" w:pos="9972"/>
            </w:tabs>
          </w:pPr>
          <w:r>
            <w:fldChar w:fldCharType="begin"/>
          </w:r>
          <w:r>
            <w:instrText xml:space="preserve"> HYPERLINK \l "_Toc27000" </w:instrText>
          </w:r>
          <w:r>
            <w:fldChar w:fldCharType="separate"/>
          </w:r>
          <w:r>
            <w:rPr>
              <w:rFonts w:hint="eastAsia"/>
            </w:rPr>
            <w:t>第三卷</w:t>
          </w:r>
          <w:r>
            <w:tab/>
          </w:r>
          <w:r>
            <w:fldChar w:fldCharType="begin"/>
          </w:r>
          <w:r>
            <w:instrText xml:space="preserve"> PAGEREF _Toc27000 \h </w:instrText>
          </w:r>
          <w:r>
            <w:fldChar w:fldCharType="separate"/>
          </w:r>
          <w:r>
            <w:t>127</w:t>
          </w:r>
          <w:r>
            <w:fldChar w:fldCharType="end"/>
          </w:r>
          <w:r>
            <w:fldChar w:fldCharType="end"/>
          </w:r>
        </w:p>
        <w:p>
          <w:pPr>
            <w:pStyle w:val="14"/>
            <w:tabs>
              <w:tab w:val="right" w:leader="dot" w:pos="9972"/>
            </w:tabs>
            <w:ind w:left="440"/>
          </w:pPr>
          <w:r>
            <w:fldChar w:fldCharType="begin"/>
          </w:r>
          <w:r>
            <w:instrText xml:space="preserve"> HYPERLINK \l "_Toc29376" </w:instrText>
          </w:r>
          <w:r>
            <w:fldChar w:fldCharType="separate"/>
          </w:r>
          <w:r>
            <w:rPr>
              <w:rFonts w:hint="eastAsia"/>
            </w:rPr>
            <w:t>第七章 技术标准和要求（另册）</w:t>
          </w:r>
          <w:r>
            <w:tab/>
          </w:r>
          <w:r>
            <w:fldChar w:fldCharType="begin"/>
          </w:r>
          <w:r>
            <w:instrText xml:space="preserve"> PAGEREF _Toc29376 \h </w:instrText>
          </w:r>
          <w:r>
            <w:fldChar w:fldCharType="separate"/>
          </w:r>
          <w:r>
            <w:t>128</w:t>
          </w:r>
          <w:r>
            <w:fldChar w:fldCharType="end"/>
          </w:r>
          <w:r>
            <w:fldChar w:fldCharType="end"/>
          </w:r>
        </w:p>
        <w:p>
          <w:pPr>
            <w:pStyle w:val="13"/>
            <w:tabs>
              <w:tab w:val="right" w:leader="dot" w:pos="9972"/>
            </w:tabs>
          </w:pPr>
          <w:r>
            <w:fldChar w:fldCharType="begin"/>
          </w:r>
          <w:r>
            <w:instrText xml:space="preserve"> HYPERLINK \l "_Toc14079" </w:instrText>
          </w:r>
          <w:r>
            <w:fldChar w:fldCharType="separate"/>
          </w:r>
          <w:r>
            <w:rPr>
              <w:rFonts w:hint="eastAsia"/>
            </w:rPr>
            <w:t>第四卷</w:t>
          </w:r>
          <w:r>
            <w:tab/>
          </w:r>
          <w:r>
            <w:fldChar w:fldCharType="begin"/>
          </w:r>
          <w:r>
            <w:instrText xml:space="preserve"> PAGEREF _Toc14079 \h </w:instrText>
          </w:r>
          <w:r>
            <w:fldChar w:fldCharType="separate"/>
          </w:r>
          <w:r>
            <w:t>129</w:t>
          </w:r>
          <w:r>
            <w:fldChar w:fldCharType="end"/>
          </w:r>
          <w:r>
            <w:fldChar w:fldCharType="end"/>
          </w:r>
        </w:p>
        <w:p>
          <w:pPr>
            <w:pStyle w:val="14"/>
            <w:tabs>
              <w:tab w:val="right" w:leader="dot" w:pos="9972"/>
            </w:tabs>
            <w:ind w:left="440"/>
          </w:pPr>
          <w:r>
            <w:fldChar w:fldCharType="begin"/>
          </w:r>
          <w:r>
            <w:instrText xml:space="preserve"> HYPERLINK \l "_Toc5705" </w:instrText>
          </w:r>
          <w:r>
            <w:fldChar w:fldCharType="separate"/>
          </w:r>
          <w:r>
            <w:rPr>
              <w:rFonts w:hint="eastAsia"/>
            </w:rPr>
            <w:t>第八章 投标文件格式</w:t>
          </w:r>
          <w:r>
            <w:tab/>
          </w:r>
          <w:r>
            <w:fldChar w:fldCharType="begin"/>
          </w:r>
          <w:r>
            <w:instrText xml:space="preserve"> PAGEREF _Toc5705 \h </w:instrText>
          </w:r>
          <w:r>
            <w:fldChar w:fldCharType="separate"/>
          </w:r>
          <w:r>
            <w:t>130</w:t>
          </w:r>
          <w:r>
            <w:fldChar w:fldCharType="end"/>
          </w:r>
          <w:r>
            <w:fldChar w:fldCharType="end"/>
          </w:r>
        </w:p>
        <w:p>
          <w:r>
            <w:fldChar w:fldCharType="end"/>
          </w:r>
        </w:p>
      </w:sdtContent>
    </w:sdt>
    <w:p/>
    <w:p/>
    <w:p/>
    <w:p/>
    <w:p>
      <w:pPr>
        <w:pStyle w:val="3"/>
        <w:rPr>
          <w:rFonts w:asciiTheme="minorEastAsia" w:hAnsiTheme="minorEastAsia" w:eastAsiaTheme="minorEastAsia"/>
          <w:spacing w:val="2"/>
        </w:rPr>
        <w:sectPr>
          <w:footerReference r:id="rId5" w:type="default"/>
          <w:pgSz w:w="12240" w:h="15840"/>
          <w:pgMar w:top="1134" w:right="1134" w:bottom="1134" w:left="1134" w:header="0" w:footer="921" w:gutter="0"/>
          <w:cols w:space="720" w:num="1"/>
        </w:sectPr>
      </w:pPr>
      <w:bookmarkStart w:id="0" w:name="_Toc1480"/>
      <w:bookmarkStart w:id="1" w:name="_Toc29416"/>
      <w:bookmarkStart w:id="2" w:name="_Toc13978"/>
    </w:p>
    <w:p>
      <w:pPr>
        <w:pStyle w:val="3"/>
        <w:rPr>
          <w:rFonts w:asciiTheme="minorEastAsia" w:hAnsiTheme="minorEastAsia" w:eastAsiaTheme="minorEastAsia"/>
          <w:spacing w:val="2"/>
        </w:rPr>
      </w:pPr>
    </w:p>
    <w:p>
      <w:pPr>
        <w:pStyle w:val="3"/>
        <w:rPr>
          <w:rFonts w:asciiTheme="minorEastAsia" w:hAnsiTheme="minorEastAsia" w:eastAsiaTheme="minorEastAsia"/>
          <w:spacing w:val="2"/>
        </w:rPr>
      </w:pPr>
    </w:p>
    <w:p>
      <w:pPr>
        <w:pStyle w:val="3"/>
        <w:rPr>
          <w:rFonts w:asciiTheme="minorEastAsia" w:hAnsiTheme="minorEastAsia" w:eastAsiaTheme="minorEastAsia"/>
          <w:spacing w:val="2"/>
        </w:rPr>
      </w:pPr>
    </w:p>
    <w:p>
      <w:pPr>
        <w:pStyle w:val="3"/>
        <w:rPr>
          <w:rFonts w:asciiTheme="minorEastAsia" w:hAnsiTheme="minorEastAsia" w:eastAsiaTheme="minorEastAsia"/>
          <w:spacing w:val="2"/>
        </w:rPr>
      </w:pPr>
      <w:bookmarkStart w:id="3" w:name="_Toc23790"/>
      <w:r>
        <w:rPr>
          <w:rFonts w:asciiTheme="minorEastAsia" w:hAnsiTheme="minorEastAsia" w:eastAsiaTheme="minorEastAsia"/>
          <w:spacing w:val="2"/>
        </w:rPr>
        <w:t>第一卷</w:t>
      </w:r>
      <w:bookmarkEnd w:id="0"/>
      <w:bookmarkEnd w:id="1"/>
      <w:bookmarkEnd w:id="2"/>
      <w:bookmarkEnd w:id="3"/>
    </w:p>
    <w:p>
      <w:pPr>
        <w:pStyle w:val="4"/>
        <w:sectPr>
          <w:footerReference r:id="rId6" w:type="default"/>
          <w:pgSz w:w="12240" w:h="15840"/>
          <w:pgMar w:top="1134" w:right="1134" w:bottom="1134" w:left="1134" w:header="0" w:footer="921" w:gutter="0"/>
          <w:cols w:space="720" w:num="1"/>
        </w:sectPr>
      </w:pPr>
      <w:bookmarkStart w:id="4" w:name="_Toc20832"/>
    </w:p>
    <w:p>
      <w:pPr>
        <w:pStyle w:val="4"/>
      </w:pPr>
      <w:bookmarkStart w:id="5" w:name="_Toc9055"/>
      <w:r>
        <w:rPr>
          <w:rFonts w:hint="eastAsia"/>
        </w:rPr>
        <w:t>第一章 招标公告（适用于公开招标）</w:t>
      </w:r>
      <w:bookmarkEnd w:id="4"/>
      <w:bookmarkEnd w:id="5"/>
    </w:p>
    <w:p>
      <w:pPr>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（项目名称）□勘察</w:t>
      </w:r>
      <w:r>
        <w:rPr>
          <w:rFonts w:hint="eastAsia" w:asciiTheme="minorEastAsia" w:hAnsiTheme="minorEastAsia" w:eastAsiaTheme="minorEastAsia" w:cstheme="minorEastAsia"/>
          <w:sz w:val="28"/>
          <w:szCs w:val="28"/>
        </w:rPr>
        <w:sym w:font="Wingdings 2" w:char="00A3"/>
      </w:r>
      <w:r>
        <w:rPr>
          <w:rFonts w:hint="eastAsia" w:asciiTheme="minorEastAsia" w:hAnsiTheme="minorEastAsia" w:eastAsiaTheme="minorEastAsia" w:cstheme="minorEastAsia"/>
          <w:sz w:val="28"/>
          <w:szCs w:val="28"/>
        </w:rPr>
        <w:t>设计-施工总承包标段招标公告</w:t>
      </w:r>
    </w:p>
    <w:p>
      <w:pPr>
        <w:pStyle w:val="5"/>
        <w:numPr>
          <w:ilvl w:val="0"/>
          <w:numId w:val="1"/>
        </w:numPr>
      </w:pPr>
      <w:bookmarkStart w:id="6" w:name="_Toc7151"/>
      <w:r>
        <w:rPr>
          <w:rFonts w:hint="eastAsia"/>
        </w:rPr>
        <w:t>招标条件</w:t>
      </w:r>
      <w:bookmarkEnd w:id="6"/>
    </w:p>
    <w:p>
      <w:pPr>
        <w:pStyle w:val="2"/>
        <w:rPr>
          <w:rFonts w:asciiTheme="minorEastAsia" w:hAnsiTheme="minorEastAsia"/>
        </w:rPr>
      </w:pPr>
      <w:r>
        <w:rPr>
          <w:rFonts w:hint="eastAsia" w:asciiTheme="minorEastAsia" w:hAnsiTheme="minorEastAsia"/>
        </w:rPr>
        <w:t>1.1 本招标项目（项目名称）□勘察□设计-施工总承包标段已由_______（项目审批、核准或备案</w:t>
      </w:r>
    </w:p>
    <w:p>
      <w:pPr>
        <w:pStyle w:val="2"/>
        <w:ind w:left="0"/>
        <w:rPr>
          <w:rFonts w:asciiTheme="minorEastAsia" w:hAnsiTheme="minorEastAsia"/>
        </w:rPr>
      </w:pPr>
      <w:r>
        <w:rPr>
          <w:rFonts w:hint="eastAsia" w:asciiTheme="minorEastAsia" w:hAnsiTheme="minorEastAsia"/>
        </w:rPr>
        <w:t>机关名称）以______________（批文名称及编号）批准建设，项目业主为______________，建设资金来自_________（资金来源），项目出资比例为，招标人为__________。项目已具备招标条件，现进行公开招标。</w:t>
      </w:r>
    </w:p>
    <w:p>
      <w:pPr>
        <w:pStyle w:val="2"/>
        <w:rPr>
          <w:rFonts w:asciiTheme="minorEastAsia" w:hAnsiTheme="minorEastAsia"/>
        </w:rPr>
      </w:pPr>
      <w:r>
        <w:rPr>
          <w:rFonts w:hint="eastAsia" w:asciiTheme="minorEastAsia" w:hAnsiTheme="minorEastAsia"/>
        </w:rPr>
        <w:t>1.2 本招标项目由</w:t>
      </w:r>
      <w:r>
        <w:rPr>
          <w:rFonts w:hint="eastAsia" w:asciiTheme="minorEastAsia" w:hAnsiTheme="minorEastAsia"/>
          <w:u w:val="single"/>
        </w:rPr>
        <w:t xml:space="preserve">           </w:t>
      </w:r>
      <w:r>
        <w:rPr>
          <w:rFonts w:hint="eastAsia" w:asciiTheme="minorEastAsia" w:hAnsiTheme="minorEastAsia"/>
        </w:rPr>
        <w:t>（核准机关名称）核准（招标事项核准文号为</w:t>
      </w:r>
      <w:r>
        <w:rPr>
          <w:rFonts w:hint="eastAsia" w:asciiTheme="minorEastAsia" w:hAnsiTheme="minorEastAsia"/>
          <w:u w:val="single"/>
        </w:rPr>
        <w:t xml:space="preserve">          </w:t>
      </w:r>
      <w:r>
        <w:rPr>
          <w:rFonts w:hint="eastAsia" w:asciiTheme="minorEastAsia" w:hAnsiTheme="minorEastAsia"/>
        </w:rPr>
        <w:t>）的招标</w:t>
      </w:r>
    </w:p>
    <w:p>
      <w:pPr>
        <w:pStyle w:val="2"/>
        <w:ind w:left="0"/>
        <w:rPr>
          <w:rFonts w:asciiTheme="minorEastAsia" w:hAnsiTheme="minorEastAsia"/>
        </w:rPr>
      </w:pPr>
      <w:r>
        <w:rPr>
          <w:rFonts w:hint="eastAsia" w:asciiTheme="minorEastAsia" w:hAnsiTheme="minorEastAsia"/>
        </w:rPr>
        <w:t>组织形式为□自行招标□委托招标。招标人选择的招标代理机构是</w:t>
      </w:r>
      <w:r>
        <w:rPr>
          <w:rFonts w:hint="eastAsia" w:asciiTheme="minorEastAsia" w:hAnsiTheme="minorEastAsia"/>
          <w:u w:val="single"/>
        </w:rPr>
        <w:tab/>
      </w:r>
      <w:r>
        <w:rPr>
          <w:rFonts w:hint="eastAsia" w:asciiTheme="minorEastAsia" w:hAnsiTheme="minorEastAsia"/>
          <w:u w:val="single"/>
        </w:rPr>
        <w:t xml:space="preserve">           </w:t>
      </w:r>
      <w:r>
        <w:rPr>
          <w:rFonts w:hint="eastAsia" w:asciiTheme="minorEastAsia" w:hAnsiTheme="minorEastAsia"/>
        </w:rPr>
        <w:t>。</w:t>
      </w:r>
    </w:p>
    <w:p>
      <w:pPr>
        <w:pStyle w:val="2"/>
      </w:pPr>
      <w:r>
        <w:rPr>
          <w:rFonts w:hint="eastAsia" w:asciiTheme="minorEastAsia" w:hAnsiTheme="minorEastAsia"/>
        </w:rPr>
        <w:t>注：若为自行招标则代理机构填"/"。</w:t>
      </w:r>
    </w:p>
    <w:p>
      <w:pPr>
        <w:pStyle w:val="5"/>
        <w:numPr>
          <w:ilvl w:val="0"/>
          <w:numId w:val="1"/>
        </w:numPr>
      </w:pPr>
      <w:r>
        <w:rPr>
          <w:rFonts w:hint="eastAsia"/>
        </w:rPr>
        <w:t>项目概况与招标范围</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2.1 建设地点：</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val="single" w:color="000000"/>
        </w:rPr>
      </w:pPr>
      <w:r>
        <w:rPr>
          <w:rFonts w:hint="eastAsia" w:cs="Times New Roman" w:asciiTheme="minorEastAsia" w:hAnsiTheme="minorEastAsia" w:eastAsiaTheme="minorEastAsia"/>
          <w:u w:color="000000"/>
        </w:rPr>
        <w:t>2.2 建设内容及规模：</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2.3 招标范围：</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2.4 服务周期：</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2.5 质量目标：</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2.6 标段划分：</w:t>
      </w:r>
      <w:r>
        <w:rPr>
          <w:rFonts w:cs="Times New Roman" w:asciiTheme="minorEastAsia" w:hAnsiTheme="minorEastAsia" w:eastAsiaTheme="minorEastAsia"/>
          <w:u w:color="000000"/>
        </w:rPr>
        <w:t xml:space="preserve"> </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rPr>
      </w:pPr>
      <w:r>
        <w:rPr>
          <w:rFonts w:hint="eastAsia" w:asciiTheme="minorEastAsia" w:hAnsiTheme="minorEastAsia" w:eastAsiaTheme="minorEastAsia"/>
        </w:rPr>
        <w:t>说明本次招标项目的建设地点、规模、计划工期、招标范围、质量标准、标段划分(如果有)等</w:t>
      </w:r>
    </w:p>
    <w:p>
      <w:pPr>
        <w:pStyle w:val="2"/>
        <w:tabs>
          <w:tab w:val="left" w:pos="3566"/>
        </w:tabs>
        <w:spacing w:line="350" w:lineRule="auto"/>
        <w:ind w:left="100" w:right="109" w:firstLine="419"/>
        <w:rPr>
          <w:rFonts w:asciiTheme="minorEastAsia" w:hAnsiTheme="minorEastAsia" w:eastAsiaTheme="minorEastAsia"/>
        </w:rPr>
      </w:pPr>
      <w:r>
        <w:rPr>
          <w:rFonts w:hint="eastAsia" w:asciiTheme="minorEastAsia" w:hAnsiTheme="minorEastAsia" w:eastAsiaTheme="minorEastAsia"/>
        </w:rPr>
        <w:t>注：说明本次招标项目的建设地点、规模、投资额（或招标控制价）、计划设计周期、计划总工期、招标范围、质量标准、标段划分等。</w:t>
      </w:r>
    </w:p>
    <w:p>
      <w:pPr>
        <w:pStyle w:val="5"/>
        <w:numPr>
          <w:ilvl w:val="0"/>
          <w:numId w:val="1"/>
        </w:numPr>
      </w:pPr>
      <w:r>
        <w:rPr>
          <w:rFonts w:hint="eastAsia"/>
        </w:rPr>
        <w:t>投标人资格要求</w:t>
      </w:r>
    </w:p>
    <w:p>
      <w:pPr>
        <w:pStyle w:val="2"/>
      </w:pPr>
      <w:r>
        <w:t xml:space="preserve">3.1 </w:t>
      </w:r>
      <w:r>
        <w:rPr>
          <w:rFonts w:hint="eastAsia"/>
        </w:rPr>
        <w:t>本次招标要求投标人：</w:t>
      </w:r>
    </w:p>
    <w:p>
      <w:pPr>
        <w:pStyle w:val="2"/>
      </w:pPr>
      <w:r>
        <w:t>3.1.1</w:t>
      </w:r>
      <w:r>
        <w:rPr>
          <w:rFonts w:hint="eastAsia"/>
        </w:rPr>
        <w:t xml:space="preserve"> 依法设立、具有独立承担民事责任的能力；</w:t>
      </w:r>
    </w:p>
    <w:p>
      <w:pPr>
        <w:pStyle w:val="2"/>
      </w:pPr>
      <w:r>
        <w:t>3.1.2</w:t>
      </w:r>
      <w:r>
        <w:rPr>
          <w:rFonts w:hint="eastAsia"/>
        </w:rPr>
        <w:t xml:space="preserve"> 须为：</w:t>
      </w:r>
    </w:p>
    <w:p>
      <w:pPr>
        <w:pStyle w:val="2"/>
      </w:pPr>
      <w:r>
        <w:rPr>
          <w:rFonts w:hint="eastAsia"/>
        </w:rPr>
        <w:t>（1）□勘察资质：</w:t>
      </w:r>
    </w:p>
    <w:p>
      <w:pPr>
        <w:pStyle w:val="2"/>
        <w:ind w:firstLine="440" w:firstLineChars="200"/>
      </w:pPr>
      <w:r>
        <w:rPr>
          <w:rFonts w:hint="eastAsia"/>
        </w:rPr>
        <w:t>【具有】【勘察的单位】；</w:t>
      </w:r>
    </w:p>
    <w:p>
      <w:pPr>
        <w:pStyle w:val="2"/>
      </w:pPr>
      <w:r>
        <w:rPr>
          <w:rFonts w:hint="eastAsia"/>
        </w:rPr>
        <w:t>（2）□设计资质：</w:t>
      </w:r>
    </w:p>
    <w:p>
      <w:pPr>
        <w:pStyle w:val="2"/>
        <w:ind w:firstLine="440" w:firstLineChars="200"/>
      </w:pPr>
      <w:r>
        <w:rPr>
          <w:rFonts w:hint="eastAsia"/>
        </w:rPr>
        <w:t>【具有】【资质的单位】；</w:t>
      </w:r>
    </w:p>
    <w:p>
      <w:pPr>
        <w:pStyle w:val="2"/>
      </w:pPr>
      <w:r>
        <w:rPr>
          <w:rFonts w:hint="eastAsia"/>
        </w:rPr>
        <w:t>（3）□</w:t>
      </w:r>
      <w:r>
        <w:t>施工资质：</w:t>
      </w:r>
    </w:p>
    <w:p>
      <w:pPr>
        <w:pStyle w:val="2"/>
        <w:ind w:firstLine="440" w:firstLineChars="200"/>
      </w:pPr>
      <w:r>
        <w:rPr>
          <w:rFonts w:hint="eastAsia"/>
        </w:rPr>
        <w:t>【具有】【资质的单位】；</w:t>
      </w:r>
    </w:p>
    <w:p>
      <w:pPr>
        <w:pStyle w:val="2"/>
      </w:pPr>
      <w:r>
        <w:t>3.1.</w:t>
      </w:r>
      <w:r>
        <w:rPr>
          <w:rFonts w:hint="eastAsia"/>
        </w:rPr>
        <w:t>3 拟派往本项目的项目经理为须为本单位人员（若为联合体投标，须为联合体牵头人人员）;</w:t>
      </w:r>
    </w:p>
    <w:p>
      <w:pPr>
        <w:pStyle w:val="2"/>
        <w:ind w:firstLine="440" w:firstLineChars="200"/>
      </w:pPr>
      <w:r>
        <w:rPr>
          <w:rFonts w:hint="eastAsia"/>
        </w:rPr>
        <w:t>○具有证书；○具有高级职称（未实施注册执业资格的）；</w:t>
      </w:r>
    </w:p>
    <w:p>
      <w:pPr>
        <w:pStyle w:val="2"/>
        <w:ind w:firstLine="440" w:firstLineChars="200"/>
      </w:pPr>
      <w:r>
        <w:rPr>
          <w:rFonts w:hint="eastAsia"/>
        </w:rPr>
        <w:t>○拟派往本项目的项目经理可以由□设计负责人兼任□施工负责人兼任</w:t>
      </w:r>
    </w:p>
    <w:p>
      <w:pPr>
        <w:pStyle w:val="2"/>
        <w:ind w:firstLine="440" w:firstLineChars="200"/>
      </w:pPr>
      <w:r>
        <w:rPr>
          <w:rFonts w:hint="eastAsia"/>
        </w:rPr>
        <w:t>○拟派往本项目的项目经理不可以由设计负责人或施工负责人兼任</w:t>
      </w:r>
    </w:p>
    <w:p>
      <w:pPr>
        <w:pStyle w:val="2"/>
      </w:pPr>
      <w:r>
        <w:rPr>
          <w:rFonts w:hint="eastAsia"/>
        </w:rPr>
        <w:t>□拟派勘察负责人:</w:t>
      </w:r>
    </w:p>
    <w:p>
      <w:pPr>
        <w:pStyle w:val="2"/>
        <w:ind w:firstLine="440" w:firstLineChars="200"/>
      </w:pPr>
      <w:r>
        <w:rPr>
          <w:rFonts w:hint="eastAsia"/>
        </w:rPr>
        <w:t>○具有</w:t>
      </w:r>
      <w:r>
        <w:rPr>
          <w:rFonts w:hint="eastAsia"/>
          <w:u w:val="single"/>
        </w:rPr>
        <w:t xml:space="preserve">           </w:t>
      </w:r>
      <w:r>
        <w:rPr>
          <w:rFonts w:hint="eastAsia"/>
        </w:rPr>
        <w:t>证书，</w:t>
      </w:r>
      <w:r>
        <w:t>(须为_______</w:t>
      </w:r>
      <w:r>
        <w:rPr>
          <w:rFonts w:hint="eastAsia"/>
        </w:rPr>
        <w:t>人员</w:t>
      </w:r>
      <w:r>
        <w:t>)</w:t>
      </w:r>
      <w:r>
        <w:rPr>
          <w:rFonts w:hint="eastAsia"/>
        </w:rPr>
        <w:t xml:space="preserve"> ；</w:t>
      </w:r>
    </w:p>
    <w:p>
      <w:pPr>
        <w:pStyle w:val="2"/>
        <w:ind w:firstLine="440" w:firstLineChars="200"/>
      </w:pPr>
      <w:r>
        <w:rPr>
          <w:rFonts w:hint="eastAsia"/>
        </w:rPr>
        <w:t>○具有，须为本单位人员；</w:t>
      </w:r>
    </w:p>
    <w:p>
      <w:pPr>
        <w:pStyle w:val="2"/>
      </w:pPr>
      <w:r>
        <w:rPr>
          <w:rFonts w:hint="eastAsia"/>
        </w:rPr>
        <w:t>□拟派设计负责人:</w:t>
      </w:r>
    </w:p>
    <w:p>
      <w:pPr>
        <w:pStyle w:val="2"/>
        <w:ind w:firstLine="440" w:firstLineChars="200"/>
      </w:pPr>
      <w:r>
        <w:rPr>
          <w:rFonts w:hint="eastAsia"/>
        </w:rPr>
        <w:t>○具有</w:t>
      </w:r>
      <w:r>
        <w:rPr>
          <w:rFonts w:hint="eastAsia"/>
          <w:u w:val="single"/>
        </w:rPr>
        <w:t xml:space="preserve">           </w:t>
      </w:r>
      <w:r>
        <w:rPr>
          <w:rFonts w:hint="eastAsia"/>
        </w:rPr>
        <w:t>证书，</w:t>
      </w:r>
      <w:r>
        <w:t>(须为_______</w:t>
      </w:r>
      <w:r>
        <w:rPr>
          <w:rFonts w:hint="eastAsia"/>
        </w:rPr>
        <w:t>人员</w:t>
      </w:r>
      <w:r>
        <w:t>)</w:t>
      </w:r>
      <w:r>
        <w:rPr>
          <w:rFonts w:hint="eastAsia"/>
        </w:rPr>
        <w:t xml:space="preserve"> ；</w:t>
      </w:r>
    </w:p>
    <w:p>
      <w:pPr>
        <w:pStyle w:val="2"/>
      </w:pPr>
      <w:r>
        <w:rPr>
          <w:rFonts w:hint="eastAsia"/>
        </w:rPr>
        <w:t>□拟派施工负责人:</w:t>
      </w:r>
    </w:p>
    <w:p>
      <w:pPr>
        <w:pStyle w:val="2"/>
        <w:ind w:firstLine="440" w:firstLineChars="200"/>
      </w:pPr>
      <w:r>
        <w:rPr>
          <w:rFonts w:hint="eastAsia"/>
        </w:rPr>
        <w:t>○具有</w:t>
      </w:r>
      <w:r>
        <w:rPr>
          <w:rFonts w:hint="eastAsia"/>
          <w:u w:val="single"/>
        </w:rPr>
        <w:t xml:space="preserve">           </w:t>
      </w:r>
      <w:r>
        <w:rPr>
          <w:rFonts w:hint="eastAsia"/>
        </w:rPr>
        <w:t>专业</w:t>
      </w:r>
      <w:r>
        <w:rPr>
          <w:rFonts w:hint="eastAsia"/>
          <w:u w:val="single"/>
        </w:rPr>
        <w:t xml:space="preserve">    </w:t>
      </w:r>
      <w:r>
        <w:rPr>
          <w:rFonts w:hint="eastAsia"/>
        </w:rPr>
        <w:t>级或以上注册建造师证书</w:t>
      </w:r>
      <w:r>
        <w:t>(须为_______</w:t>
      </w:r>
      <w:r>
        <w:rPr>
          <w:rFonts w:hint="eastAsia"/>
        </w:rPr>
        <w:t>人员</w:t>
      </w:r>
      <w:r>
        <w:t>)</w:t>
      </w:r>
      <w:r>
        <w:rPr>
          <w:rFonts w:hint="eastAsia"/>
        </w:rPr>
        <w:t xml:space="preserve"> ，□须具备有效的</w:t>
      </w:r>
    </w:p>
    <w:p>
      <w:pPr>
        <w:pStyle w:val="2"/>
        <w:ind w:left="0"/>
      </w:pPr>
      <w:r>
        <w:rPr>
          <w:rFonts w:hint="eastAsia"/>
        </w:rPr>
        <w:t>安全生产考核合格B证</w:t>
      </w:r>
      <w:r>
        <w:t>;</w:t>
      </w:r>
    </w:p>
    <w:p>
      <w:pPr>
        <w:pStyle w:val="2"/>
      </w:pPr>
      <w:r>
        <w:rPr>
          <w:rFonts w:hint="eastAsia"/>
        </w:rPr>
        <w:t>注:项目经理资格设置要求取得相应工程建设类注册执业资格，包括注册建筑师、勘察设计注册工</w:t>
      </w:r>
    </w:p>
    <w:p>
      <w:pPr>
        <w:pStyle w:val="2"/>
        <w:ind w:left="0"/>
      </w:pPr>
      <w:r>
        <w:rPr>
          <w:rFonts w:hint="eastAsia"/>
        </w:rPr>
        <w:t>程师、注册建造师或者注册监理工程师等；未实施注册执业资格的，取得高级专业技术职称。</w:t>
      </w:r>
    </w:p>
    <w:p>
      <w:pPr>
        <w:pStyle w:val="2"/>
      </w:pPr>
      <w:r>
        <w:t>3.1.</w:t>
      </w:r>
      <w:r>
        <w:rPr>
          <w:rFonts w:hint="eastAsia"/>
        </w:rPr>
        <w:t xml:space="preserve">7 </w:t>
      </w:r>
      <w:r>
        <w:t>财务要求</w:t>
      </w:r>
      <w:r>
        <w:rPr>
          <w:rFonts w:hint="eastAsia"/>
        </w:rPr>
        <w:t>：</w:t>
      </w:r>
    </w:p>
    <w:p>
      <w:pPr>
        <w:pStyle w:val="2"/>
        <w:ind w:firstLine="440" w:firstLineChars="200"/>
      </w:pPr>
      <w:r>
        <w:rPr>
          <w:rFonts w:hint="eastAsia"/>
        </w:rPr>
        <w:t>○无；</w:t>
      </w:r>
    </w:p>
    <w:p>
      <w:pPr>
        <w:pStyle w:val="2"/>
        <w:ind w:firstLine="440" w:firstLineChars="200"/>
      </w:pPr>
      <w:r>
        <w:rPr>
          <w:rFonts w:hint="eastAsia"/>
        </w:rPr>
        <w:t>○近3年或成立至今（成立不足3年的）无亏损。</w:t>
      </w:r>
    </w:p>
    <w:p>
      <w:pPr>
        <w:pStyle w:val="2"/>
      </w:pPr>
      <w:r>
        <w:t>3.1.</w:t>
      </w:r>
      <w:r>
        <w:rPr>
          <w:rFonts w:hint="eastAsia"/>
        </w:rPr>
        <w:t xml:space="preserve">8 </w:t>
      </w:r>
      <w:r>
        <w:t>类似工程业绩要求</w:t>
      </w:r>
      <w:r>
        <w:rPr>
          <w:rFonts w:hint="eastAsia"/>
        </w:rPr>
        <w:t>：</w:t>
      </w:r>
    </w:p>
    <w:p>
      <w:pPr>
        <w:pStyle w:val="2"/>
      </w:pPr>
      <w:r>
        <w:rPr>
          <w:rFonts w:hint="eastAsia"/>
        </w:rPr>
        <w:t>（1）□勘察资质单位：</w:t>
      </w:r>
    </w:p>
    <w:p>
      <w:pPr>
        <w:pStyle w:val="2"/>
        <w:ind w:firstLine="440" w:firstLineChars="200"/>
      </w:pPr>
      <w:r>
        <w:rPr>
          <w:rFonts w:hint="eastAsia"/>
        </w:rPr>
        <w:t>○无；</w:t>
      </w:r>
    </w:p>
    <w:p>
      <w:pPr>
        <w:pStyle w:val="2"/>
        <w:ind w:firstLine="440" w:firstLineChars="200"/>
      </w:pPr>
      <w:r>
        <w:rPr>
          <w:rFonts w:hint="eastAsia"/>
        </w:rPr>
        <w:t>○</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日至投标截止时间（不少于3年），</w:t>
      </w:r>
      <w:r>
        <w:rPr>
          <w:rFonts w:hint="eastAsia"/>
          <w:u w:val="single"/>
        </w:rPr>
        <w:t>□已完成□已完成或正在勘察或新承接</w:t>
      </w:r>
      <w:r>
        <w:rPr>
          <w:rFonts w:hint="eastAsia"/>
        </w:rPr>
        <w:t>的项目共不少于个（1至3个）类似工程业绩。</w:t>
      </w:r>
    </w:p>
    <w:p>
      <w:pPr>
        <w:pStyle w:val="2"/>
      </w:pPr>
      <w:r>
        <w:rPr>
          <w:rFonts w:hint="eastAsia"/>
        </w:rPr>
        <w:t>类似工程业绩是指:</w:t>
      </w:r>
      <w:r>
        <w:rPr>
          <w:rFonts w:hint="eastAsia"/>
          <w:u w:val="single"/>
        </w:rPr>
        <w:t xml:space="preserve">                      </w:t>
      </w:r>
      <w:r>
        <w:rPr>
          <w:rFonts w:hint="eastAsia"/>
        </w:rPr>
        <w:t>；</w:t>
      </w:r>
    </w:p>
    <w:p>
      <w:pPr>
        <w:pStyle w:val="2"/>
      </w:pPr>
      <w:r>
        <w:rPr>
          <w:rFonts w:hint="eastAsia"/>
        </w:rPr>
        <w:t>（2）□设计资质单位：</w:t>
      </w:r>
    </w:p>
    <w:p>
      <w:pPr>
        <w:pStyle w:val="2"/>
        <w:ind w:firstLine="440" w:firstLineChars="200"/>
      </w:pPr>
      <w:r>
        <w:rPr>
          <w:rFonts w:hint="eastAsia"/>
        </w:rPr>
        <w:t>○无；</w:t>
      </w:r>
    </w:p>
    <w:p>
      <w:pPr>
        <w:pStyle w:val="2"/>
        <w:ind w:firstLine="440" w:firstLineChars="200"/>
      </w:pPr>
      <w:r>
        <w:rPr>
          <w:rFonts w:hint="eastAsia"/>
        </w:rPr>
        <w:t>○</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日至投标截止时间（不少于3年），</w:t>
      </w:r>
      <w:r>
        <w:rPr>
          <w:rFonts w:hint="eastAsia"/>
          <w:u w:val="single"/>
        </w:rPr>
        <w:t>□已完成□已完成或正在设计或新承接</w:t>
      </w:r>
      <w:r>
        <w:rPr>
          <w:rFonts w:hint="eastAsia"/>
        </w:rPr>
        <w:t>的项目共不少于个（1至3个）类似工程业绩。</w:t>
      </w:r>
    </w:p>
    <w:p>
      <w:pPr>
        <w:pStyle w:val="2"/>
      </w:pPr>
      <w:r>
        <w:rPr>
          <w:rFonts w:hint="eastAsia"/>
        </w:rPr>
        <w:t>类似工程业绩是指:</w:t>
      </w:r>
      <w:r>
        <w:rPr>
          <w:rFonts w:hint="eastAsia"/>
          <w:u w:val="single"/>
        </w:rPr>
        <w:t xml:space="preserve">                      </w:t>
      </w:r>
      <w:r>
        <w:rPr>
          <w:rFonts w:hint="eastAsia"/>
        </w:rPr>
        <w:t>；</w:t>
      </w:r>
    </w:p>
    <w:p>
      <w:pPr>
        <w:pStyle w:val="2"/>
      </w:pPr>
      <w:r>
        <w:rPr>
          <w:rFonts w:hint="eastAsia"/>
        </w:rPr>
        <w:t>（3）□施工资质单位：</w:t>
      </w:r>
    </w:p>
    <w:p>
      <w:pPr>
        <w:pStyle w:val="2"/>
        <w:ind w:firstLine="440" w:firstLineChars="200"/>
      </w:pPr>
      <w:r>
        <w:rPr>
          <w:rFonts w:hint="eastAsia"/>
        </w:rPr>
        <w:t>○无；</w:t>
      </w:r>
    </w:p>
    <w:p>
      <w:pPr>
        <w:pStyle w:val="2"/>
        <w:ind w:firstLine="440" w:firstLineChars="200"/>
      </w:pPr>
      <w:r>
        <w:rPr>
          <w:rFonts w:hint="eastAsia"/>
        </w:rPr>
        <w:t>○</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日至投标截止时间（不少于3年），</w:t>
      </w:r>
      <w:r>
        <w:rPr>
          <w:rFonts w:hint="eastAsia"/>
          <w:u w:val="single"/>
        </w:rPr>
        <w:t>□已完成□已完成或正在施工或新承接</w:t>
      </w:r>
      <w:r>
        <w:rPr>
          <w:rFonts w:hint="eastAsia"/>
        </w:rPr>
        <w:t>的项目共不少于个（1至3个）类似工程业绩。</w:t>
      </w:r>
    </w:p>
    <w:p>
      <w:pPr>
        <w:pStyle w:val="2"/>
      </w:pPr>
      <w:r>
        <w:rPr>
          <w:rFonts w:hint="eastAsia"/>
        </w:rPr>
        <w:t>类似工程业绩是指:</w:t>
      </w:r>
      <w:r>
        <w:rPr>
          <w:rFonts w:hint="eastAsia"/>
          <w:u w:val="single"/>
        </w:rPr>
        <w:t xml:space="preserve">                      </w:t>
      </w:r>
      <w:r>
        <w:rPr>
          <w:rFonts w:hint="eastAsia"/>
        </w:rPr>
        <w:t>；</w:t>
      </w:r>
    </w:p>
    <w:p>
      <w:pPr>
        <w:pStyle w:val="2"/>
      </w:pPr>
      <w:r>
        <w:t>3.2</w:t>
      </w:r>
      <w:r>
        <w:rPr>
          <w:rFonts w:hint="eastAsia"/>
        </w:rPr>
        <w:t xml:space="preserve"> </w:t>
      </w:r>
      <w:r>
        <w:t>本次招标</w:t>
      </w:r>
      <w:r>
        <w:rPr>
          <w:rFonts w:hint="eastAsia"/>
        </w:rPr>
        <w:t>接受</w:t>
      </w:r>
      <w:r>
        <w:t>联合体投标。</w:t>
      </w:r>
    </w:p>
    <w:p>
      <w:pPr>
        <w:pStyle w:val="2"/>
      </w:pPr>
      <w:r>
        <w:rPr>
          <w:rFonts w:hint="eastAsia"/>
        </w:rPr>
        <w:t>联合体投标的，联合体牵头人应为</w:t>
      </w:r>
      <w:r>
        <w:rPr>
          <w:rFonts w:hint="eastAsia"/>
          <w:u w:val="single"/>
        </w:rPr>
        <w:t>○设计单位○施工单位</w:t>
      </w:r>
      <w:r>
        <w:rPr>
          <w:rFonts w:hint="eastAsia"/>
        </w:rPr>
        <w:t>应满足下列要求：</w:t>
      </w:r>
    </w:p>
    <w:p>
      <w:pPr>
        <w:pStyle w:val="2"/>
      </w:pPr>
      <w:r>
        <w:rPr>
          <w:rFonts w:hint="eastAsia"/>
        </w:rPr>
        <w:t>须具有</w:t>
      </w:r>
      <w:r>
        <w:rPr>
          <w:rFonts w:hint="eastAsia"/>
          <w:u w:val="single"/>
        </w:rPr>
        <w:t xml:space="preserve">                </w:t>
      </w:r>
      <w:r>
        <w:rPr>
          <w:rFonts w:hint="eastAsia"/>
        </w:rPr>
        <w:t>资质的单位作为联合体牵头人。联合体成员（含联合体牵头人）家数须不</w:t>
      </w:r>
    </w:p>
    <w:p>
      <w:pPr>
        <w:pStyle w:val="2"/>
        <w:ind w:left="0"/>
      </w:pPr>
      <w:r>
        <w:rPr>
          <w:rFonts w:hint="eastAsia"/>
        </w:rPr>
        <w:t>超过</w:t>
      </w:r>
      <w:r>
        <w:rPr>
          <w:rFonts w:hint="eastAsia"/>
          <w:u w:val="single"/>
        </w:rPr>
        <w:t xml:space="preserve">       </w:t>
      </w:r>
      <w:r>
        <w:rPr>
          <w:rFonts w:hint="eastAsia"/>
        </w:rPr>
        <w:t>家。联合体需符合有关联合体投标的规定和要求，并提交了联合体协议，明确联合体牵头人和各方权利义务。</w:t>
      </w:r>
    </w:p>
    <w:p>
      <w:pPr>
        <w:pStyle w:val="2"/>
      </w:pPr>
      <w:r>
        <w:rPr>
          <w:rFonts w:hint="eastAsia"/>
        </w:rPr>
        <w:t>3.3 各投标人均可就上述</w:t>
      </w:r>
      <w:r>
        <w:rPr>
          <w:rFonts w:hint="eastAsia"/>
          <w:u w:val="single"/>
        </w:rPr>
        <w:t xml:space="preserve">   </w:t>
      </w:r>
      <w:r>
        <w:rPr>
          <w:rFonts w:hint="eastAsia"/>
        </w:rPr>
        <w:t>（具体数量）个标段投标，可中标的标段数量为</w:t>
      </w:r>
      <w:r>
        <w:rPr>
          <w:rFonts w:hint="eastAsia"/>
          <w:u w:val="single"/>
        </w:rPr>
        <w:t xml:space="preserve">     </w:t>
      </w:r>
      <w:r>
        <w:rPr>
          <w:rFonts w:hint="eastAsia"/>
        </w:rPr>
        <w:t>（具体数量）个。</w:t>
      </w:r>
    </w:p>
    <w:p>
      <w:pPr>
        <w:pStyle w:val="2"/>
        <w:ind w:left="0"/>
      </w:pPr>
      <w:r>
        <w:rPr>
          <w:rFonts w:hint="eastAsia"/>
        </w:rPr>
        <w:t>□</w:t>
      </w:r>
      <w:r>
        <w:t>如投标人同时在两个及两个以上标段中排名第一，选择中标标段的原则为：</w:t>
      </w:r>
      <w:r>
        <w:rPr>
          <w:u w:val="single"/>
        </w:rPr>
        <w:t xml:space="preserve">     </w:t>
      </w:r>
      <w:r>
        <w:rPr>
          <w:rFonts w:hint="eastAsia"/>
          <w:u w:val="single"/>
        </w:rPr>
        <w:t xml:space="preserve">     </w:t>
      </w:r>
      <w:r>
        <w:rPr>
          <w:u w:val="single"/>
        </w:rPr>
        <w:t xml:space="preserve">    </w:t>
      </w:r>
      <w:r>
        <w:rPr>
          <w:rFonts w:hint="eastAsia"/>
        </w:rPr>
        <w:t>。</w:t>
      </w:r>
      <w:r>
        <w:t xml:space="preserve">  </w:t>
      </w:r>
    </w:p>
    <w:p>
      <w:pPr>
        <w:pStyle w:val="2"/>
      </w:pPr>
      <w:r>
        <w:rPr>
          <w:rFonts w:hint="eastAsia"/>
        </w:rPr>
        <w:t>3.4 投标人须根据《成都市工程建设招标投标从业单位信用信息管理实施办法》取得相应类别的从</w:t>
      </w:r>
    </w:p>
    <w:p>
      <w:pPr>
        <w:pStyle w:val="2"/>
        <w:ind w:left="0"/>
      </w:pPr>
      <w:r>
        <w:rPr>
          <w:rFonts w:hint="eastAsia"/>
        </w:rPr>
        <w:t>业单位信用等级（得分）评价结果；未取得的，其信用得分为0分。从业单位信用等级（得分）评价结果，以成都市公共资源电子交易云平台开标当日（9时后）从成都市工程建设招标投标招标投标行政监督平台上（</w:t>
      </w:r>
      <w:r>
        <w:t>http://cbs.chengdu.com.cn/</w:t>
      </w:r>
      <w:r>
        <w:rPr>
          <w:rFonts w:hint="eastAsia"/>
        </w:rPr>
        <w:t>）获取的结果为准并自动关联到《投标情况公示表》。（勘察单位除外）</w:t>
      </w:r>
    </w:p>
    <w:p>
      <w:pPr>
        <w:pStyle w:val="2"/>
      </w:pPr>
      <w:r>
        <w:t>□</w:t>
      </w:r>
      <w:r>
        <w:rPr>
          <w:rFonts w:hint="eastAsia"/>
        </w:rPr>
        <w:t>从业单位信用等级（得分）按照成都市工程建设项目招标投标行政监督平台专业类别为：</w:t>
      </w:r>
    </w:p>
    <w:tbl>
      <w:tblPr>
        <w:tblStyle w:val="16"/>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4678"/>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tcPr>
          <w:p>
            <w:pPr>
              <w:pStyle w:val="2"/>
              <w:jc w:val="center"/>
              <w:rPr>
                <w:rFonts w:cs="Times New Roman"/>
              </w:rPr>
            </w:pPr>
            <w:r>
              <w:rPr>
                <w:rFonts w:hint="eastAsia" w:cs="Times New Roman"/>
              </w:rPr>
              <w:t>序号</w:t>
            </w:r>
          </w:p>
        </w:tc>
        <w:tc>
          <w:tcPr>
            <w:tcW w:w="4678" w:type="dxa"/>
          </w:tcPr>
          <w:p>
            <w:pPr>
              <w:pStyle w:val="2"/>
              <w:jc w:val="center"/>
              <w:rPr>
                <w:rFonts w:cs="Times New Roman"/>
              </w:rPr>
            </w:pPr>
            <w:r>
              <w:rPr>
                <w:rFonts w:hint="eastAsia" w:cs="Times New Roman"/>
              </w:rPr>
              <w:t>行业</w:t>
            </w:r>
          </w:p>
        </w:tc>
        <w:tc>
          <w:tcPr>
            <w:tcW w:w="2410" w:type="dxa"/>
          </w:tcPr>
          <w:p>
            <w:pPr>
              <w:pStyle w:val="2"/>
              <w:jc w:val="center"/>
              <w:rPr>
                <w:rFonts w:cs="Times New Roman"/>
              </w:rPr>
            </w:pPr>
            <w:r>
              <w:rPr>
                <w:rFonts w:hint="eastAsia" w:cs="Times New Roman"/>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3" w:type="dxa"/>
            <w:gridSpan w:val="3"/>
          </w:tcPr>
          <w:p>
            <w:pPr>
              <w:pStyle w:val="2"/>
              <w:jc w:val="center"/>
              <w:rPr>
                <w:rFonts w:cs="Times New Roman"/>
              </w:rPr>
            </w:pPr>
            <w:r>
              <w:rPr>
                <w:rFonts w:hint="eastAsia" w:cs="Times New Roman"/>
              </w:rPr>
              <w:t xml:space="preserve"> </w:t>
            </w:r>
            <w:r>
              <w:rPr>
                <w:rFonts w:cs="Times New Roman"/>
              </w:rPr>
              <w:t>电力行业不适用</w:t>
            </w:r>
          </w:p>
        </w:tc>
      </w:tr>
    </w:tbl>
    <w:p>
      <w:pPr>
        <w:pStyle w:val="2"/>
      </w:pPr>
      <w:r>
        <w:rPr>
          <w:rFonts w:hint="eastAsia"/>
        </w:rPr>
        <w:t>注：根据项目需求可填制，多专业分类的应分别列出。</w:t>
      </w:r>
    </w:p>
    <w:p>
      <w:pPr>
        <w:pStyle w:val="2"/>
      </w:pPr>
      <w:r>
        <w:rPr>
          <w:rFonts w:hint="eastAsia"/>
        </w:rPr>
        <w:t>3.5 资质要求为单个资质的，投标人最终信用等级（得分）为：与资质要求对应的信用类别开标当</w:t>
      </w:r>
    </w:p>
    <w:p>
      <w:pPr>
        <w:pStyle w:val="2"/>
        <w:ind w:left="0"/>
      </w:pPr>
      <w:r>
        <w:rPr>
          <w:rFonts w:hint="eastAsia"/>
        </w:rPr>
        <w:t>日信用评价等级（得分）；资质要求为多个资质的，投标人最终信用等级（得分）为：与资质要求对应的信用类别开标当日信用评价得分中的最低等级（得分）；联合体投标的，投标人最终信用等级（得分）为：联合体成员在本项目中对应的信用类别（以联合体协议约定为准）开标当日信用评价等级（得分）中的最低等级（得分）。开标当日成都市公共资源电子交易云平台获取的联合体成员的信用类别，须与联合体协议约定一致；不一致的，联合体投标人的最终信用得分为0分。（勘察单位除外）。</w:t>
      </w:r>
    </w:p>
    <w:p>
      <w:pPr>
        <w:pStyle w:val="5"/>
        <w:numPr>
          <w:ilvl w:val="0"/>
          <w:numId w:val="1"/>
        </w:numPr>
      </w:pPr>
      <w:r>
        <w:rPr>
          <w:rFonts w:hint="eastAsia"/>
        </w:rPr>
        <w:t>招标文件的获取</w:t>
      </w:r>
    </w:p>
    <w:p>
      <w:pPr>
        <w:pStyle w:val="2"/>
        <w:ind w:left="0" w:firstLine="440" w:firstLineChars="200"/>
      </w:pPr>
      <w:r>
        <w:rPr>
          <w:rFonts w:hint="eastAsia"/>
        </w:rPr>
        <w:t>4.1 凡有意参加投标者，请于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日起，在成都市公共资源电子交易云平台(www.cdggzy.com）（以下简称“电子交易云平台”）免费下载招标资料（招标文件及相关资料），获得“拟投标项目回执”。</w:t>
      </w:r>
    </w:p>
    <w:p>
      <w:pPr>
        <w:pStyle w:val="2"/>
        <w:ind w:left="0" w:firstLine="440" w:firstLineChars="200"/>
      </w:pPr>
      <w:r>
        <w:rPr>
          <w:rFonts w:hint="eastAsia"/>
        </w:rPr>
        <w:t>4.2 招标人不提供邮购招标文件服务。</w:t>
      </w:r>
    </w:p>
    <w:p>
      <w:pPr>
        <w:pStyle w:val="5"/>
        <w:numPr>
          <w:ilvl w:val="0"/>
          <w:numId w:val="1"/>
        </w:numPr>
      </w:pPr>
      <w:r>
        <w:rPr>
          <w:rFonts w:hint="eastAsia"/>
        </w:rPr>
        <w:t>投标文件的递交</w:t>
      </w:r>
    </w:p>
    <w:p>
      <w:pPr>
        <w:spacing w:before="201"/>
        <w:ind w:firstLine="444" w:firstLineChars="202"/>
        <w:rPr>
          <w:rFonts w:ascii="宋体" w:hAnsi="宋体" w:cs="宋体"/>
          <w:spacing w:val="-37"/>
          <w:szCs w:val="21"/>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Cs w:val="21"/>
        </w:rPr>
        <w:t>分中心</w:t>
      </w:r>
      <w:r>
        <w:rPr>
          <w:rFonts w:hint="eastAsia" w:ascii="宋体" w:hAnsi="宋体" w:cs="宋体"/>
          <w:szCs w:val="21"/>
          <w:u w:val="single"/>
        </w:rPr>
        <w:t xml:space="preserve">                           </w:t>
      </w:r>
      <w:r>
        <w:rPr>
          <w:rFonts w:hint="eastAsia" w:ascii="宋体" w:hAnsi="宋体" w:cs="宋体"/>
          <w:szCs w:val="21"/>
        </w:rPr>
        <w:t>。</w:t>
      </w:r>
    </w:p>
    <w:p>
      <w:pPr>
        <w:ind w:firstLine="41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ind w:firstLine="440" w:firstLineChars="200"/>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416"/>
        <w:rPr>
          <w:rFonts w:ascii="宋体" w:hAnsi="宋体"/>
        </w:rPr>
      </w:pPr>
      <w:r>
        <w:rPr>
          <w:rFonts w:ascii="宋体" w:hAnsi="宋体"/>
          <w:szCs w:val="21"/>
        </w:rPr>
        <w:t xml:space="preserve">5.2 </w:t>
      </w:r>
      <w:r>
        <w:rPr>
          <w:rFonts w:hint="eastAsia" w:ascii="宋体" w:hAnsi="宋体"/>
          <w:szCs w:val="21"/>
        </w:rPr>
        <w:t>投标人应在解密开始后30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ind w:firstLine="416"/>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 </w:t>
      </w:r>
      <w:r>
        <w:rPr>
          <w:rFonts w:hint="eastAsia" w:ascii="宋体" w:hAnsi="宋体"/>
        </w:rPr>
        <w:t>投标人应充分考虑上传文件的不可预见因素，未在投标截止时间前完成上传的，在投标截止时间后将无法上传。</w:t>
      </w:r>
    </w:p>
    <w:p>
      <w:pPr>
        <w:pStyle w:val="5"/>
        <w:numPr>
          <w:ilvl w:val="0"/>
          <w:numId w:val="1"/>
        </w:numPr>
      </w:pPr>
      <w:r>
        <w:rPr>
          <w:rFonts w:hint="eastAsia"/>
        </w:rPr>
        <w:t>发布公告的媒介</w:t>
      </w:r>
    </w:p>
    <w:p>
      <w:pPr>
        <w:pStyle w:val="2"/>
        <w:ind w:left="0" w:firstLine="440" w:firstLineChars="200"/>
      </w:pPr>
      <w:r>
        <w:rPr>
          <w:rFonts w:hint="eastAsia"/>
        </w:rPr>
        <w:t>本次招标公告在全国公共资源交易平台（四川省）、成都市公共资源交易服务中心（网址：http://ggzyjy.sc.gov.cn、www.cdggzy.com）上发布。</w:t>
      </w:r>
    </w:p>
    <w:p>
      <w:pPr>
        <w:pStyle w:val="5"/>
        <w:numPr>
          <w:ilvl w:val="0"/>
          <w:numId w:val="1"/>
        </w:numPr>
      </w:pPr>
      <w:r>
        <w:rPr>
          <w:rFonts w:hint="eastAsia"/>
        </w:rPr>
        <w:t>联系方式</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招 标</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招标代理机构：</w:t>
      </w:r>
      <w:r>
        <w:rPr>
          <w:rFonts w:cs="Times New Roman" w:asciiTheme="minorEastAsia" w:hAnsiTheme="minorEastAsia" w:eastAsiaTheme="minorEastAsia"/>
          <w:u w:val="single" w:color="000000"/>
        </w:rPr>
        <w:tab/>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地   </w:t>
      </w:r>
      <w:r>
        <w:rPr>
          <w:rFonts w:asciiTheme="minorEastAsia" w:hAnsiTheme="minorEastAsia" w:eastAsiaTheme="minorEastAsia"/>
          <w:spacing w:val="3"/>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ab/>
      </w:r>
      <w:r>
        <w:rPr>
          <w:rFonts w:asciiTheme="minorEastAsia" w:hAnsiTheme="minorEastAsia" w:eastAsiaTheme="minorEastAsia"/>
        </w:rPr>
        <w:t xml:space="preserve">地   </w:t>
      </w:r>
      <w:r>
        <w:rPr>
          <w:rFonts w:asciiTheme="minorEastAsia" w:hAnsiTheme="minorEastAsia" w:eastAsiaTheme="minorEastAsia"/>
          <w:spacing w:val="5"/>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邮   </w:t>
      </w:r>
      <w:r>
        <w:rPr>
          <w:rFonts w:asciiTheme="minorEastAsia" w:hAnsiTheme="minorEastAsia" w:eastAsiaTheme="minorEastAsia"/>
          <w:spacing w:val="3"/>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ab/>
      </w:r>
      <w:r>
        <w:rPr>
          <w:rFonts w:asciiTheme="minorEastAsia" w:hAnsiTheme="minorEastAsia" w:eastAsiaTheme="minorEastAsia"/>
        </w:rPr>
        <w:t xml:space="preserve">邮   </w:t>
      </w:r>
      <w:r>
        <w:rPr>
          <w:rFonts w:asciiTheme="minorEastAsia" w:hAnsiTheme="minorEastAsia" w:eastAsiaTheme="minorEastAsia"/>
          <w:spacing w:val="5"/>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联 系</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联 系</w:t>
      </w:r>
      <w:r>
        <w:rPr>
          <w:rFonts w:asciiTheme="minorEastAsia" w:hAnsiTheme="minorEastAsia" w:eastAsiaTheme="minorEastAsia"/>
          <w:spacing w:val="4"/>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sz w:val="20"/>
          <w:szCs w:val="20"/>
        </w:rPr>
      </w:pPr>
      <w:r>
        <w:rPr>
          <w:rFonts w:asciiTheme="minorEastAsia" w:hAnsiTheme="minorEastAsia" w:eastAsiaTheme="minorEastAsia"/>
        </w:rPr>
        <w:t xml:space="preserve">电   </w:t>
      </w:r>
      <w:r>
        <w:rPr>
          <w:rFonts w:asciiTheme="minorEastAsia" w:hAnsiTheme="minorEastAsia" w:eastAsiaTheme="minorEastAsia"/>
          <w:spacing w:val="3"/>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ab/>
      </w:r>
      <w:r>
        <w:rPr>
          <w:rFonts w:asciiTheme="minorEastAsia" w:hAnsiTheme="minorEastAsia" w:eastAsiaTheme="minorEastAsia"/>
        </w:rPr>
        <w:t xml:space="preserve">电   </w:t>
      </w:r>
      <w:r>
        <w:rPr>
          <w:rFonts w:asciiTheme="minorEastAsia" w:hAnsiTheme="minorEastAsia" w:eastAsiaTheme="minorEastAsia"/>
          <w:spacing w:val="5"/>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5880"/>
          <w:tab w:val="left" w:pos="6826"/>
          <w:tab w:val="left" w:pos="7769"/>
        </w:tabs>
        <w:spacing w:before="198"/>
        <w:ind w:left="5146" w:right="113"/>
        <w:rPr>
          <w:rFonts w:asciiTheme="minorEastAsia" w:hAnsiTheme="minorEastAsia" w:eastAsiaTheme="minorEastAsia"/>
        </w:rPr>
      </w:pP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asciiTheme="minorEastAsia" w:hAnsiTheme="minorEastAsia" w:eastAsiaTheme="minorEastAsia"/>
        </w:rPr>
        <w:t>年</w:t>
      </w:r>
      <w:r>
        <w:rPr>
          <w:rFonts w:cs="Times New Roman" w:asciiTheme="minorEastAsia" w:hAnsiTheme="minorEastAsia" w:eastAsiaTheme="minorEastAsia"/>
          <w:u w:val="single" w:color="000000"/>
        </w:rPr>
        <w:tab/>
      </w:r>
      <w:r>
        <w:rPr>
          <w:rFonts w:asciiTheme="minorEastAsia" w:hAnsiTheme="minorEastAsia" w:eastAsiaTheme="minorEastAsia"/>
          <w:spacing w:val="-3"/>
        </w:rPr>
        <w:t>月</w:t>
      </w:r>
      <w:r>
        <w:rPr>
          <w:rFonts w:cs="Times New Roman" w:asciiTheme="minorEastAsia" w:hAnsiTheme="minorEastAsia" w:eastAsiaTheme="minorEastAsia"/>
          <w:spacing w:val="-3"/>
          <w:u w:val="single" w:color="000000"/>
        </w:rPr>
        <w:tab/>
      </w:r>
      <w:r>
        <w:rPr>
          <w:rFonts w:asciiTheme="minorEastAsia" w:hAnsiTheme="minorEastAsia" w:eastAsiaTheme="minorEastAsia"/>
        </w:rPr>
        <w:t>日</w:t>
      </w:r>
    </w:p>
    <w:p>
      <w:pPr>
        <w:pStyle w:val="2"/>
      </w:pPr>
    </w:p>
    <w:p>
      <w:pPr>
        <w:pStyle w:val="2"/>
      </w:pPr>
    </w:p>
    <w:p>
      <w:pPr>
        <w:pStyle w:val="2"/>
      </w:pPr>
    </w:p>
    <w:p>
      <w:pPr>
        <w:pStyle w:val="2"/>
      </w:pPr>
      <w:r>
        <w:rPr>
          <w:rFonts w:hint="eastAsia"/>
        </w:rPr>
        <w:t xml:space="preserve">注：  </w:t>
      </w:r>
    </w:p>
    <w:p>
      <w:pPr>
        <w:pStyle w:val="2"/>
      </w:pPr>
      <w:r>
        <w:rPr>
          <w:rFonts w:hint="eastAsia"/>
        </w:rPr>
        <w:t>（1）项目名称、工程名称约定为项目审批名称（以立项批复或可行性研究报告批复为准）。</w:t>
      </w:r>
    </w:p>
    <w:p>
      <w:pPr>
        <w:pStyle w:val="2"/>
      </w:pPr>
      <w:r>
        <w:rPr>
          <w:rFonts w:hint="eastAsia"/>
        </w:rPr>
        <w:t>（2）如未划分标段，“ 标段”填写为“ / 标段”，如划分标段，则填写标段序号</w:t>
      </w:r>
    </w:p>
    <w:p>
      <w:pPr>
        <w:pStyle w:val="2"/>
      </w:pPr>
      <w:r>
        <w:rPr>
          <w:rFonts w:hint="eastAsia"/>
        </w:rPr>
        <w:t>（3）“项目概况及招标范围”应明确本次招标的详细范围和内容；</w:t>
      </w:r>
    </w:p>
    <w:p>
      <w:pPr>
        <w:pStyle w:val="2"/>
      </w:pPr>
      <w:r>
        <w:rPr>
          <w:rFonts w:hint="eastAsia"/>
        </w:rPr>
        <w:t>（4）如划分为两个及以上标段，应分别明确各标段的的具体内容、划分情况以及招标控制价。</w:t>
      </w:r>
    </w:p>
    <w:p>
      <w:pPr>
        <w:pStyle w:val="2"/>
      </w:pPr>
      <w:r>
        <w:rPr>
          <w:rFonts w:hint="eastAsia"/>
        </w:rPr>
        <w:t>（5）招标人对投标人的资质要求，应是国家对投标人资质的强制性规定。不是国家规定的必须具备的资质，不得作为参加投标的条件，但园林绿化工程除外。</w:t>
      </w:r>
    </w:p>
    <w:p>
      <w:pPr>
        <w:pStyle w:val="2"/>
        <w:numPr>
          <w:ilvl w:val="0"/>
          <w:numId w:val="2"/>
        </w:numPr>
      </w:pPr>
      <w:r>
        <w:rPr>
          <w:rFonts w:hint="eastAsia"/>
        </w:rPr>
        <w:t>招标人设置的类似工程业绩指标仅限于工程规模、应用类型、施工工艺等方面，且应符合本次工程招标的内容。类似工程业绩中设置的投资额、面积、 长度等规模性量化指标不得高于本次招标工程相应指标。类似工程业绩的时限不少于3年；类似工程业绩个数不得超过3个。</w:t>
      </w:r>
    </w:p>
    <w:p>
      <w:pPr>
        <w:pStyle w:val="2"/>
        <w:numPr>
          <w:ilvl w:val="0"/>
          <w:numId w:val="2"/>
        </w:numPr>
      </w:pPr>
      <w:r>
        <w:rPr>
          <w:rFonts w:hint="eastAsia"/>
        </w:rPr>
        <w:t>招标人要求投标人须具备的资质一个项目（标段）为一个，因特殊情况 需要两个以上资质的，应允许（接受）投标人组成联合体投标，且不得限制联合 体成员数量小于资质类别数量。两个以上同一资质不同资质等级的单位实行联合共同承包的，联合体资质应符合法律法规的规定，并按照联合体协议约定的职责分工予以认定。</w:t>
      </w:r>
    </w:p>
    <w:p>
      <w:pPr>
        <w:sectPr>
          <w:footerReference r:id="rId7" w:type="default"/>
          <w:pgSz w:w="12240" w:h="15840"/>
          <w:pgMar w:top="1134" w:right="1134" w:bottom="1134" w:left="1134" w:header="0" w:footer="921" w:gutter="0"/>
          <w:cols w:space="720" w:num="1"/>
        </w:sectPr>
      </w:pPr>
      <w:r>
        <w:rPr>
          <w:rFonts w:hint="eastAsia"/>
        </w:rPr>
        <w:br w:type="page"/>
      </w:r>
    </w:p>
    <w:p>
      <w:pPr>
        <w:pStyle w:val="3"/>
        <w:spacing w:line="360" w:lineRule="auto"/>
        <w:ind w:left="376" w:leftChars="171"/>
        <w:rPr>
          <w:rFonts w:ascii="黑体" w:eastAsia="黑体"/>
          <w:b w:val="0"/>
          <w:szCs w:val="32"/>
        </w:rPr>
      </w:pPr>
      <w:bookmarkStart w:id="7" w:name="_Toc9075"/>
      <w:r>
        <w:rPr>
          <w:rFonts w:hint="eastAsia" w:ascii="黑体" w:eastAsia="黑体"/>
          <w:b w:val="0"/>
          <w:szCs w:val="32"/>
        </w:rPr>
        <w:t>第一章 投标邀请书</w:t>
      </w:r>
      <w:r>
        <w:rPr>
          <w:rFonts w:hint="eastAsia" w:ascii="宋体" w:hAnsi="宋体"/>
        </w:rPr>
        <w:t>（适用于邀请招标）</w:t>
      </w:r>
      <w:bookmarkEnd w:id="7"/>
    </w:p>
    <w:p>
      <w:pPr>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（项目名称）□勘察</w:t>
      </w:r>
      <w:r>
        <w:rPr>
          <w:rFonts w:hint="eastAsia" w:asciiTheme="minorEastAsia" w:hAnsiTheme="minorEastAsia" w:eastAsiaTheme="minorEastAsia" w:cstheme="minorEastAsia"/>
          <w:sz w:val="28"/>
          <w:szCs w:val="28"/>
        </w:rPr>
        <w:sym w:font="Wingdings 2" w:char="00A3"/>
      </w:r>
      <w:r>
        <w:rPr>
          <w:rFonts w:hint="eastAsia" w:asciiTheme="minorEastAsia" w:hAnsiTheme="minorEastAsia" w:eastAsiaTheme="minorEastAsia" w:cstheme="minorEastAsia"/>
          <w:sz w:val="28"/>
          <w:szCs w:val="28"/>
        </w:rPr>
        <w:t>设计-施工总承包标段招标公告</w:t>
      </w:r>
    </w:p>
    <w:p>
      <w:pPr>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投标邀请书</w:t>
      </w:r>
    </w:p>
    <w:p>
      <w:pPr>
        <w:tabs>
          <w:tab w:val="left" w:pos="7140"/>
        </w:tabs>
        <w:rPr>
          <w:rFonts w:ascii="宋体" w:hAnsi="宋体" w:cs="Courier New"/>
          <w:b/>
          <w:sz w:val="24"/>
        </w:rPr>
      </w:pPr>
    </w:p>
    <w:p>
      <w:pPr>
        <w:tabs>
          <w:tab w:val="left" w:pos="7140"/>
        </w:tabs>
        <w:rPr>
          <w:rFonts w:ascii="宋体" w:hAnsi="宋体" w:cs="Courier New"/>
          <w:b/>
          <w:szCs w:val="21"/>
        </w:rPr>
      </w:pPr>
      <w:r>
        <w:rPr>
          <w:rFonts w:ascii="宋体" w:hAnsi="宋体" w:cs="Courier New"/>
          <w:b/>
          <w:szCs w:val="21"/>
          <w:u w:val="single"/>
        </w:rPr>
        <w:t xml:space="preserve">                               </w:t>
      </w:r>
      <w:r>
        <w:rPr>
          <w:rFonts w:hint="eastAsia" w:ascii="宋体" w:hAnsi="宋体" w:cs="Courier New"/>
          <w:b/>
          <w:szCs w:val="21"/>
        </w:rPr>
        <w:t>（被邀请单位名称）：</w:t>
      </w:r>
    </w:p>
    <w:p>
      <w:pPr>
        <w:tabs>
          <w:tab w:val="left" w:pos="7140"/>
        </w:tabs>
        <w:rPr>
          <w:rFonts w:ascii="宋体" w:hAnsi="宋体" w:cs="Courier New"/>
          <w:b/>
          <w:szCs w:val="21"/>
        </w:rPr>
      </w:pPr>
      <w:r>
        <w:rPr>
          <w:rFonts w:ascii="宋体" w:hAnsi="宋体" w:cs="Courier New"/>
          <w:b/>
          <w:szCs w:val="21"/>
        </w:rPr>
        <w:t>1.</w:t>
      </w:r>
      <w:r>
        <w:rPr>
          <w:rFonts w:hint="eastAsia" w:ascii="宋体" w:hAnsi="宋体" w:cs="Courier New"/>
          <w:b/>
          <w:szCs w:val="21"/>
        </w:rPr>
        <w:t>招标条件</w:t>
      </w:r>
    </w:p>
    <w:p>
      <w:pPr>
        <w:tabs>
          <w:tab w:val="left" w:pos="7140"/>
        </w:tabs>
        <w:ind w:firstLine="431" w:firstLineChars="196"/>
        <w:rPr>
          <w:rFonts w:ascii="宋体" w:hAnsi="宋体" w:cs="Courier New"/>
          <w:b/>
          <w:szCs w:val="21"/>
        </w:rPr>
      </w:pPr>
      <w:r>
        <w:rPr>
          <w:rFonts w:ascii="宋体" w:hAnsi="宋体"/>
          <w:szCs w:val="21"/>
        </w:rPr>
        <w:t>1.1</w:t>
      </w:r>
      <w:r>
        <w:rPr>
          <w:rFonts w:hint="eastAsia" w:ascii="宋体" w:hAnsi="宋体"/>
          <w:szCs w:val="21"/>
        </w:rPr>
        <w:t>本招标项目（项目名称）□勘察□设计-施工总承包标段已由_______（项目审批、核准或备案机关名称）以______________（批文名称及编号）批准建设，项目业主为_________________，建设资金来自_________（资金来源），项目出资比例为，招标人为__________。项目已具备招标条件，现邀请你单位参加投标。</w:t>
      </w:r>
    </w:p>
    <w:p>
      <w:pPr>
        <w:tabs>
          <w:tab w:val="left" w:pos="7140"/>
        </w:tabs>
        <w:ind w:firstLine="495"/>
        <w:rPr>
          <w:rFonts w:ascii="仿宋_GB2312" w:hAnsi="宋体" w:eastAsia="仿宋_GB2312"/>
          <w:szCs w:val="21"/>
        </w:rPr>
      </w:pPr>
      <w:r>
        <w:rPr>
          <w:rFonts w:ascii="宋体" w:hAnsi="宋体"/>
          <w:szCs w:val="21"/>
        </w:rPr>
        <w:t>1.2</w:t>
      </w:r>
      <w:r>
        <w:rPr>
          <w:rFonts w:cs="Times New Roman" w:asciiTheme="minorEastAsia" w:hAnsiTheme="minorEastAsia"/>
        </w:rPr>
        <w:t>本招标项目由</w:t>
      </w:r>
      <w:r>
        <w:rPr>
          <w:rFonts w:cs="Times New Roman" w:asciiTheme="minorEastAsia" w:hAnsiTheme="minorEastAsia"/>
          <w:u w:val="single"/>
        </w:rPr>
        <w:t xml:space="preserve">   </w:t>
      </w:r>
      <w:r>
        <w:rPr>
          <w:rFonts w:hint="eastAsia" w:cs="Times New Roman" w:asciiTheme="minorEastAsia" w:hAnsiTheme="minorEastAsia"/>
          <w:u w:val="single"/>
        </w:rPr>
        <w:t xml:space="preserve">      </w:t>
      </w:r>
      <w:r>
        <w:rPr>
          <w:rFonts w:cs="Times New Roman" w:asciiTheme="minorEastAsia" w:hAnsiTheme="minorEastAsia"/>
          <w:u w:val="single"/>
        </w:rPr>
        <w:t xml:space="preserve">  </w:t>
      </w:r>
      <w:r>
        <w:rPr>
          <w:rFonts w:cs="Times New Roman" w:asciiTheme="minorEastAsia" w:hAnsiTheme="minorEastAsia"/>
        </w:rPr>
        <w:t>（核准机关名称）核准（招标事项核准文号为</w:t>
      </w:r>
      <w:r>
        <w:rPr>
          <w:rFonts w:cs="Times New Roman" w:asciiTheme="minorEastAsia" w:hAnsiTheme="minorEastAsia"/>
          <w:u w:val="single"/>
        </w:rPr>
        <w:t xml:space="preserve">     </w:t>
      </w:r>
      <w:r>
        <w:rPr>
          <w:rFonts w:hint="eastAsia" w:cs="Times New Roman" w:asciiTheme="minorEastAsia" w:hAnsiTheme="minorEastAsia"/>
          <w:u w:val="single"/>
        </w:rPr>
        <w:t xml:space="preserve">     </w:t>
      </w:r>
      <w:r>
        <w:rPr>
          <w:rFonts w:cs="Times New Roman" w:asciiTheme="minorEastAsia" w:hAnsiTheme="minorEastAsia"/>
        </w:rPr>
        <w:t>）的招标组织形式为□自行招标□委托招标。招标人选择的招标代理机构是</w:t>
      </w:r>
      <w:r>
        <w:rPr>
          <w:rFonts w:cs="Times New Roman" w:asciiTheme="minorEastAsia" w:hAnsiTheme="minorEastAsia"/>
          <w:u w:val="single"/>
        </w:rPr>
        <w:tab/>
      </w:r>
      <w:r>
        <w:rPr>
          <w:rFonts w:hint="eastAsia" w:cs="Times New Roman" w:asciiTheme="minorEastAsia" w:hAnsiTheme="minorEastAsia"/>
          <w:u w:val="single"/>
        </w:rPr>
        <w:t xml:space="preserve">           </w:t>
      </w:r>
      <w:r>
        <w:rPr>
          <w:rFonts w:hint="eastAsia" w:cs="Times New Roman" w:asciiTheme="minorEastAsia" w:hAnsiTheme="minorEastAsia"/>
        </w:rPr>
        <w:t>。</w:t>
      </w:r>
    </w:p>
    <w:p>
      <w:pPr>
        <w:tabs>
          <w:tab w:val="left" w:pos="7140"/>
        </w:tabs>
        <w:ind w:firstLine="495"/>
        <w:rPr>
          <w:rFonts w:ascii="仿宋_GB2312" w:hAnsi="宋体" w:eastAsia="仿宋_GB2312"/>
          <w:szCs w:val="21"/>
        </w:rPr>
      </w:pPr>
      <w:r>
        <w:rPr>
          <w:rFonts w:hint="eastAsia" w:ascii="仿宋_GB2312" w:hAnsi="宋体" w:eastAsia="仿宋_GB2312"/>
          <w:szCs w:val="21"/>
        </w:rPr>
        <w:t>注：若为自行招标则代理机构填</w:t>
      </w:r>
      <w:r>
        <w:rPr>
          <w:rFonts w:ascii="仿宋_GB2312" w:hAnsi="宋体" w:eastAsia="仿宋_GB2312"/>
          <w:szCs w:val="21"/>
        </w:rPr>
        <w:t>"/"。</w:t>
      </w:r>
    </w:p>
    <w:p>
      <w:pPr>
        <w:rPr>
          <w:rFonts w:ascii="宋体" w:hAnsi="宋体" w:cs="Courier New"/>
          <w:b/>
          <w:szCs w:val="21"/>
        </w:rPr>
      </w:pPr>
      <w:r>
        <w:rPr>
          <w:rFonts w:ascii="宋体" w:hAnsi="宋体" w:cs="Courier New"/>
          <w:b/>
          <w:szCs w:val="21"/>
        </w:rPr>
        <w:t>2．项目概况与招标范围</w:t>
      </w:r>
    </w:p>
    <w:p>
      <w:pPr>
        <w:autoSpaceDE w:val="0"/>
        <w:autoSpaceDN w:val="0"/>
        <w:adjustRightInd w:val="0"/>
        <w:ind w:right="-20" w:firstLine="330" w:firstLineChars="150"/>
        <w:rPr>
          <w:rFonts w:ascii="宋体" w:hAnsi="宋体" w:cs="MingLiU"/>
          <w:kern w:val="0"/>
          <w:u w:val="single"/>
        </w:rPr>
      </w:pPr>
      <w:r>
        <w:rPr>
          <w:rFonts w:hint="eastAsia" w:ascii="宋体" w:hAnsi="宋体" w:cs="MingLiU"/>
          <w:kern w:val="0"/>
        </w:rPr>
        <w:t>2.1 建设地点：</w:t>
      </w:r>
      <w:r>
        <w:rPr>
          <w:rFonts w:hint="eastAsia" w:ascii="宋体" w:hAnsi="宋体" w:cs="MingLiU"/>
          <w:kern w:val="0"/>
          <w:u w:val="single"/>
        </w:rPr>
        <w:t xml:space="preserve">                                        </w:t>
      </w:r>
    </w:p>
    <w:p>
      <w:pPr>
        <w:autoSpaceDE w:val="0"/>
        <w:autoSpaceDN w:val="0"/>
        <w:adjustRightInd w:val="0"/>
        <w:ind w:right="-20" w:firstLine="330" w:firstLineChars="150"/>
        <w:rPr>
          <w:rFonts w:ascii="宋体" w:hAnsi="宋体" w:cs="MingLiU"/>
          <w:kern w:val="0"/>
          <w:u w:val="single"/>
        </w:rPr>
      </w:pPr>
      <w:r>
        <w:rPr>
          <w:rFonts w:hint="eastAsia" w:ascii="宋体" w:hAnsi="宋体" w:cs="MingLiU"/>
          <w:kern w:val="0"/>
        </w:rPr>
        <w:t>2.2建设内容及规模：</w:t>
      </w:r>
      <w:r>
        <w:rPr>
          <w:rFonts w:hint="eastAsia" w:ascii="宋体" w:hAnsi="宋体" w:cs="MingLiU"/>
          <w:kern w:val="0"/>
          <w:u w:val="single"/>
        </w:rPr>
        <w:t xml:space="preserve">                                   </w:t>
      </w:r>
    </w:p>
    <w:p>
      <w:pPr>
        <w:autoSpaceDE w:val="0"/>
        <w:autoSpaceDN w:val="0"/>
        <w:adjustRightInd w:val="0"/>
        <w:ind w:right="-20" w:firstLine="330" w:firstLineChars="150"/>
        <w:rPr>
          <w:rFonts w:ascii="宋体" w:hAnsi="宋体" w:cs="MingLiU"/>
          <w:kern w:val="0"/>
          <w:u w:val="single"/>
        </w:rPr>
      </w:pPr>
      <w:r>
        <w:rPr>
          <w:rFonts w:hint="eastAsia" w:ascii="宋体" w:hAnsi="宋体" w:cs="MingLiU"/>
          <w:kern w:val="0"/>
        </w:rPr>
        <w:t>2.3招标范围：</w:t>
      </w:r>
      <w:r>
        <w:rPr>
          <w:rFonts w:hint="eastAsia" w:ascii="宋体" w:hAnsi="宋体" w:cs="MingLiU"/>
          <w:kern w:val="0"/>
          <w:u w:val="single"/>
        </w:rPr>
        <w:t xml:space="preserve">                                         </w:t>
      </w:r>
    </w:p>
    <w:p>
      <w:pPr>
        <w:autoSpaceDE w:val="0"/>
        <w:autoSpaceDN w:val="0"/>
        <w:adjustRightInd w:val="0"/>
        <w:ind w:right="-20" w:firstLine="330" w:firstLineChars="150"/>
        <w:rPr>
          <w:rFonts w:ascii="宋体" w:hAnsi="宋体" w:cs="MingLiU"/>
          <w:kern w:val="0"/>
          <w:u w:val="single"/>
        </w:rPr>
      </w:pPr>
      <w:r>
        <w:rPr>
          <w:rFonts w:hint="eastAsia" w:ascii="宋体" w:hAnsi="宋体" w:cs="MingLiU"/>
          <w:kern w:val="0"/>
        </w:rPr>
        <w:t>2.4 计划周期：</w:t>
      </w:r>
      <w:r>
        <w:rPr>
          <w:rFonts w:hint="eastAsia" w:ascii="宋体" w:hAnsi="宋体" w:cs="MingLiU"/>
          <w:kern w:val="0"/>
          <w:u w:val="single"/>
        </w:rPr>
        <w:t xml:space="preserve">                                        </w:t>
      </w:r>
    </w:p>
    <w:p>
      <w:pPr>
        <w:autoSpaceDE w:val="0"/>
        <w:autoSpaceDN w:val="0"/>
        <w:adjustRightInd w:val="0"/>
        <w:ind w:right="-20" w:firstLine="330" w:firstLineChars="150"/>
        <w:rPr>
          <w:rFonts w:ascii="宋体" w:hAnsi="宋体" w:cs="MingLiU"/>
          <w:kern w:val="0"/>
          <w:u w:val="single"/>
        </w:rPr>
      </w:pPr>
      <w:r>
        <w:rPr>
          <w:rFonts w:hint="eastAsia" w:ascii="宋体" w:hAnsi="宋体" w:cs="MingLiU"/>
          <w:kern w:val="0"/>
        </w:rPr>
        <w:t>2.5 质量目标：</w:t>
      </w:r>
      <w:r>
        <w:rPr>
          <w:rFonts w:hint="eastAsia" w:ascii="宋体" w:hAnsi="宋体" w:cs="MingLiU"/>
          <w:kern w:val="0"/>
          <w:u w:val="single"/>
        </w:rPr>
        <w:t xml:space="preserve">                                        </w:t>
      </w:r>
    </w:p>
    <w:p>
      <w:pPr>
        <w:autoSpaceDE w:val="0"/>
        <w:autoSpaceDN w:val="0"/>
        <w:adjustRightInd w:val="0"/>
        <w:ind w:right="-20" w:firstLine="330" w:firstLineChars="150"/>
        <w:rPr>
          <w:rFonts w:ascii="宋体" w:hAnsi="宋体" w:cs="MingLiU"/>
          <w:kern w:val="0"/>
          <w:u w:val="single"/>
        </w:rPr>
      </w:pPr>
      <w:r>
        <w:rPr>
          <w:rFonts w:hint="eastAsia" w:ascii="宋体" w:hAnsi="宋体" w:cs="MingLiU"/>
          <w:kern w:val="0"/>
        </w:rPr>
        <w:t>2.6 标段划分：</w:t>
      </w:r>
      <w:r>
        <w:rPr>
          <w:rFonts w:hint="eastAsia" w:ascii="宋体" w:hAnsi="宋体" w:cs="MingLiU"/>
          <w:kern w:val="0"/>
          <w:u w:val="single"/>
        </w:rPr>
        <w:t xml:space="preserve">                                        </w:t>
      </w:r>
    </w:p>
    <w:p>
      <w:pPr>
        <w:autoSpaceDE w:val="0"/>
        <w:autoSpaceDN w:val="0"/>
        <w:adjustRightInd w:val="0"/>
        <w:ind w:right="-20" w:firstLine="330" w:firstLineChars="150"/>
        <w:rPr>
          <w:rFonts w:ascii="宋体" w:hAnsi="宋体"/>
          <w:szCs w:val="21"/>
        </w:rPr>
      </w:pPr>
      <w:r>
        <w:rPr>
          <w:rFonts w:ascii="宋体" w:hAnsi="宋体"/>
          <w:szCs w:val="21"/>
        </w:rPr>
        <w:t>（说明本次招标项目的建设地点、规模、计划工期、招标范围</w:t>
      </w:r>
      <w:r>
        <w:rPr>
          <w:rFonts w:hint="eastAsia" w:ascii="宋体" w:hAnsi="宋体"/>
          <w:szCs w:val="21"/>
        </w:rPr>
        <w:t>、质量标准、标段划分(如果有)</w:t>
      </w:r>
      <w:r>
        <w:rPr>
          <w:rFonts w:ascii="宋体" w:hAnsi="宋体"/>
          <w:szCs w:val="21"/>
        </w:rPr>
        <w:t>等。</w:t>
      </w:r>
    </w:p>
    <w:p>
      <w:pPr>
        <w:autoSpaceDE w:val="0"/>
        <w:autoSpaceDN w:val="0"/>
        <w:adjustRightInd w:val="0"/>
        <w:ind w:right="-20" w:firstLine="330" w:firstLineChars="150"/>
        <w:rPr>
          <w:rFonts w:ascii="宋体" w:hAnsi="宋体" w:cs="MingLiU"/>
          <w:kern w:val="0"/>
          <w:u w:val="single"/>
        </w:rPr>
      </w:pPr>
    </w:p>
    <w:p>
      <w:pPr>
        <w:autoSpaceDE w:val="0"/>
        <w:autoSpaceDN w:val="0"/>
        <w:adjustRightInd w:val="0"/>
        <w:ind w:right="-20"/>
        <w:rPr>
          <w:rFonts w:ascii="仿宋_GB2312" w:hAnsi="宋体" w:eastAsia="仿宋_GB2312"/>
          <w:szCs w:val="21"/>
        </w:rPr>
      </w:pPr>
      <w:r>
        <w:rPr>
          <w:rFonts w:hint="eastAsia" w:ascii="仿宋_GB2312" w:hAnsi="宋体" w:eastAsia="仿宋_GB2312"/>
          <w:szCs w:val="21"/>
        </w:rPr>
        <w:t xml:space="preserve">  注：说明本次招标项目的建设地点、规模、投资额（或招标控制价）、计划设计</w:t>
      </w:r>
      <w:r>
        <w:rPr>
          <w:rFonts w:ascii="仿宋_GB2312" w:hAnsi="宋体" w:eastAsia="仿宋_GB2312"/>
          <w:szCs w:val="21"/>
        </w:rPr>
        <w:t>周期</w:t>
      </w:r>
      <w:r>
        <w:rPr>
          <w:rFonts w:hint="eastAsia" w:ascii="仿宋_GB2312" w:hAnsi="宋体" w:eastAsia="仿宋_GB2312"/>
          <w:szCs w:val="21"/>
        </w:rPr>
        <w:t>、计划总工期、招标范围、质量标准、标段划分等。</w:t>
      </w:r>
    </w:p>
    <w:p>
      <w:pPr>
        <w:rPr>
          <w:rFonts w:ascii="宋体" w:hAnsi="宋体" w:cs="Courier New"/>
          <w:szCs w:val="21"/>
        </w:rPr>
      </w:pPr>
      <w:r>
        <w:rPr>
          <w:rFonts w:ascii="宋体" w:hAnsi="宋体" w:cs="Courier New"/>
          <w:b/>
          <w:szCs w:val="21"/>
        </w:rPr>
        <w:t>3．投标人资格要求</w:t>
      </w:r>
    </w:p>
    <w:p>
      <w:pPr>
        <w:ind w:firstLine="330" w:firstLineChars="150"/>
        <w:rPr>
          <w:rFonts w:ascii="宋体" w:hAnsi="宋体"/>
          <w:szCs w:val="21"/>
        </w:rPr>
      </w:pPr>
      <w:r>
        <w:rPr>
          <w:rFonts w:ascii="宋体" w:hAnsi="宋体"/>
          <w:szCs w:val="21"/>
        </w:rPr>
        <w:t xml:space="preserve">3.1 </w:t>
      </w:r>
      <w:r>
        <w:rPr>
          <w:rFonts w:hint="eastAsia" w:ascii="宋体" w:hAnsi="宋体"/>
          <w:szCs w:val="21"/>
        </w:rPr>
        <w:t>本次招标要求投标人：</w:t>
      </w:r>
    </w:p>
    <w:p>
      <w:pPr>
        <w:ind w:left="416"/>
        <w:rPr>
          <w:rFonts w:ascii="宋体" w:hAnsi="宋体" w:cs="宋体"/>
          <w:strike/>
          <w:szCs w:val="21"/>
        </w:rPr>
      </w:pPr>
      <w:r>
        <w:rPr>
          <w:rFonts w:ascii="宋体" w:hAnsi="宋体" w:cs="宋体"/>
          <w:szCs w:val="21"/>
        </w:rPr>
        <w:t>3.1.1</w:t>
      </w:r>
      <w:r>
        <w:rPr>
          <w:rFonts w:hint="eastAsia" w:ascii="宋体" w:hAnsi="宋体"/>
          <w:szCs w:val="21"/>
        </w:rPr>
        <w:t>依法设立、具有独立承担民事责任的能力；</w:t>
      </w:r>
    </w:p>
    <w:p>
      <w:pPr>
        <w:ind w:firstLine="330" w:firstLineChars="150"/>
        <w:rPr>
          <w:rFonts w:ascii="宋体" w:hAnsi="宋体"/>
          <w:szCs w:val="21"/>
        </w:rPr>
      </w:pPr>
      <w:r>
        <w:rPr>
          <w:rFonts w:ascii="宋体" w:hAnsi="宋体"/>
          <w:szCs w:val="21"/>
        </w:rPr>
        <w:t>3.1.2</w:t>
      </w:r>
      <w:r>
        <w:rPr>
          <w:rFonts w:hint="eastAsia" w:ascii="宋体" w:hAnsi="宋体"/>
          <w:szCs w:val="21"/>
        </w:rPr>
        <w:t>须为：</w:t>
      </w:r>
    </w:p>
    <w:p>
      <w:pPr>
        <w:numPr>
          <w:ilvl w:val="0"/>
          <w:numId w:val="3"/>
        </w:numPr>
        <w:rPr>
          <w:rFonts w:ascii="Arial" w:cs="Arial"/>
          <w:kern w:val="0"/>
          <w:szCs w:val="21"/>
        </w:rPr>
      </w:pPr>
      <w:r>
        <w:rPr>
          <w:rFonts w:hint="eastAsia" w:ascii="Arial" w:cs="Arial"/>
          <w:kern w:val="0"/>
          <w:szCs w:val="21"/>
        </w:rPr>
        <w:t>□勘察资质：</w:t>
      </w:r>
    </w:p>
    <w:p>
      <w:pPr>
        <w:ind w:firstLine="330" w:firstLineChars="150"/>
        <w:rPr>
          <w:rFonts w:ascii="宋体" w:hAnsi="宋体" w:cs="MingLiU"/>
          <w:kern w:val="0"/>
          <w:szCs w:val="21"/>
        </w:rPr>
      </w:pPr>
      <w:r>
        <w:rPr>
          <w:rFonts w:hint="eastAsia" w:ascii="宋体" w:hAnsi="宋体"/>
          <w:szCs w:val="21"/>
        </w:rPr>
        <w:t>【具有】【</w:t>
      </w:r>
      <w:r>
        <w:rPr>
          <w:rFonts w:hint="eastAsia" w:ascii="Arial" w:cs="Arial"/>
          <w:kern w:val="0"/>
          <w:szCs w:val="21"/>
        </w:rPr>
        <w:t>勘察的单位</w:t>
      </w:r>
      <w:r>
        <w:rPr>
          <w:rFonts w:hint="eastAsia" w:ascii="宋体" w:hAnsi="宋体"/>
          <w:szCs w:val="21"/>
        </w:rPr>
        <w:t>】</w:t>
      </w:r>
      <w:r>
        <w:rPr>
          <w:rFonts w:hint="eastAsia" w:ascii="Arial" w:cs="Arial"/>
          <w:kern w:val="0"/>
          <w:szCs w:val="21"/>
        </w:rPr>
        <w:t>；</w:t>
      </w:r>
    </w:p>
    <w:p>
      <w:pPr>
        <w:numPr>
          <w:ilvl w:val="0"/>
          <w:numId w:val="3"/>
        </w:numPr>
        <w:rPr>
          <w:rFonts w:ascii="Arial" w:cs="Arial"/>
          <w:kern w:val="0"/>
          <w:szCs w:val="21"/>
        </w:rPr>
      </w:pPr>
      <w:r>
        <w:rPr>
          <w:rFonts w:hint="eastAsia" w:ascii="Arial" w:cs="Arial"/>
          <w:kern w:val="0"/>
          <w:szCs w:val="21"/>
        </w:rPr>
        <w:t>□设计资质：</w:t>
      </w:r>
    </w:p>
    <w:p>
      <w:pPr>
        <w:ind w:firstLine="330" w:firstLineChars="150"/>
        <w:rPr>
          <w:rFonts w:ascii="宋体" w:hAnsi="宋体" w:cs="MingLiU"/>
          <w:kern w:val="0"/>
          <w:szCs w:val="21"/>
        </w:rPr>
      </w:pPr>
      <w:r>
        <w:rPr>
          <w:rFonts w:hint="eastAsia" w:ascii="宋体" w:hAnsi="宋体"/>
          <w:szCs w:val="21"/>
        </w:rPr>
        <w:t>【具有】【</w:t>
      </w:r>
      <w:r>
        <w:rPr>
          <w:rFonts w:hint="eastAsia" w:ascii="Arial" w:cs="Arial"/>
          <w:kern w:val="0"/>
          <w:szCs w:val="21"/>
        </w:rPr>
        <w:t>资质的单位</w:t>
      </w:r>
      <w:r>
        <w:rPr>
          <w:rFonts w:hint="eastAsia" w:ascii="宋体" w:hAnsi="宋体"/>
          <w:szCs w:val="21"/>
        </w:rPr>
        <w:t>】</w:t>
      </w:r>
      <w:r>
        <w:rPr>
          <w:rFonts w:hint="eastAsia" w:ascii="Arial" w:cs="Arial"/>
          <w:kern w:val="0"/>
          <w:szCs w:val="21"/>
        </w:rPr>
        <w:t>；</w:t>
      </w:r>
    </w:p>
    <w:p>
      <w:pPr>
        <w:numPr>
          <w:ilvl w:val="0"/>
          <w:numId w:val="3"/>
        </w:numPr>
        <w:rPr>
          <w:rFonts w:ascii="Arial" w:cs="Arial"/>
          <w:kern w:val="0"/>
          <w:szCs w:val="21"/>
        </w:rPr>
      </w:pPr>
      <w:r>
        <w:rPr>
          <w:rFonts w:hint="eastAsia" w:ascii="Arial" w:cs="Arial"/>
          <w:kern w:val="0"/>
          <w:szCs w:val="21"/>
        </w:rPr>
        <w:t>□</w:t>
      </w:r>
      <w:r>
        <w:rPr>
          <w:rFonts w:ascii="Arial" w:cs="Arial"/>
          <w:kern w:val="0"/>
          <w:szCs w:val="21"/>
        </w:rPr>
        <w:t>施工资质：</w:t>
      </w:r>
    </w:p>
    <w:p>
      <w:pPr>
        <w:ind w:firstLine="330" w:firstLineChars="150"/>
        <w:rPr>
          <w:rFonts w:ascii="Arial" w:cs="Arial"/>
          <w:kern w:val="0"/>
          <w:szCs w:val="21"/>
        </w:rPr>
      </w:pPr>
      <w:r>
        <w:rPr>
          <w:rFonts w:hint="eastAsia" w:ascii="宋体" w:hAnsi="宋体"/>
          <w:szCs w:val="21"/>
        </w:rPr>
        <w:t>【具有】【</w:t>
      </w:r>
      <w:r>
        <w:rPr>
          <w:rFonts w:hint="eastAsia" w:ascii="Arial" w:cs="Arial"/>
          <w:kern w:val="0"/>
          <w:szCs w:val="21"/>
        </w:rPr>
        <w:t>资质的单位</w:t>
      </w:r>
      <w:r>
        <w:rPr>
          <w:rFonts w:hint="eastAsia" w:ascii="宋体" w:hAnsi="宋体"/>
          <w:szCs w:val="21"/>
        </w:rPr>
        <w:t>】</w:t>
      </w:r>
      <w:r>
        <w:rPr>
          <w:rFonts w:hint="eastAsia" w:ascii="Arial" w:cs="Arial"/>
          <w:kern w:val="0"/>
          <w:szCs w:val="21"/>
        </w:rPr>
        <w:t>；</w:t>
      </w:r>
    </w:p>
    <w:p>
      <w:pPr>
        <w:ind w:firstLine="440" w:firstLineChars="200"/>
        <w:rPr>
          <w:rFonts w:ascii="宋体" w:hAnsi="宋体"/>
          <w:szCs w:val="21"/>
        </w:rPr>
      </w:pPr>
      <w:r>
        <w:rPr>
          <w:rFonts w:ascii="宋体" w:hAnsi="宋体"/>
          <w:szCs w:val="21"/>
        </w:rPr>
        <w:t>3.1.</w:t>
      </w:r>
      <w:r>
        <w:rPr>
          <w:rFonts w:hint="eastAsia" w:ascii="宋体" w:hAnsi="宋体"/>
          <w:szCs w:val="21"/>
        </w:rPr>
        <w:t>3拟派往本项目的</w:t>
      </w:r>
      <w:r>
        <w:rPr>
          <w:rFonts w:hint="eastAsia" w:ascii="宋体" w:hAnsi="宋体"/>
          <w:sz w:val="24"/>
        </w:rPr>
        <w:t>项目经理为须为</w:t>
      </w:r>
      <w:r>
        <w:rPr>
          <w:rFonts w:hint="eastAsia" w:ascii="宋体" w:hAnsi="宋体"/>
          <w:bCs/>
          <w:sz w:val="24"/>
        </w:rPr>
        <w:t>本单位人员（若为联合体投标，须为联合体牵头</w:t>
      </w:r>
      <w:r>
        <w:rPr>
          <w:rFonts w:hint="eastAsia" w:ascii="宋体" w:hAnsi="宋体"/>
          <w:sz w:val="24"/>
        </w:rPr>
        <w:t>人人员）</w:t>
      </w:r>
      <w:r>
        <w:rPr>
          <w:rFonts w:hint="eastAsia" w:ascii="宋体" w:hAnsi="宋体"/>
          <w:szCs w:val="21"/>
        </w:rPr>
        <w:t>;</w:t>
      </w:r>
    </w:p>
    <w:p>
      <w:pPr>
        <w:ind w:firstLine="440" w:firstLineChars="200"/>
        <w:rPr>
          <w:rFonts w:ascii="宋体" w:hAnsi="宋体"/>
          <w:szCs w:val="21"/>
        </w:rPr>
      </w:pPr>
      <w:r>
        <w:rPr>
          <w:rFonts w:hint="eastAsia" w:ascii="宋体" w:hAnsi="宋体" w:cs="宋体"/>
          <w:kern w:val="0"/>
          <w:szCs w:val="21"/>
        </w:rPr>
        <w:t>○</w:t>
      </w:r>
      <w:r>
        <w:rPr>
          <w:rFonts w:hint="eastAsia" w:ascii="宋体" w:hAnsi="宋体"/>
          <w:szCs w:val="21"/>
        </w:rPr>
        <w:t>具有证书；</w:t>
      </w:r>
      <w:r>
        <w:rPr>
          <w:rFonts w:hint="eastAsia" w:ascii="宋体" w:hAnsi="宋体" w:cs="宋体"/>
          <w:kern w:val="0"/>
          <w:szCs w:val="21"/>
        </w:rPr>
        <w:t>○</w:t>
      </w:r>
      <w:r>
        <w:rPr>
          <w:rFonts w:hint="eastAsia" w:ascii="宋体" w:hAnsi="宋体"/>
          <w:szCs w:val="21"/>
        </w:rPr>
        <w:t>具有高级职称（未实施注册执业资格的）；</w:t>
      </w:r>
    </w:p>
    <w:p>
      <w:pPr>
        <w:pStyle w:val="9"/>
        <w:rPr>
          <w:rFonts w:ascii="宋体" w:hAnsi="宋体"/>
          <w:sz w:val="24"/>
        </w:rPr>
      </w:pPr>
      <w:r>
        <w:rPr>
          <w:rFonts w:hint="eastAsia" w:ascii="宋体" w:hAnsi="宋体" w:cs="宋体"/>
          <w:kern w:val="0"/>
          <w:szCs w:val="21"/>
        </w:rPr>
        <w:t>○</w:t>
      </w:r>
      <w:r>
        <w:rPr>
          <w:rFonts w:hint="eastAsia" w:ascii="宋体" w:hAnsi="宋体"/>
          <w:szCs w:val="21"/>
        </w:rPr>
        <w:t>拟派往本项目的</w:t>
      </w:r>
      <w:r>
        <w:rPr>
          <w:rFonts w:hint="eastAsia" w:ascii="宋体" w:hAnsi="宋体"/>
          <w:sz w:val="24"/>
        </w:rPr>
        <w:t>项目经理可以由</w:t>
      </w:r>
      <w:r>
        <w:rPr>
          <w:rFonts w:hint="eastAsia" w:ascii="宋体" w:hAnsi="宋体" w:cs="MingLiU"/>
          <w:kern w:val="0"/>
          <w:szCs w:val="21"/>
        </w:rPr>
        <w:sym w:font="Wingdings 2" w:char="0052"/>
      </w:r>
      <w:r>
        <w:rPr>
          <w:rFonts w:hint="eastAsia" w:ascii="宋体" w:hAnsi="宋体"/>
          <w:sz w:val="24"/>
        </w:rPr>
        <w:t>设计负责人兼任</w:t>
      </w:r>
      <w:r>
        <w:rPr>
          <w:rFonts w:hint="eastAsia" w:ascii="宋体" w:hAnsi="宋体" w:cs="MingLiU"/>
          <w:kern w:val="0"/>
          <w:szCs w:val="21"/>
        </w:rPr>
        <w:t>□</w:t>
      </w:r>
      <w:r>
        <w:rPr>
          <w:rFonts w:hint="eastAsia" w:ascii="宋体" w:hAnsi="宋体"/>
          <w:sz w:val="24"/>
        </w:rPr>
        <w:t>施工负责人兼任</w:t>
      </w:r>
    </w:p>
    <w:p>
      <w:pPr>
        <w:pStyle w:val="9"/>
        <w:rPr>
          <w:rFonts w:ascii="宋体" w:hAnsi="宋体"/>
          <w:sz w:val="24"/>
          <w:szCs w:val="21"/>
        </w:rPr>
      </w:pPr>
      <w:r>
        <w:rPr>
          <w:rFonts w:hint="eastAsia" w:ascii="宋体" w:hAnsi="宋体" w:cs="宋体"/>
          <w:kern w:val="0"/>
          <w:szCs w:val="21"/>
        </w:rPr>
        <w:t>○</w:t>
      </w:r>
      <w:r>
        <w:rPr>
          <w:rFonts w:hint="eastAsia" w:ascii="宋体" w:hAnsi="宋体"/>
          <w:szCs w:val="21"/>
        </w:rPr>
        <w:t>拟派往本项目的</w:t>
      </w:r>
      <w:r>
        <w:rPr>
          <w:rFonts w:hint="eastAsia" w:ascii="宋体" w:hAnsi="宋体"/>
          <w:sz w:val="24"/>
        </w:rPr>
        <w:t>项目经理不可以由设计负责人或施工负责人兼任</w:t>
      </w:r>
    </w:p>
    <w:p>
      <w:pPr>
        <w:tabs>
          <w:tab w:val="left" w:pos="4392"/>
        </w:tabs>
        <w:ind w:left="110" w:leftChars="50" w:right="156" w:rightChars="71" w:firstLine="330" w:firstLineChars="150"/>
        <w:rPr>
          <w:rFonts w:ascii="宋体" w:hAnsi="宋体"/>
          <w:szCs w:val="21"/>
        </w:rPr>
      </w:pPr>
      <w:r>
        <w:rPr>
          <w:rFonts w:hint="eastAsia" w:ascii="宋体" w:hAnsi="宋体"/>
          <w:szCs w:val="21"/>
        </w:rPr>
        <w:t>□拟派勘察负责人:</w:t>
      </w:r>
    </w:p>
    <w:p>
      <w:pPr>
        <w:tabs>
          <w:tab w:val="left" w:pos="4392"/>
        </w:tabs>
        <w:ind w:left="550" w:leftChars="250" w:right="156" w:rightChars="71" w:firstLine="330" w:firstLineChars="150"/>
        <w:rPr>
          <w:rFonts w:ascii="宋体" w:hAnsi="宋体" w:cs="宋体"/>
          <w:kern w:val="0"/>
          <w:szCs w:val="21"/>
        </w:rPr>
      </w:pPr>
      <w:r>
        <w:rPr>
          <w:rFonts w:hint="eastAsia" w:ascii="宋体" w:hAnsi="宋体" w:cs="宋体"/>
          <w:kern w:val="0"/>
          <w:szCs w:val="21"/>
        </w:rPr>
        <w:t>○</w:t>
      </w:r>
      <w:r>
        <w:rPr>
          <w:rFonts w:hint="eastAsia" w:ascii="宋体" w:hAnsi="宋体"/>
          <w:szCs w:val="21"/>
        </w:rPr>
        <w:t>具有</w:t>
      </w:r>
      <w:r>
        <w:rPr>
          <w:rFonts w:hint="eastAsia" w:ascii="宋体" w:hAnsi="宋体"/>
          <w:szCs w:val="21"/>
          <w:u w:val="single"/>
        </w:rPr>
        <w:t xml:space="preserve">           </w:t>
      </w:r>
      <w:r>
        <w:rPr>
          <w:rFonts w:hint="eastAsia" w:ascii="宋体" w:hAnsi="宋体"/>
          <w:szCs w:val="21"/>
        </w:rPr>
        <w:t>证书，</w:t>
      </w:r>
      <w:r>
        <w:rPr>
          <w:rFonts w:ascii="宋体" w:hAnsi="宋体" w:cs="宋体"/>
          <w:szCs w:val="21"/>
        </w:rPr>
        <w:t>(须为</w:t>
      </w:r>
      <w:r>
        <w:rPr>
          <w:rFonts w:hint="eastAsia" w:ascii="宋体" w:hAnsi="宋体" w:cs="宋体"/>
          <w:szCs w:val="21"/>
          <w:u w:val="single"/>
        </w:rPr>
        <w:t xml:space="preserve">       </w:t>
      </w:r>
      <w:r>
        <w:rPr>
          <w:rFonts w:hint="eastAsia" w:ascii="宋体" w:hAnsi="宋体" w:cs="宋体"/>
          <w:szCs w:val="21"/>
        </w:rPr>
        <w:t>人员</w:t>
      </w:r>
      <w:r>
        <w:rPr>
          <w:rFonts w:ascii="宋体" w:hAnsi="宋体" w:cs="宋体"/>
          <w:szCs w:val="21"/>
        </w:rPr>
        <w:t>)</w:t>
      </w:r>
      <w:r>
        <w:rPr>
          <w:rFonts w:hint="eastAsia" w:ascii="宋体" w:hAnsi="宋体"/>
          <w:sz w:val="24"/>
        </w:rPr>
        <w:t xml:space="preserve"> </w:t>
      </w:r>
      <w:r>
        <w:rPr>
          <w:rFonts w:hint="eastAsia" w:ascii="宋体" w:hAnsi="宋体"/>
          <w:szCs w:val="21"/>
        </w:rPr>
        <w:t>；</w:t>
      </w:r>
    </w:p>
    <w:p>
      <w:pPr>
        <w:tabs>
          <w:tab w:val="left" w:pos="4392"/>
        </w:tabs>
        <w:ind w:left="110" w:leftChars="50" w:right="156" w:rightChars="71" w:firstLine="330" w:firstLineChars="150"/>
        <w:rPr>
          <w:rFonts w:ascii="宋体" w:hAnsi="宋体"/>
          <w:szCs w:val="21"/>
        </w:rPr>
      </w:pPr>
      <w:r>
        <w:rPr>
          <w:rFonts w:hint="eastAsia" w:ascii="宋体" w:hAnsi="宋体" w:cs="宋体"/>
          <w:kern w:val="0"/>
          <w:szCs w:val="21"/>
        </w:rPr>
        <w:t>○</w:t>
      </w:r>
      <w:r>
        <w:rPr>
          <w:rFonts w:hint="eastAsia" w:ascii="宋体" w:hAnsi="宋体"/>
          <w:szCs w:val="21"/>
        </w:rPr>
        <w:t>具有，</w:t>
      </w:r>
      <w:r>
        <w:rPr>
          <w:rFonts w:hint="eastAsia" w:ascii="宋体" w:hAnsi="宋体"/>
          <w:sz w:val="24"/>
        </w:rPr>
        <w:t>须为</w:t>
      </w:r>
      <w:r>
        <w:rPr>
          <w:rFonts w:hint="eastAsia" w:ascii="宋体" w:hAnsi="宋体"/>
          <w:bCs/>
          <w:sz w:val="24"/>
        </w:rPr>
        <w:t>本单位人员</w:t>
      </w:r>
      <w:r>
        <w:rPr>
          <w:rFonts w:hint="eastAsia" w:ascii="宋体" w:hAnsi="宋体"/>
          <w:szCs w:val="21"/>
        </w:rPr>
        <w:t>；</w:t>
      </w:r>
    </w:p>
    <w:p>
      <w:pPr>
        <w:tabs>
          <w:tab w:val="left" w:pos="4392"/>
        </w:tabs>
        <w:ind w:left="110" w:leftChars="50" w:right="156" w:rightChars="71" w:firstLine="330" w:firstLineChars="150"/>
        <w:rPr>
          <w:rFonts w:ascii="宋体" w:hAnsi="宋体"/>
          <w:szCs w:val="21"/>
        </w:rPr>
      </w:pPr>
      <w:r>
        <w:rPr>
          <w:rFonts w:hint="eastAsia" w:ascii="宋体" w:hAnsi="宋体"/>
          <w:szCs w:val="21"/>
        </w:rPr>
        <w:t>□拟派设计负责人:</w:t>
      </w:r>
    </w:p>
    <w:p>
      <w:pPr>
        <w:tabs>
          <w:tab w:val="left" w:pos="4392"/>
        </w:tabs>
        <w:ind w:left="550" w:leftChars="250" w:right="156" w:rightChars="71" w:firstLine="330" w:firstLineChars="150"/>
        <w:rPr>
          <w:rFonts w:ascii="宋体" w:hAnsi="宋体" w:cs="宋体"/>
          <w:kern w:val="0"/>
          <w:szCs w:val="21"/>
        </w:rPr>
      </w:pPr>
      <w:r>
        <w:rPr>
          <w:rFonts w:hint="eastAsia" w:ascii="宋体" w:hAnsi="宋体" w:cs="宋体"/>
          <w:kern w:val="0"/>
          <w:szCs w:val="21"/>
        </w:rPr>
        <w:t>○</w:t>
      </w:r>
      <w:r>
        <w:rPr>
          <w:rFonts w:hint="eastAsia" w:ascii="宋体" w:hAnsi="宋体"/>
          <w:szCs w:val="21"/>
        </w:rPr>
        <w:t>具有</w:t>
      </w:r>
      <w:r>
        <w:rPr>
          <w:rFonts w:hint="eastAsia" w:ascii="宋体" w:hAnsi="宋体"/>
          <w:szCs w:val="21"/>
          <w:u w:val="single"/>
        </w:rPr>
        <w:t xml:space="preserve">           </w:t>
      </w:r>
      <w:r>
        <w:rPr>
          <w:rFonts w:hint="eastAsia" w:ascii="宋体" w:hAnsi="宋体"/>
          <w:szCs w:val="21"/>
        </w:rPr>
        <w:t>证书，</w:t>
      </w:r>
      <w:r>
        <w:rPr>
          <w:rFonts w:ascii="宋体" w:hAnsi="宋体" w:cs="宋体"/>
          <w:szCs w:val="21"/>
        </w:rPr>
        <w:t>(须为</w:t>
      </w:r>
      <w:r>
        <w:rPr>
          <w:rFonts w:hint="eastAsia" w:ascii="宋体" w:hAnsi="宋体" w:cs="宋体"/>
          <w:szCs w:val="21"/>
          <w:u w:val="single"/>
        </w:rPr>
        <w:t xml:space="preserve">       </w:t>
      </w:r>
      <w:r>
        <w:rPr>
          <w:rFonts w:hint="eastAsia" w:ascii="宋体" w:hAnsi="宋体" w:cs="宋体"/>
          <w:szCs w:val="21"/>
        </w:rPr>
        <w:t>人员</w:t>
      </w:r>
      <w:r>
        <w:rPr>
          <w:rFonts w:ascii="宋体" w:hAnsi="宋体" w:cs="宋体"/>
          <w:szCs w:val="21"/>
        </w:rPr>
        <w:t>)</w:t>
      </w:r>
      <w:r>
        <w:rPr>
          <w:rFonts w:hint="eastAsia" w:ascii="宋体" w:hAnsi="宋体"/>
          <w:sz w:val="24"/>
        </w:rPr>
        <w:t xml:space="preserve"> </w:t>
      </w:r>
      <w:r>
        <w:rPr>
          <w:rFonts w:hint="eastAsia" w:ascii="宋体" w:hAnsi="宋体"/>
          <w:szCs w:val="21"/>
        </w:rPr>
        <w:t>；</w:t>
      </w:r>
    </w:p>
    <w:p>
      <w:pPr>
        <w:tabs>
          <w:tab w:val="left" w:pos="4392"/>
        </w:tabs>
        <w:ind w:left="110" w:leftChars="50" w:right="156" w:rightChars="71" w:firstLine="330" w:firstLineChars="150"/>
        <w:rPr>
          <w:rFonts w:ascii="宋体" w:hAnsi="宋体"/>
          <w:szCs w:val="21"/>
        </w:rPr>
      </w:pPr>
      <w:r>
        <w:rPr>
          <w:rFonts w:hint="eastAsia" w:ascii="宋体" w:hAnsi="宋体"/>
          <w:szCs w:val="21"/>
        </w:rPr>
        <w:t>□拟派施工负责人:</w:t>
      </w:r>
    </w:p>
    <w:p>
      <w:pPr>
        <w:tabs>
          <w:tab w:val="left" w:pos="4392"/>
        </w:tabs>
        <w:ind w:left="880" w:leftChars="400" w:right="156" w:rightChars="71"/>
        <w:rPr>
          <w:rFonts w:ascii="宋体" w:hAnsi="宋体" w:cs="Courier New"/>
          <w:kern w:val="0"/>
          <w:szCs w:val="21"/>
        </w:rPr>
      </w:pPr>
      <w:r>
        <w:rPr>
          <w:rFonts w:hint="eastAsia" w:ascii="宋体" w:hAnsi="宋体" w:cs="宋体"/>
          <w:kern w:val="0"/>
          <w:szCs w:val="21"/>
        </w:rPr>
        <w:t>○</w:t>
      </w:r>
      <w:r>
        <w:rPr>
          <w:rFonts w:hint="eastAsia" w:ascii="宋体" w:hAnsi="宋体"/>
          <w:szCs w:val="21"/>
        </w:rPr>
        <w:t>具有</w:t>
      </w:r>
      <w:r>
        <w:rPr>
          <w:rFonts w:hint="eastAsia" w:ascii="宋体" w:hAnsi="宋体"/>
          <w:szCs w:val="21"/>
          <w:u w:val="single"/>
        </w:rPr>
        <w:t xml:space="preserve">           </w:t>
      </w:r>
      <w:r>
        <w:rPr>
          <w:rFonts w:hint="eastAsia" w:ascii="宋体" w:hAnsi="宋体"/>
          <w:szCs w:val="21"/>
        </w:rPr>
        <w:t>专业</w:t>
      </w:r>
      <w:r>
        <w:rPr>
          <w:rFonts w:hint="eastAsia" w:ascii="宋体" w:hAnsi="宋体"/>
          <w:szCs w:val="21"/>
          <w:u w:val="single"/>
        </w:rPr>
        <w:t xml:space="preserve">    </w:t>
      </w:r>
      <w:r>
        <w:rPr>
          <w:rFonts w:hint="eastAsia" w:ascii="宋体" w:hAnsi="宋体"/>
          <w:szCs w:val="21"/>
        </w:rPr>
        <w:t>级或以上注册建造师证书</w:t>
      </w:r>
      <w:r>
        <w:rPr>
          <w:rFonts w:ascii="宋体" w:hAnsi="宋体" w:cs="宋体"/>
          <w:szCs w:val="21"/>
        </w:rPr>
        <w:t>(须为</w:t>
      </w:r>
      <w:r>
        <w:rPr>
          <w:rFonts w:hint="eastAsia" w:ascii="宋体" w:hAnsi="宋体" w:cs="宋体"/>
          <w:szCs w:val="21"/>
          <w:u w:val="single"/>
        </w:rPr>
        <w:t xml:space="preserve">       </w:t>
      </w:r>
      <w:r>
        <w:rPr>
          <w:rFonts w:hint="eastAsia" w:ascii="宋体" w:hAnsi="宋体" w:cs="宋体"/>
          <w:szCs w:val="21"/>
        </w:rPr>
        <w:t>人员</w:t>
      </w:r>
      <w:r>
        <w:rPr>
          <w:rFonts w:ascii="宋体" w:hAnsi="宋体" w:cs="宋体"/>
          <w:szCs w:val="21"/>
        </w:rPr>
        <w:t>)</w:t>
      </w:r>
      <w:r>
        <w:rPr>
          <w:rFonts w:hint="eastAsia" w:ascii="宋体" w:hAnsi="宋体"/>
          <w:sz w:val="24"/>
        </w:rPr>
        <w:t xml:space="preserve"> </w:t>
      </w:r>
      <w:r>
        <w:rPr>
          <w:rFonts w:hint="eastAsia" w:ascii="宋体" w:hAnsi="宋体"/>
          <w:szCs w:val="21"/>
        </w:rPr>
        <w:t>，□须具备有效的安全生产考核合格B证</w:t>
      </w:r>
      <w:r>
        <w:rPr>
          <w:rFonts w:ascii="宋体" w:hAnsi="宋体" w:cs="Courier New"/>
          <w:kern w:val="0"/>
          <w:szCs w:val="21"/>
        </w:rPr>
        <w:t>;</w:t>
      </w:r>
    </w:p>
    <w:p>
      <w:pPr>
        <w:ind w:left="440" w:leftChars="200" w:firstLine="440" w:firstLineChars="200"/>
        <w:rPr>
          <w:rFonts w:ascii="宋体" w:hAnsi="宋体"/>
          <w:szCs w:val="21"/>
        </w:rPr>
      </w:pPr>
      <w:r>
        <w:rPr>
          <w:rFonts w:hint="eastAsia" w:ascii="宋体" w:hAnsi="宋体"/>
          <w:szCs w:val="21"/>
        </w:rPr>
        <w:t>注:项目经理资格设置要求取得相应工程建设类注册执业资格，包括注册建筑师、勘察设计注册工程师、注册建造师或者注册监理工程师等；未实施注册执业资格的，取得高级专业技术职称。</w:t>
      </w:r>
    </w:p>
    <w:p>
      <w:pPr>
        <w:ind w:firstLine="440" w:firstLineChars="200"/>
        <w:rPr>
          <w:rFonts w:ascii="宋体" w:hAnsi="宋体"/>
          <w:szCs w:val="21"/>
        </w:rPr>
      </w:pPr>
      <w:r>
        <w:rPr>
          <w:rFonts w:ascii="宋体" w:hAnsi="宋体"/>
          <w:szCs w:val="21"/>
        </w:rPr>
        <w:t>3.1.</w:t>
      </w:r>
      <w:r>
        <w:rPr>
          <w:rFonts w:hint="eastAsia" w:ascii="宋体" w:hAnsi="宋体"/>
          <w:szCs w:val="21"/>
        </w:rPr>
        <w:t>7</w:t>
      </w:r>
      <w:r>
        <w:rPr>
          <w:rFonts w:ascii="宋体" w:hAnsi="宋体"/>
          <w:szCs w:val="21"/>
        </w:rPr>
        <w:t>财务要求</w:t>
      </w:r>
      <w:r>
        <w:rPr>
          <w:rFonts w:hint="eastAsia" w:ascii="宋体" w:hAnsi="宋体"/>
          <w:szCs w:val="21"/>
        </w:rPr>
        <w:t>：</w:t>
      </w:r>
    </w:p>
    <w:p>
      <w:pPr>
        <w:ind w:left="440" w:leftChars="200" w:firstLine="440" w:firstLineChars="200"/>
        <w:rPr>
          <w:rFonts w:ascii="宋体" w:hAnsi="宋体" w:cs="宋体"/>
          <w:kern w:val="0"/>
          <w:szCs w:val="21"/>
        </w:rPr>
      </w:pPr>
      <w:r>
        <w:rPr>
          <w:rFonts w:hint="eastAsia" w:ascii="宋体" w:hAnsi="宋体" w:cs="宋体"/>
          <w:kern w:val="0"/>
          <w:szCs w:val="21"/>
        </w:rPr>
        <w:t>○无；</w:t>
      </w:r>
    </w:p>
    <w:p>
      <w:pPr>
        <w:ind w:left="440" w:leftChars="200" w:firstLine="440" w:firstLineChars="200"/>
        <w:rPr>
          <w:rFonts w:ascii="宋体" w:hAnsi="宋体"/>
          <w:szCs w:val="21"/>
        </w:rPr>
      </w:pPr>
      <w:r>
        <w:rPr>
          <w:rFonts w:hint="eastAsia" w:ascii="宋体" w:hAnsi="宋体" w:cs="宋体"/>
          <w:kern w:val="0"/>
          <w:szCs w:val="21"/>
        </w:rPr>
        <w:t>○</w:t>
      </w:r>
      <w:r>
        <w:rPr>
          <w:rFonts w:hint="eastAsia" w:ascii="宋体" w:hAnsi="宋体"/>
          <w:szCs w:val="21"/>
        </w:rPr>
        <w:t>近3年或成立至今（成立不足3年的）无亏损。</w:t>
      </w:r>
    </w:p>
    <w:p>
      <w:pPr>
        <w:ind w:firstLine="440" w:firstLineChars="200"/>
        <w:rPr>
          <w:rFonts w:ascii="宋体" w:hAnsi="宋体"/>
          <w:szCs w:val="21"/>
        </w:rPr>
      </w:pPr>
      <w:r>
        <w:rPr>
          <w:rFonts w:ascii="宋体" w:hAnsi="宋体"/>
          <w:szCs w:val="21"/>
        </w:rPr>
        <w:t>3.1.</w:t>
      </w:r>
      <w:r>
        <w:rPr>
          <w:rFonts w:hint="eastAsia" w:ascii="宋体" w:hAnsi="宋体"/>
          <w:szCs w:val="21"/>
        </w:rPr>
        <w:t>8</w:t>
      </w:r>
      <w:r>
        <w:rPr>
          <w:rFonts w:ascii="宋体" w:hAnsi="宋体"/>
          <w:szCs w:val="21"/>
        </w:rPr>
        <w:t>类似工程业绩要求</w:t>
      </w:r>
      <w:r>
        <w:rPr>
          <w:rFonts w:hint="eastAsia" w:ascii="宋体" w:hAnsi="宋体"/>
          <w:szCs w:val="21"/>
        </w:rPr>
        <w:t>：</w:t>
      </w:r>
    </w:p>
    <w:p>
      <w:pPr>
        <w:numPr>
          <w:ilvl w:val="0"/>
          <w:numId w:val="4"/>
        </w:numPr>
        <w:rPr>
          <w:rFonts w:ascii="宋体" w:hAnsi="宋体"/>
          <w:szCs w:val="21"/>
        </w:rPr>
      </w:pPr>
      <w:r>
        <w:rPr>
          <w:rFonts w:hint="eastAsia" w:ascii="宋体" w:hAnsi="宋体" w:cs="宋体"/>
          <w:kern w:val="0"/>
          <w:szCs w:val="21"/>
        </w:rPr>
        <w:t>□</w:t>
      </w:r>
      <w:r>
        <w:rPr>
          <w:rFonts w:hint="eastAsia" w:ascii="宋体" w:hAnsi="宋体"/>
          <w:szCs w:val="21"/>
        </w:rPr>
        <w:t>勘察资质单位：</w:t>
      </w:r>
    </w:p>
    <w:p>
      <w:pPr>
        <w:ind w:left="440" w:leftChars="200" w:firstLine="440" w:firstLineChars="200"/>
        <w:rPr>
          <w:rFonts w:ascii="宋体" w:hAnsi="宋体" w:cs="Courier New"/>
          <w:kern w:val="0"/>
          <w:szCs w:val="21"/>
        </w:rPr>
      </w:pPr>
      <w:r>
        <w:rPr>
          <w:rFonts w:hint="eastAsia" w:ascii="宋体" w:hAnsi="宋体" w:cs="宋体"/>
          <w:kern w:val="0"/>
          <w:szCs w:val="21"/>
        </w:rPr>
        <w:t>○无；</w:t>
      </w:r>
    </w:p>
    <w:p>
      <w:pPr>
        <w:ind w:left="880" w:leftChars="400"/>
        <w:rPr>
          <w:rFonts w:ascii="宋体" w:hAnsi="宋体"/>
          <w:szCs w:val="21"/>
        </w:rPr>
      </w:pPr>
      <w:r>
        <w:rPr>
          <w:rFonts w:hint="eastAsia" w:ascii="宋体" w:hAnsi="宋体" w:cs="宋体"/>
          <w:kern w:val="0"/>
          <w:szCs w:val="21"/>
        </w:rPr>
        <w:t>○</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日至投标截止时间（不少于3年），</w:t>
      </w:r>
      <w:r>
        <w:rPr>
          <w:rFonts w:hint="eastAsia" w:ascii="宋体" w:hAnsi="宋体"/>
          <w:szCs w:val="21"/>
          <w:u w:val="single"/>
        </w:rPr>
        <w:t>□已完成□已完成或正在勘察或新承接</w:t>
      </w:r>
      <w:r>
        <w:rPr>
          <w:rFonts w:hint="eastAsia" w:ascii="宋体" w:hAnsi="宋体"/>
          <w:szCs w:val="21"/>
        </w:rPr>
        <w:t>的项目共不少于个（1至3个）类似工程业绩。</w:t>
      </w:r>
    </w:p>
    <w:p>
      <w:pPr>
        <w:ind w:left="440" w:leftChars="200" w:firstLine="440" w:firstLineChars="200"/>
        <w:rPr>
          <w:rFonts w:ascii="宋体" w:hAnsi="宋体"/>
          <w:szCs w:val="21"/>
        </w:rPr>
      </w:pPr>
      <w:r>
        <w:rPr>
          <w:rFonts w:hint="eastAsia" w:ascii="宋体" w:hAnsi="宋体"/>
          <w:szCs w:val="21"/>
        </w:rPr>
        <w:t>类似工程业绩是指: ；</w:t>
      </w:r>
    </w:p>
    <w:p>
      <w:pPr>
        <w:numPr>
          <w:ilvl w:val="0"/>
          <w:numId w:val="4"/>
        </w:numPr>
        <w:rPr>
          <w:rFonts w:ascii="宋体" w:hAnsi="宋体"/>
          <w:szCs w:val="21"/>
        </w:rPr>
      </w:pPr>
      <w:r>
        <w:rPr>
          <w:rFonts w:hint="eastAsia" w:ascii="宋体" w:hAnsi="宋体" w:cs="宋体"/>
          <w:kern w:val="0"/>
          <w:szCs w:val="21"/>
        </w:rPr>
        <w:t>□</w:t>
      </w:r>
      <w:r>
        <w:rPr>
          <w:rFonts w:hint="eastAsia" w:ascii="宋体" w:hAnsi="宋体"/>
          <w:szCs w:val="21"/>
        </w:rPr>
        <w:t>设计资质单位：</w:t>
      </w:r>
    </w:p>
    <w:p>
      <w:pPr>
        <w:ind w:left="440" w:leftChars="200" w:firstLine="440" w:firstLineChars="200"/>
        <w:rPr>
          <w:rFonts w:ascii="宋体" w:hAnsi="宋体" w:cs="Courier New"/>
          <w:kern w:val="0"/>
          <w:szCs w:val="21"/>
        </w:rPr>
      </w:pPr>
      <w:r>
        <w:rPr>
          <w:rFonts w:hint="eastAsia" w:ascii="宋体" w:hAnsi="宋体" w:cs="宋体"/>
          <w:kern w:val="0"/>
          <w:szCs w:val="21"/>
        </w:rPr>
        <w:t>○无；</w:t>
      </w:r>
    </w:p>
    <w:p>
      <w:pPr>
        <w:ind w:left="880" w:leftChars="400"/>
        <w:rPr>
          <w:rFonts w:ascii="宋体" w:hAnsi="宋体"/>
          <w:szCs w:val="21"/>
        </w:rPr>
      </w:pPr>
      <w:r>
        <w:rPr>
          <w:rFonts w:hint="eastAsia" w:ascii="宋体" w:hAnsi="宋体" w:cs="宋体"/>
          <w:kern w:val="0"/>
          <w:szCs w:val="21"/>
        </w:rPr>
        <w:t>○</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日至投标截止时间（不少于3年），</w:t>
      </w:r>
      <w:r>
        <w:rPr>
          <w:rFonts w:hint="eastAsia" w:ascii="宋体" w:hAnsi="宋体"/>
          <w:szCs w:val="21"/>
          <w:u w:val="single"/>
        </w:rPr>
        <w:t>□已完成□已完成或正在设计或新承接</w:t>
      </w:r>
      <w:r>
        <w:rPr>
          <w:rFonts w:hint="eastAsia" w:ascii="宋体" w:hAnsi="宋体"/>
          <w:szCs w:val="21"/>
        </w:rPr>
        <w:t>的项目共不少于个（1至3个）类似工程业绩。</w:t>
      </w:r>
    </w:p>
    <w:p>
      <w:pPr>
        <w:ind w:left="440" w:leftChars="200" w:firstLine="440" w:firstLineChars="200"/>
        <w:rPr>
          <w:rFonts w:ascii="宋体" w:hAnsi="宋体"/>
          <w:szCs w:val="21"/>
        </w:rPr>
      </w:pPr>
      <w:r>
        <w:rPr>
          <w:rFonts w:hint="eastAsia" w:ascii="宋体" w:hAnsi="宋体"/>
          <w:szCs w:val="21"/>
        </w:rPr>
        <w:t>类似工程业绩是指: ；</w:t>
      </w:r>
    </w:p>
    <w:p>
      <w:pPr>
        <w:numPr>
          <w:ilvl w:val="0"/>
          <w:numId w:val="4"/>
        </w:numPr>
        <w:rPr>
          <w:rFonts w:ascii="宋体" w:hAnsi="宋体"/>
          <w:szCs w:val="21"/>
        </w:rPr>
      </w:pPr>
      <w:r>
        <w:rPr>
          <w:rFonts w:hint="eastAsia" w:ascii="宋体" w:hAnsi="宋体" w:cs="宋体"/>
          <w:kern w:val="0"/>
          <w:szCs w:val="21"/>
        </w:rPr>
        <w:t>□</w:t>
      </w:r>
      <w:r>
        <w:rPr>
          <w:rFonts w:hint="eastAsia" w:ascii="宋体" w:hAnsi="宋体"/>
          <w:szCs w:val="21"/>
        </w:rPr>
        <w:t>施工资质单位：</w:t>
      </w:r>
    </w:p>
    <w:p>
      <w:pPr>
        <w:ind w:left="440" w:leftChars="200" w:firstLine="440" w:firstLineChars="200"/>
        <w:rPr>
          <w:rFonts w:ascii="宋体" w:hAnsi="宋体" w:cs="Courier New"/>
          <w:kern w:val="0"/>
          <w:szCs w:val="21"/>
        </w:rPr>
      </w:pPr>
      <w:r>
        <w:rPr>
          <w:rFonts w:hint="eastAsia" w:ascii="宋体" w:hAnsi="宋体" w:cs="宋体"/>
          <w:kern w:val="0"/>
          <w:szCs w:val="21"/>
        </w:rPr>
        <w:t>○无；</w:t>
      </w:r>
    </w:p>
    <w:p>
      <w:pPr>
        <w:ind w:left="880" w:leftChars="400"/>
        <w:rPr>
          <w:rFonts w:ascii="宋体" w:hAnsi="宋体"/>
          <w:szCs w:val="21"/>
        </w:rPr>
      </w:pPr>
      <w:r>
        <w:rPr>
          <w:rFonts w:hint="eastAsia" w:ascii="宋体" w:hAnsi="宋体" w:cs="宋体"/>
          <w:kern w:val="0"/>
          <w:szCs w:val="21"/>
        </w:rPr>
        <w:t>○</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日至投标截止时间（不少于3年），</w:t>
      </w:r>
      <w:r>
        <w:rPr>
          <w:rFonts w:hint="eastAsia" w:ascii="宋体" w:hAnsi="宋体"/>
          <w:szCs w:val="21"/>
          <w:u w:val="single"/>
        </w:rPr>
        <w:t>□已完成□已完成或正在施工或新承接</w:t>
      </w:r>
      <w:r>
        <w:rPr>
          <w:rFonts w:hint="eastAsia" w:ascii="宋体" w:hAnsi="宋体"/>
          <w:szCs w:val="21"/>
        </w:rPr>
        <w:t>的项目共不少于个（1至3个）类似工程业绩。</w:t>
      </w:r>
    </w:p>
    <w:p>
      <w:pPr>
        <w:ind w:left="880" w:leftChars="400"/>
        <w:rPr>
          <w:rFonts w:ascii="宋体" w:hAnsi="宋体"/>
          <w:szCs w:val="21"/>
        </w:rPr>
      </w:pPr>
      <w:r>
        <w:rPr>
          <w:rFonts w:hint="eastAsia" w:ascii="宋体" w:hAnsi="宋体"/>
          <w:szCs w:val="21"/>
        </w:rPr>
        <w:t>类似工程业绩是指: ；</w:t>
      </w:r>
    </w:p>
    <w:p>
      <w:pPr>
        <w:ind w:firstLine="440" w:firstLineChars="200"/>
        <w:rPr>
          <w:rFonts w:ascii="宋体" w:hAnsi="宋体"/>
          <w:szCs w:val="21"/>
        </w:rPr>
      </w:pPr>
      <w:r>
        <w:rPr>
          <w:rFonts w:ascii="宋体" w:hAnsi="宋体"/>
          <w:szCs w:val="21"/>
        </w:rPr>
        <w:t>3.2本次招标</w:t>
      </w:r>
      <w:r>
        <w:rPr>
          <w:rFonts w:hint="eastAsia" w:ascii="宋体" w:hAnsi="宋体" w:cs="Arial"/>
          <w:szCs w:val="21"/>
        </w:rPr>
        <w:t>接受</w:t>
      </w:r>
      <w:r>
        <w:rPr>
          <w:rFonts w:ascii="宋体" w:hAnsi="宋体"/>
          <w:szCs w:val="21"/>
        </w:rPr>
        <w:t>联合体投标。</w:t>
      </w:r>
    </w:p>
    <w:p>
      <w:pPr>
        <w:ind w:left="880" w:leftChars="400"/>
        <w:rPr>
          <w:rFonts w:ascii="宋体" w:hAnsi="宋体"/>
          <w:szCs w:val="21"/>
        </w:rPr>
      </w:pPr>
      <w:r>
        <w:rPr>
          <w:rFonts w:hint="eastAsia" w:ascii="宋体" w:hAnsi="宋体"/>
          <w:szCs w:val="21"/>
        </w:rPr>
        <w:t>联合体投标的，联合体牵头人应为</w:t>
      </w:r>
      <w:r>
        <w:rPr>
          <w:rFonts w:hint="eastAsia" w:ascii="宋体" w:hAnsi="宋体" w:cs="宋体"/>
          <w:kern w:val="0"/>
          <w:szCs w:val="21"/>
        </w:rPr>
        <w:t>○</w:t>
      </w:r>
      <w:r>
        <w:rPr>
          <w:rFonts w:hint="eastAsia" w:ascii="宋体" w:hAnsi="宋体"/>
          <w:szCs w:val="21"/>
        </w:rPr>
        <w:t>设计单位</w:t>
      </w:r>
      <w:r>
        <w:rPr>
          <w:rFonts w:hint="eastAsia" w:ascii="宋体" w:hAnsi="宋体" w:cs="宋体"/>
          <w:kern w:val="0"/>
          <w:szCs w:val="21"/>
        </w:rPr>
        <w:t>○</w:t>
      </w:r>
      <w:r>
        <w:rPr>
          <w:rFonts w:hint="eastAsia" w:ascii="宋体" w:hAnsi="宋体"/>
          <w:szCs w:val="21"/>
        </w:rPr>
        <w:t>施工单位应满足下列要求：须具有资质的单位作为联合体牵头人。联合体成员</w:t>
      </w:r>
      <w:r>
        <w:rPr>
          <w:rFonts w:hint="eastAsia" w:ascii="宋体" w:hAnsi="宋体" w:cs="Arial"/>
          <w:szCs w:val="21"/>
        </w:rPr>
        <w:t>（含联合体牵头人）</w:t>
      </w:r>
      <w:r>
        <w:rPr>
          <w:rFonts w:hint="eastAsia" w:ascii="宋体" w:hAnsi="宋体"/>
          <w:szCs w:val="21"/>
        </w:rPr>
        <w:t>家数须不超过家。</w:t>
      </w:r>
    </w:p>
    <w:p>
      <w:pPr>
        <w:ind w:left="880" w:leftChars="400"/>
        <w:rPr>
          <w:rFonts w:ascii="宋体" w:hAnsi="宋体"/>
          <w:szCs w:val="21"/>
        </w:rPr>
      </w:pPr>
      <w:r>
        <w:rPr>
          <w:rFonts w:hint="eastAsia" w:ascii="宋体" w:hAnsi="宋体"/>
          <w:szCs w:val="21"/>
        </w:rPr>
        <w:t>联合体需符合有关联合体投标的规定和要求，并提交了联合体协议，明确联合体牵头人和各方权利义务。</w:t>
      </w:r>
    </w:p>
    <w:p>
      <w:pPr>
        <w:ind w:firstLine="330" w:firstLineChars="150"/>
        <w:rPr>
          <w:rFonts w:ascii="宋体" w:hAnsi="宋体" w:cs="Arial"/>
          <w:kern w:val="0"/>
          <w:szCs w:val="21"/>
        </w:rPr>
      </w:pPr>
      <w:r>
        <w:rPr>
          <w:rFonts w:hint="eastAsia" w:ascii="宋体" w:hAnsi="宋体" w:cs="Arial"/>
          <w:kern w:val="0"/>
          <w:szCs w:val="21"/>
        </w:rPr>
        <w:t>3.3 各投标人均可就上述（具体数量）个标段投标，可中标的标段数量为（具体数量）个。</w:t>
      </w:r>
    </w:p>
    <w:p>
      <w:pPr>
        <w:spacing w:before="36"/>
        <w:ind w:left="102" w:right="145" w:firstLine="419"/>
        <w:rPr>
          <w:rFonts w:ascii="宋体" w:hAnsi="宋体" w:cs="宋体"/>
          <w:szCs w:val="21"/>
        </w:rPr>
      </w:pPr>
      <w:r>
        <w:rPr>
          <w:rFonts w:ascii="宋体" w:hAnsi="宋体" w:cs="宋体"/>
          <w:szCs w:val="21"/>
        </w:rPr>
        <w:t>3.3 各投标人均可就上述</w:t>
      </w:r>
      <w:r>
        <w:rPr>
          <w:rFonts w:ascii="宋体" w:hAnsi="宋体" w:cs="宋体"/>
          <w:szCs w:val="21"/>
          <w:u w:val="single"/>
        </w:rPr>
        <w:t xml:space="preserve">    </w:t>
      </w:r>
      <w:r>
        <w:rPr>
          <w:rFonts w:ascii="宋体" w:hAnsi="宋体" w:cs="宋体"/>
          <w:spacing w:val="-3"/>
          <w:szCs w:val="21"/>
        </w:rPr>
        <w:t>（具体数量）个标段投标，可中标的标段数量为</w:t>
      </w:r>
      <w:r>
        <w:rPr>
          <w:rFonts w:ascii="宋体" w:hAnsi="宋体" w:cs="宋体"/>
          <w:spacing w:val="-3"/>
          <w:szCs w:val="21"/>
          <w:u w:val="single"/>
        </w:rPr>
        <w:t xml:space="preserve"> </w:t>
      </w:r>
      <w:r>
        <w:rPr>
          <w:rFonts w:ascii="宋体" w:hAnsi="宋体" w:cs="宋体"/>
          <w:spacing w:val="54"/>
          <w:szCs w:val="21"/>
          <w:u w:val="single"/>
        </w:rPr>
        <w:t xml:space="preserve"> </w:t>
      </w:r>
      <w:r>
        <w:rPr>
          <w:rFonts w:ascii="宋体" w:hAnsi="宋体" w:cs="宋体"/>
          <w:szCs w:val="21"/>
        </w:rPr>
        <w:t xml:space="preserve">（具体数量）个。 </w:t>
      </w:r>
    </w:p>
    <w:p>
      <w:pPr>
        <w:spacing w:before="36"/>
        <w:ind w:left="416" w:right="145" w:firstLine="110" w:firstLineChars="50"/>
        <w:rPr>
          <w:rFonts w:ascii="宋体" w:hAnsi="宋体" w:cs="宋体"/>
          <w:szCs w:val="21"/>
        </w:rPr>
      </w:pPr>
      <w:r>
        <w:rPr>
          <w:rFonts w:hint="eastAsia" w:ascii="宋体" w:hAnsi="宋体" w:cs="宋体"/>
          <w:szCs w:val="21"/>
        </w:rPr>
        <w:t>□</w:t>
      </w:r>
      <w:r>
        <w:rPr>
          <w:rFonts w:ascii="宋体" w:hAnsi="宋体" w:cs="宋体"/>
          <w:szCs w:val="21"/>
        </w:rPr>
        <w:t xml:space="preserve">如投标人同时在两个及两个以上标段中排名第一，选择中标标段的原则为：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hint="eastAsia" w:ascii="宋体" w:hAnsi="宋体" w:cs="宋体"/>
          <w:szCs w:val="21"/>
        </w:rPr>
        <w:t>。</w:t>
      </w:r>
      <w:r>
        <w:rPr>
          <w:rFonts w:ascii="宋体" w:hAnsi="宋体" w:cs="宋体"/>
          <w:szCs w:val="21"/>
        </w:rPr>
        <w:t xml:space="preserve">  </w:t>
      </w:r>
    </w:p>
    <w:p>
      <w:pPr>
        <w:spacing w:before="36"/>
        <w:ind w:left="102" w:right="145" w:firstLine="419"/>
        <w:rPr>
          <w:rFonts w:ascii="宋体" w:hAnsi="宋体" w:cs="宋体"/>
          <w:szCs w:val="21"/>
        </w:rPr>
      </w:pPr>
      <w:r>
        <w:rPr>
          <w:rFonts w:hint="eastAsia" w:ascii="宋体" w:hAnsi="宋体" w:cs="宋体"/>
          <w:szCs w:val="21"/>
        </w:rPr>
        <w:t>3.4投标人须根据《成都市工程建设招标投标从业单位信用信息管理实施办法》取得相应类别的从业单位信用等级（得分）评价结果；未取得的，其信用得分为0分。从业单位信用等级（得分）评价结果，以成都市公共资源电子交易云平台开标当日（9时后）从成都市工程建设招标投标招标投标行政监督平台上</w:t>
      </w:r>
      <w:r>
        <w:rPr>
          <w:rFonts w:hint="eastAsia" w:asciiTheme="minorEastAsia" w:hAnsiTheme="minorEastAsia"/>
        </w:rPr>
        <w:t>（</w:t>
      </w:r>
      <w:r>
        <w:rPr>
          <w:rFonts w:asciiTheme="minorEastAsia" w:hAnsiTheme="minorEastAsia"/>
        </w:rPr>
        <w:t>http://cbs.chengdu.com.cn/</w:t>
      </w:r>
      <w:r>
        <w:rPr>
          <w:rFonts w:hint="eastAsia" w:asciiTheme="minorEastAsia" w:hAnsiTheme="minorEastAsia"/>
        </w:rPr>
        <w:t>）</w:t>
      </w:r>
      <w:r>
        <w:rPr>
          <w:rFonts w:hint="eastAsia" w:ascii="宋体" w:hAnsi="宋体" w:cs="宋体"/>
          <w:szCs w:val="21"/>
        </w:rPr>
        <w:t>获取的结果为准并自动关联到《投标情况公示表》。（勘察单位除外）</w:t>
      </w:r>
    </w:p>
    <w:p>
      <w:pPr>
        <w:spacing w:before="10"/>
        <w:rPr>
          <w:u w:val="single"/>
        </w:rPr>
      </w:pPr>
      <w:r>
        <w:rPr>
          <w:rFonts w:asciiTheme="minorEastAsia" w:hAnsiTheme="minorEastAsia"/>
          <w:szCs w:val="21"/>
        </w:rPr>
        <w:t>□</w:t>
      </w:r>
      <w:r>
        <w:rPr>
          <w:rFonts w:hint="eastAsia" w:asciiTheme="minorEastAsia" w:hAnsiTheme="minorEastAsia"/>
        </w:rPr>
        <w:t>从业单位信用等级（得分）</w:t>
      </w:r>
      <w:r>
        <w:rPr>
          <w:rFonts w:hint="eastAsia"/>
        </w:rPr>
        <w:t>按照成都市工程建设招标投标招标投标行政监督平台专业类别为：</w:t>
      </w:r>
      <w:r>
        <w:rPr>
          <w:rFonts w:hint="eastAsia"/>
          <w:u w:val="single"/>
        </w:rPr>
        <w:t xml:space="preserve">                         </w:t>
      </w:r>
      <w:r>
        <w:rPr>
          <w:rFonts w:hint="eastAsia"/>
        </w:rPr>
        <w:t>行业</w:t>
      </w:r>
      <w:r>
        <w:rPr>
          <w:rFonts w:hint="eastAsia"/>
          <w:u w:val="single"/>
        </w:rPr>
        <w:t xml:space="preserve">               </w:t>
      </w:r>
      <w:r>
        <w:rPr>
          <w:rFonts w:hint="eastAsia"/>
        </w:rPr>
        <w:t>分类。</w:t>
      </w:r>
    </w:p>
    <w:tbl>
      <w:tblPr>
        <w:tblStyle w:val="16"/>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4678"/>
        <w:gridCol w:w="2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tcPr>
          <w:p>
            <w:pPr>
              <w:pStyle w:val="2"/>
              <w:ind w:left="0"/>
              <w:jc w:val="center"/>
              <w:rPr>
                <w:rFonts w:cs="Times New Roman"/>
              </w:rPr>
            </w:pPr>
            <w:r>
              <w:rPr>
                <w:rFonts w:hint="eastAsia" w:cs="Times New Roman"/>
              </w:rPr>
              <w:t>序号</w:t>
            </w:r>
          </w:p>
        </w:tc>
        <w:tc>
          <w:tcPr>
            <w:tcW w:w="4678" w:type="dxa"/>
          </w:tcPr>
          <w:p>
            <w:pPr>
              <w:pStyle w:val="2"/>
              <w:ind w:left="0"/>
              <w:jc w:val="center"/>
              <w:rPr>
                <w:rFonts w:cs="Times New Roman"/>
              </w:rPr>
            </w:pPr>
            <w:r>
              <w:rPr>
                <w:rFonts w:hint="eastAsia" w:cs="Times New Roman"/>
              </w:rPr>
              <w:t>行业</w:t>
            </w:r>
          </w:p>
        </w:tc>
        <w:tc>
          <w:tcPr>
            <w:tcW w:w="2878" w:type="dxa"/>
          </w:tcPr>
          <w:p>
            <w:pPr>
              <w:pStyle w:val="2"/>
              <w:ind w:left="0"/>
              <w:jc w:val="center"/>
              <w:rPr>
                <w:rFonts w:cs="Times New Roman"/>
              </w:rPr>
            </w:pPr>
            <w:r>
              <w:rPr>
                <w:rFonts w:hint="eastAsia" w:cs="Times New Roman"/>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1" w:type="dxa"/>
            <w:gridSpan w:val="3"/>
          </w:tcPr>
          <w:p>
            <w:pPr>
              <w:pStyle w:val="2"/>
              <w:ind w:left="0"/>
              <w:jc w:val="center"/>
              <w:rPr>
                <w:rFonts w:cs="Times New Roman"/>
              </w:rPr>
            </w:pPr>
            <w:r>
              <w:rPr>
                <w:rFonts w:cs="Times New Roman"/>
              </w:rPr>
              <w:t>（电力工程暂不适用）</w:t>
            </w:r>
          </w:p>
        </w:tc>
      </w:tr>
    </w:tbl>
    <w:p>
      <w:pPr>
        <w:spacing w:before="36"/>
        <w:ind w:left="102" w:right="145" w:firstLine="419"/>
        <w:rPr>
          <w:rFonts w:ascii="宋体" w:hAnsi="宋体"/>
          <w:szCs w:val="21"/>
        </w:rPr>
      </w:pPr>
      <w:r>
        <w:rPr>
          <w:rFonts w:hint="eastAsia" w:ascii="宋体" w:hAnsi="宋体" w:cs="宋体"/>
          <w:szCs w:val="21"/>
        </w:rPr>
        <w:t>3.5 资质要求为单个资质的，投标人最终信用得分为：与资质要求对应的信用类别开标当日信用评价得分；资质要求为多个资质的，投标人最终信用得分为：与资质要求对应的信用类别开标当日信用评价得分中的最低分；联合体投标的，投标人最终信用得分为：联合体成员在本项目中对应的信用类别（以联合体协议约定为准）开标当日信用评价得分中的最低分。开标当日成都市公共资源电子交易云平台获取的联合体成</w:t>
      </w:r>
      <w:r>
        <w:rPr>
          <w:rFonts w:hint="eastAsia" w:ascii="宋体" w:hAnsi="宋体"/>
          <w:szCs w:val="21"/>
        </w:rPr>
        <w:t>员的信用类别，须与联合体协议约定一致；不一致的，联合体投标人的最终信用得分为0分。</w:t>
      </w:r>
      <w:r>
        <w:rPr>
          <w:rFonts w:hint="eastAsia" w:ascii="宋体" w:hAnsi="宋体" w:cs="宋体"/>
          <w:szCs w:val="21"/>
        </w:rPr>
        <w:t>（勘察单位除外）</w:t>
      </w:r>
    </w:p>
    <w:p>
      <w:pPr>
        <w:rPr>
          <w:rFonts w:ascii="宋体" w:hAnsi="宋体" w:cs="Courier New"/>
          <w:szCs w:val="21"/>
        </w:rPr>
      </w:pPr>
      <w:r>
        <w:rPr>
          <w:rFonts w:ascii="宋体" w:hAnsi="宋体" w:cs="Courier New"/>
          <w:b/>
          <w:szCs w:val="21"/>
        </w:rPr>
        <w:t>4．招标文件的获取</w:t>
      </w:r>
    </w:p>
    <w:p>
      <w:pPr>
        <w:ind w:firstLine="440" w:firstLineChars="200"/>
        <w:rPr>
          <w:rFonts w:ascii="宋体" w:hAnsi="宋体" w:cs="Arial"/>
          <w:szCs w:val="21"/>
        </w:rPr>
      </w:pPr>
      <w:r>
        <w:rPr>
          <w:rFonts w:ascii="宋体" w:hAnsi="宋体"/>
          <w:szCs w:val="21"/>
        </w:rPr>
        <w:t>4.1</w:t>
      </w:r>
      <w:r>
        <w:rPr>
          <w:rFonts w:hint="eastAsia" w:ascii="宋体" w:hAnsi="宋体" w:cs="宋体"/>
          <w:szCs w:val="21"/>
        </w:rPr>
        <w:t>凡有意参加投标者，请于年月日起，在成都市公共资源电子交易云平台(www.cdggzy.com）（以下简称“电子交易云平台”）免费下载招标资料（招标文件及相关资料），获得“拟投标项目回执”。</w:t>
      </w:r>
    </w:p>
    <w:p>
      <w:pPr>
        <w:widowControl/>
        <w:ind w:firstLine="440" w:firstLineChars="200"/>
        <w:rPr>
          <w:rFonts w:ascii="宋体" w:hAnsi="宋体" w:cs="Arial"/>
          <w:kern w:val="0"/>
          <w:szCs w:val="21"/>
        </w:rPr>
      </w:pPr>
      <w:r>
        <w:rPr>
          <w:rFonts w:hint="eastAsia" w:ascii="宋体" w:hAnsi="宋体" w:cs="Arial"/>
          <w:szCs w:val="21"/>
        </w:rPr>
        <w:t>4.2</w:t>
      </w:r>
      <w:r>
        <w:rPr>
          <w:rFonts w:hint="eastAsia" w:ascii="宋体" w:hAnsi="宋体" w:cs="Arial"/>
          <w:kern w:val="0"/>
          <w:szCs w:val="21"/>
        </w:rPr>
        <w:t>招标人</w:t>
      </w:r>
      <w:r>
        <w:rPr>
          <w:rFonts w:ascii="宋体" w:hAnsi="宋体" w:cs="Arial"/>
          <w:kern w:val="0"/>
          <w:szCs w:val="21"/>
          <w:u w:val="single"/>
        </w:rPr>
        <w:t>不提供</w:t>
      </w:r>
      <w:r>
        <w:rPr>
          <w:rFonts w:hint="eastAsia" w:ascii="宋体" w:hAnsi="宋体" w:cs="Arial"/>
          <w:kern w:val="0"/>
          <w:szCs w:val="21"/>
        </w:rPr>
        <w:t>邮购招标文件服务。</w:t>
      </w:r>
    </w:p>
    <w:p>
      <w:pPr>
        <w:rPr>
          <w:rFonts w:ascii="宋体" w:hAnsi="宋体"/>
          <w:b/>
          <w:szCs w:val="21"/>
        </w:rPr>
      </w:pPr>
      <w:r>
        <w:rPr>
          <w:rFonts w:ascii="宋体" w:hAnsi="宋体"/>
          <w:b/>
          <w:szCs w:val="21"/>
        </w:rPr>
        <w:t>5．投标文件的递交</w:t>
      </w:r>
    </w:p>
    <w:p>
      <w:pPr>
        <w:spacing w:before="201"/>
        <w:ind w:firstLine="444" w:firstLineChars="202"/>
        <w:rPr>
          <w:rFonts w:ascii="宋体" w:hAnsi="宋体" w:cs="宋体"/>
          <w:spacing w:val="-37"/>
          <w:szCs w:val="21"/>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Cs w:val="21"/>
        </w:rPr>
        <w:t>分中心</w:t>
      </w:r>
      <w:r>
        <w:rPr>
          <w:rFonts w:hint="eastAsia" w:ascii="宋体" w:hAnsi="宋体" w:cs="宋体"/>
          <w:szCs w:val="21"/>
          <w:u w:val="single"/>
        </w:rPr>
        <w:t xml:space="preserve">                           </w:t>
      </w:r>
      <w:r>
        <w:rPr>
          <w:rFonts w:hint="eastAsia" w:ascii="宋体" w:hAnsi="宋体" w:cs="宋体"/>
          <w:szCs w:val="21"/>
        </w:rPr>
        <w:t>。</w:t>
      </w:r>
    </w:p>
    <w:p>
      <w:pPr>
        <w:ind w:firstLine="41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ind w:firstLine="440" w:firstLineChars="200"/>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416"/>
        <w:rPr>
          <w:rFonts w:ascii="宋体" w:hAnsi="宋体"/>
        </w:rPr>
      </w:pPr>
      <w:r>
        <w:rPr>
          <w:rFonts w:ascii="宋体" w:hAnsi="宋体"/>
          <w:szCs w:val="21"/>
        </w:rPr>
        <w:t xml:space="preserve">5.2 </w:t>
      </w:r>
      <w:r>
        <w:rPr>
          <w:rFonts w:hint="eastAsia" w:ascii="宋体" w:hAnsi="宋体"/>
          <w:szCs w:val="21"/>
        </w:rPr>
        <w:t>投标人应在解密开始后30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ind w:firstLine="416"/>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 </w:t>
      </w:r>
      <w:r>
        <w:rPr>
          <w:rFonts w:hint="eastAsia" w:ascii="宋体" w:hAnsi="宋体"/>
        </w:rPr>
        <w:t>投标人应充分考虑上传文件的不可预见因素，未在投标截止时间前完成上传的，在投标截止时间后将无法上传。</w:t>
      </w:r>
    </w:p>
    <w:p>
      <w:pPr>
        <w:rPr>
          <w:rFonts w:ascii="宋体" w:hAnsi="宋体"/>
          <w:b/>
          <w:szCs w:val="32"/>
        </w:rPr>
      </w:pPr>
      <w:r>
        <w:rPr>
          <w:rFonts w:hint="eastAsia" w:ascii="宋体" w:hAnsi="宋体"/>
          <w:b/>
          <w:szCs w:val="32"/>
        </w:rPr>
        <w:t>6．应邀确认</w:t>
      </w:r>
    </w:p>
    <w:p>
      <w:pPr>
        <w:ind w:firstLine="480"/>
        <w:rPr>
          <w:rFonts w:ascii="宋体" w:hAnsi="宋体" w:cs="宋体"/>
          <w:szCs w:val="21"/>
        </w:rPr>
      </w:pPr>
      <w:r>
        <w:rPr>
          <w:rFonts w:hint="eastAsia" w:ascii="宋体" w:hAnsi="宋体"/>
          <w:sz w:val="24"/>
        </w:rPr>
        <w:t>你单位收到本邀请书后，请于</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hint="eastAsia" w:ascii="宋体" w:hAnsi="宋体"/>
          <w:sz w:val="24"/>
        </w:rPr>
        <w:t>年</w:t>
      </w:r>
      <w:r>
        <w:rPr>
          <w:rFonts w:hint="eastAsia" w:ascii="宋体" w:hAnsi="宋体"/>
          <w:b/>
          <w:sz w:val="24"/>
          <w:u w:val="single"/>
        </w:rPr>
        <w:t xml:space="preserve">   </w:t>
      </w:r>
      <w:r>
        <w:rPr>
          <w:rFonts w:hint="eastAsia" w:ascii="宋体" w:hAnsi="宋体"/>
          <w:sz w:val="24"/>
        </w:rPr>
        <w:t>月</w:t>
      </w:r>
      <w:r>
        <w:rPr>
          <w:rFonts w:hint="eastAsia" w:ascii="宋体" w:hAnsi="宋体"/>
          <w:b/>
          <w:sz w:val="24"/>
          <w:u w:val="single"/>
        </w:rPr>
        <w:t xml:space="preserve">   </w:t>
      </w:r>
      <w:r>
        <w:rPr>
          <w:rFonts w:hint="eastAsia" w:ascii="宋体" w:hAnsi="宋体"/>
          <w:sz w:val="24"/>
        </w:rPr>
        <w:t>日</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hint="eastAsia" w:ascii="宋体" w:hAnsi="宋体"/>
          <w:sz w:val="24"/>
        </w:rPr>
        <w:t>时前，以书面形式确认是否参加投标。在本邀请书规定的时间内未表示是否参加投标或明确表示不参加投标的，不得再参加投标。</w:t>
      </w:r>
    </w:p>
    <w:p>
      <w:pPr>
        <w:rPr>
          <w:rFonts w:ascii="宋体" w:hAnsi="宋体"/>
          <w:b/>
        </w:rPr>
      </w:pPr>
      <w:bookmarkStart w:id="8" w:name="_bookmark15"/>
      <w:bookmarkEnd w:id="8"/>
      <w:bookmarkStart w:id="9" w:name="_Toc68800050"/>
      <w:bookmarkStart w:id="10" w:name="_Toc68889598"/>
      <w:r>
        <w:rPr>
          <w:rFonts w:hint="eastAsia" w:ascii="宋体" w:hAnsi="宋体"/>
          <w:b/>
        </w:rPr>
        <w:t>7</w:t>
      </w:r>
      <w:r>
        <w:rPr>
          <w:rFonts w:ascii="宋体" w:hAnsi="宋体"/>
          <w:b/>
        </w:rPr>
        <w:t>. 联系方式</w:t>
      </w:r>
      <w:bookmarkEnd w:id="9"/>
      <w:bookmarkEnd w:id="10"/>
    </w:p>
    <w:p>
      <w:pPr>
        <w:topLinePunct/>
        <w:spacing w:line="400" w:lineRule="exact"/>
        <w:ind w:firstLine="440" w:firstLineChars="200"/>
        <w:rPr>
          <w:rFonts w:ascii="宋体" w:hAnsi="宋体"/>
          <w:szCs w:val="21"/>
        </w:rPr>
      </w:pPr>
      <w:r>
        <w:rPr>
          <w:rFonts w:ascii="宋体" w:hAnsi="宋体"/>
          <w:szCs w:val="21"/>
        </w:rPr>
        <w:t>招 标 人：</w:t>
      </w:r>
      <w:r>
        <w:rPr>
          <w:rFonts w:ascii="宋体" w:hAnsi="宋体"/>
          <w:szCs w:val="21"/>
          <w:u w:val="single"/>
        </w:rPr>
        <w:t xml:space="preserve">                         </w:t>
      </w:r>
      <w:r>
        <w:rPr>
          <w:rFonts w:ascii="宋体" w:hAnsi="宋体"/>
          <w:szCs w:val="21"/>
        </w:rPr>
        <w:t xml:space="preserve">         招标代理机构：</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地    址：</w:t>
      </w:r>
      <w:r>
        <w:rPr>
          <w:rFonts w:ascii="宋体" w:hAnsi="宋体"/>
          <w:szCs w:val="21"/>
          <w:u w:val="single"/>
        </w:rPr>
        <w:t xml:space="preserve">                         </w:t>
      </w:r>
      <w:r>
        <w:rPr>
          <w:rFonts w:ascii="宋体" w:hAnsi="宋体"/>
          <w:szCs w:val="21"/>
        </w:rPr>
        <w:t xml:space="preserve">  </w:t>
      </w:r>
      <w:r>
        <w:rPr>
          <w:rFonts w:ascii="宋体" w:hAnsi="宋体"/>
          <w:szCs w:val="21"/>
        </w:rPr>
        <w:tab/>
      </w:r>
      <w:r>
        <w:rPr>
          <w:rFonts w:ascii="宋体" w:hAnsi="宋体"/>
          <w:szCs w:val="21"/>
        </w:rPr>
        <w:t xml:space="preserve">    地    址：</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邮    编：</w:t>
      </w:r>
      <w:r>
        <w:rPr>
          <w:rFonts w:ascii="宋体" w:hAnsi="宋体"/>
          <w:szCs w:val="21"/>
          <w:u w:val="single"/>
        </w:rPr>
        <w:t xml:space="preserve">                         </w:t>
      </w:r>
      <w:r>
        <w:rPr>
          <w:rFonts w:ascii="宋体" w:hAnsi="宋体"/>
          <w:szCs w:val="21"/>
        </w:rPr>
        <w:t xml:space="preserve">         邮    编：</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联 系 人：</w:t>
      </w:r>
      <w:r>
        <w:rPr>
          <w:rFonts w:ascii="宋体" w:hAnsi="宋体"/>
          <w:szCs w:val="21"/>
          <w:u w:val="single"/>
        </w:rPr>
        <w:t xml:space="preserve">                         </w:t>
      </w:r>
      <w:r>
        <w:rPr>
          <w:rFonts w:ascii="宋体" w:hAnsi="宋体"/>
          <w:szCs w:val="21"/>
        </w:rPr>
        <w:t xml:space="preserve">         联 系 人：</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电    话：</w:t>
      </w:r>
      <w:r>
        <w:rPr>
          <w:rFonts w:ascii="宋体" w:hAnsi="宋体"/>
          <w:szCs w:val="21"/>
          <w:u w:val="single"/>
        </w:rPr>
        <w:t xml:space="preserve">                         </w:t>
      </w:r>
      <w:r>
        <w:rPr>
          <w:rFonts w:ascii="宋体" w:hAnsi="宋体"/>
          <w:szCs w:val="21"/>
        </w:rPr>
        <w:t xml:space="preserve">         电    话：</w:t>
      </w:r>
      <w:r>
        <w:rPr>
          <w:rFonts w:ascii="宋体" w:hAnsi="宋体"/>
          <w:szCs w:val="21"/>
          <w:u w:val="single"/>
        </w:rPr>
        <w:t xml:space="preserve">                       </w:t>
      </w:r>
    </w:p>
    <w:p>
      <w:pPr>
        <w:spacing w:line="400" w:lineRule="exact"/>
        <w:jc w:val="right"/>
        <w:rPr>
          <w:ins w:id="0" w:author="Chicago" w:date="2022-06-27T05:42:43Z"/>
          <w:rFonts w:ascii="宋体" w:hAnsi="宋体"/>
          <w:szCs w:val="21"/>
        </w:rPr>
      </w:pPr>
    </w:p>
    <w:p>
      <w:pPr>
        <w:pStyle w:val="2"/>
        <w:rPr>
          <w:ins w:id="1" w:author="Chicago" w:date="2022-06-27T05:42:43Z"/>
          <w:rFonts w:ascii="宋体" w:hAnsi="宋体"/>
          <w:szCs w:val="21"/>
        </w:rPr>
      </w:pPr>
    </w:p>
    <w:p>
      <w:pPr>
        <w:rPr>
          <w:rFonts w:ascii="仿宋" w:hAnsi="仿宋" w:eastAsia="仿宋"/>
        </w:rPr>
      </w:pPr>
      <w:bookmarkStart w:id="282" w:name="_GoBack"/>
      <w:bookmarkEnd w:id="282"/>
      <w:r>
        <w:rPr>
          <w:rFonts w:hint="eastAsia" w:ascii="仿宋" w:hAnsi="仿宋" w:eastAsia="仿宋"/>
        </w:rPr>
        <w:t>注：</w:t>
      </w:r>
    </w:p>
    <w:p>
      <w:pPr>
        <w:ind w:firstLine="440" w:firstLineChars="200"/>
        <w:rPr>
          <w:rFonts w:ascii="仿宋_GB2312" w:hAnsi="宋体" w:eastAsia="仿宋_GB2312"/>
          <w:szCs w:val="21"/>
        </w:rPr>
      </w:pPr>
      <w:r>
        <w:rPr>
          <w:rFonts w:hint="eastAsia" w:ascii="仿宋_GB2312" w:hAnsi="宋体" w:eastAsia="仿宋_GB2312"/>
          <w:szCs w:val="21"/>
        </w:rPr>
        <w:t>（1）项目名称、工程名称(工程量清单)约定为项目审批名称（以立项批复或可行性研究报告批复为准）。</w:t>
      </w:r>
    </w:p>
    <w:p>
      <w:pPr>
        <w:ind w:firstLine="405"/>
        <w:rPr>
          <w:rFonts w:ascii="仿宋_GB2312" w:hAnsi="宋体" w:eastAsia="仿宋_GB2312"/>
          <w:szCs w:val="21"/>
        </w:rPr>
      </w:pPr>
      <w:r>
        <w:rPr>
          <w:rFonts w:hint="eastAsia" w:ascii="仿宋_GB2312" w:hAnsi="宋体" w:eastAsia="仿宋_GB2312"/>
          <w:szCs w:val="21"/>
        </w:rPr>
        <w:t>（2）如未划分标段，“标段”填写为“</w:t>
      </w:r>
      <w:r>
        <w:rPr>
          <w:rFonts w:hint="eastAsia" w:ascii="仿宋_GB2312" w:hAnsi="宋体" w:eastAsia="仿宋_GB2312"/>
          <w:szCs w:val="21"/>
          <w:u w:val="single"/>
        </w:rPr>
        <w:t xml:space="preserve"> / </w:t>
      </w:r>
      <w:r>
        <w:rPr>
          <w:rFonts w:hint="eastAsia" w:ascii="仿宋_GB2312" w:hAnsi="宋体" w:eastAsia="仿宋_GB2312"/>
          <w:szCs w:val="21"/>
        </w:rPr>
        <w:t xml:space="preserve"> 标段”，如划分标段，则填写标段序号。</w:t>
      </w:r>
    </w:p>
    <w:p>
      <w:pPr>
        <w:ind w:firstLine="405"/>
        <w:rPr>
          <w:rFonts w:ascii="仿宋_GB2312" w:hAnsi="宋体" w:eastAsia="仿宋_GB2312"/>
          <w:szCs w:val="21"/>
        </w:rPr>
      </w:pPr>
      <w:r>
        <w:rPr>
          <w:rFonts w:hint="eastAsia" w:ascii="仿宋_GB2312" w:hAnsi="宋体" w:eastAsia="仿宋_GB2312"/>
          <w:szCs w:val="21"/>
        </w:rPr>
        <w:t>（3）“项目概况及招标范围”应明确本次招标的详细范围和内容；</w:t>
      </w:r>
    </w:p>
    <w:p>
      <w:pPr>
        <w:ind w:firstLine="405"/>
        <w:rPr>
          <w:rFonts w:ascii="仿宋_GB2312" w:hAnsi="宋体" w:eastAsia="仿宋_GB2312"/>
          <w:szCs w:val="21"/>
        </w:rPr>
      </w:pPr>
      <w:r>
        <w:rPr>
          <w:rFonts w:hint="eastAsia" w:ascii="仿宋_GB2312" w:hAnsi="宋体" w:eastAsia="仿宋_GB2312"/>
          <w:szCs w:val="21"/>
        </w:rPr>
        <w:t>（4）如划分为两个及以上标段，应分别明确各标段的的具体内容、划分情况以及招标控制价。</w:t>
      </w:r>
    </w:p>
    <w:p>
      <w:pPr>
        <w:ind w:firstLine="405"/>
        <w:rPr>
          <w:rFonts w:ascii="仿宋_GB2312" w:hAnsi="宋体" w:eastAsia="仿宋_GB2312"/>
          <w:szCs w:val="21"/>
        </w:rPr>
      </w:pPr>
      <w:r>
        <w:rPr>
          <w:rFonts w:hint="eastAsia" w:ascii="仿宋_GB2312" w:hAnsi="宋体" w:eastAsia="仿宋_GB2312"/>
          <w:szCs w:val="21"/>
        </w:rPr>
        <w:t>（5）招标人对投标人的资质要求，应是国家对投标人资质的强制性规定。不是国家规定的必须具备的资质，不得作为参加投标的条件，但园林绿化工程除外。</w:t>
      </w:r>
    </w:p>
    <w:p>
      <w:pPr>
        <w:ind w:firstLine="405"/>
        <w:rPr>
          <w:rFonts w:ascii="仿宋_GB2312" w:hAnsi="宋体" w:eastAsia="仿宋_GB2312"/>
          <w:szCs w:val="21"/>
        </w:rPr>
      </w:pPr>
      <w:r>
        <w:rPr>
          <w:rFonts w:hint="eastAsia" w:ascii="仿宋_GB2312" w:hAnsi="宋体" w:eastAsia="仿宋_GB2312"/>
          <w:szCs w:val="21"/>
        </w:rPr>
        <w:t>（6）</w:t>
      </w:r>
      <w:r>
        <w:rPr>
          <w:rFonts w:ascii="仿宋_GB2312" w:hAnsi="宋体" w:eastAsia="仿宋_GB2312"/>
          <w:szCs w:val="21"/>
        </w:rPr>
        <w:t>招标人设置的类似工程业绩指标仅限于工程规模、结构形式、施工工艺等方面，且应符合本次工程招标的内容。类似工程业绩中设置的投资额、面积、长度等规模性量化指标不得高于本次招标工程相应指标。类似工程业绩的时限限定在</w:t>
      </w:r>
      <w:r>
        <w:rPr>
          <w:rFonts w:hint="eastAsia" w:ascii="仿宋_GB2312" w:hAnsi="宋体" w:eastAsia="仿宋_GB2312"/>
          <w:szCs w:val="21"/>
        </w:rPr>
        <w:t>不少于3年</w:t>
      </w:r>
      <w:r>
        <w:rPr>
          <w:rFonts w:ascii="仿宋_GB2312" w:hAnsi="宋体" w:eastAsia="仿宋_GB2312"/>
          <w:szCs w:val="21"/>
        </w:rPr>
        <w:t>；类似工程业绩个数不得超过3个。</w:t>
      </w:r>
    </w:p>
    <w:p>
      <w:pPr>
        <w:ind w:firstLine="405"/>
        <w:rPr>
          <w:rFonts w:ascii="仿宋_GB2312" w:hAnsi="宋体" w:eastAsia="仿宋_GB2312"/>
          <w:szCs w:val="21"/>
        </w:rPr>
      </w:pPr>
      <w:r>
        <w:rPr>
          <w:rFonts w:hint="eastAsia" w:ascii="仿宋_GB2312" w:hAnsi="宋体" w:eastAsia="仿宋_GB2312"/>
          <w:szCs w:val="21"/>
        </w:rPr>
        <w:t>（7）招标人要求投标人须具备的资质一个项目（标段）为一个，因特殊情况 需要两个以上资质的，应允许（接受）投标人组成联合体投标，且不得限制联合 体成员数量小于资质类别数量。两个以上同一资质不同资质等级的单位实行联合共同承包的，联合体资质应符合法律法规的规定，并按照联合体协议约定的职责分工予以认定。</w:t>
      </w:r>
    </w:p>
    <w:p>
      <w:pPr>
        <w:rPr>
          <w:rFonts w:ascii="仿宋_GB2312" w:hAnsi="宋体" w:eastAsia="仿宋_GB2312"/>
          <w:szCs w:val="21"/>
        </w:rPr>
      </w:pPr>
      <w:r>
        <w:rPr>
          <w:rFonts w:hint="eastAsia" w:ascii="仿宋_GB2312" w:hAnsi="宋体" w:eastAsia="仿宋_GB2312"/>
          <w:szCs w:val="21"/>
        </w:rPr>
        <w:t>（8）投标人收到招标人发出的投标邀请书后，请于24小时内以传真或快递方式予以确认是否参加投标。</w:t>
      </w:r>
    </w:p>
    <w:p>
      <w:pPr>
        <w:widowControl/>
        <w:rPr>
          <w:rFonts w:ascii="仿宋_GB2312" w:hAnsi="宋体" w:eastAsia="仿宋_GB2312"/>
          <w:szCs w:val="21"/>
        </w:rPr>
      </w:pPr>
      <w:r>
        <w:rPr>
          <w:rFonts w:ascii="仿宋_GB2312" w:hAnsi="宋体" w:eastAsia="仿宋_GB2312"/>
          <w:szCs w:val="21"/>
        </w:rPr>
        <w:br w:type="page"/>
      </w:r>
    </w:p>
    <w:p>
      <w:pPr>
        <w:rPr>
          <w:rFonts w:ascii="宋体" w:hAnsi="宋体" w:cs="宋体"/>
          <w:sz w:val="24"/>
        </w:rPr>
      </w:pPr>
      <w:r>
        <w:rPr>
          <w:rFonts w:hint="eastAsia" w:ascii="宋体" w:hAnsi="宋体" w:cs="宋体"/>
          <w:sz w:val="24"/>
        </w:rPr>
        <w:t>附件：确认通知</w:t>
      </w:r>
    </w:p>
    <w:p>
      <w:pPr>
        <w:jc w:val="center"/>
        <w:rPr>
          <w:rFonts w:ascii="宋体" w:hAnsi="宋体" w:cs="宋体"/>
          <w:b/>
          <w:bCs/>
          <w:sz w:val="24"/>
        </w:rPr>
      </w:pPr>
    </w:p>
    <w:p>
      <w:pPr>
        <w:jc w:val="center"/>
        <w:rPr>
          <w:rFonts w:ascii="宋体" w:hAnsi="宋体" w:cs="宋体"/>
          <w:b/>
          <w:bCs/>
          <w:sz w:val="24"/>
        </w:rPr>
      </w:pPr>
      <w:bookmarkStart w:id="11" w:name="_Toc27914_WPSOffice_Level1"/>
      <w:r>
        <w:rPr>
          <w:rFonts w:hint="eastAsia" w:ascii="宋体" w:hAnsi="宋体" w:cs="宋体"/>
          <w:b/>
          <w:bCs/>
          <w:sz w:val="24"/>
        </w:rPr>
        <w:t>确认通知</w:t>
      </w:r>
      <w:bookmarkEnd w:id="11"/>
    </w:p>
    <w:p>
      <w:pPr>
        <w:jc w:val="center"/>
        <w:rPr>
          <w:rFonts w:ascii="宋体" w:hAnsi="宋体" w:cs="宋体"/>
          <w:b/>
          <w:bCs/>
          <w:sz w:val="24"/>
        </w:rPr>
      </w:pPr>
    </w:p>
    <w:p>
      <w:pPr>
        <w:rPr>
          <w:rFonts w:ascii="宋体" w:hAnsi="宋体" w:cs="宋体"/>
          <w:b/>
          <w:bCs/>
          <w:sz w:val="24"/>
        </w:rPr>
      </w:pPr>
      <w:r>
        <w:rPr>
          <w:rFonts w:hint="eastAsia" w:ascii="宋体" w:hAnsi="宋体" w:cs="宋体"/>
          <w:b/>
          <w:sz w:val="24"/>
        </w:rPr>
        <w:t>（招标人名称）：</w:t>
      </w:r>
    </w:p>
    <w:p>
      <w:pPr>
        <w:adjustRightInd w:val="0"/>
        <w:snapToGrid w:val="0"/>
        <w:rPr>
          <w:rFonts w:ascii="宋体" w:hAnsi="宋体" w:cs="宋体"/>
          <w:sz w:val="24"/>
        </w:rPr>
      </w:pPr>
    </w:p>
    <w:p>
      <w:pPr>
        <w:adjustRightInd w:val="0"/>
        <w:snapToGrid w:val="0"/>
        <w:ind w:firstLine="480" w:firstLineChars="200"/>
        <w:rPr>
          <w:rFonts w:ascii="宋体" w:hAnsi="宋体" w:cs="宋体"/>
          <w:sz w:val="24"/>
        </w:rPr>
      </w:pPr>
      <w:r>
        <w:rPr>
          <w:rFonts w:hint="eastAsia" w:ascii="宋体" w:hAnsi="宋体" w:cs="宋体"/>
          <w:sz w:val="24"/>
        </w:rPr>
        <w:t>我方已于</w:t>
      </w:r>
      <w:r>
        <w:rPr>
          <w:rFonts w:ascii="宋体" w:hAnsi="宋体" w:cs="宋体"/>
          <w:sz w:val="24"/>
          <w:u w:val="single"/>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 xml:space="preserve">  日收到你方年月日发出的</w:t>
      </w:r>
      <w:r>
        <w:rPr>
          <w:rFonts w:hint="eastAsia" w:ascii="宋体" w:hAnsi="宋体"/>
          <w:sz w:val="24"/>
        </w:rPr>
        <w:t>(项目名称)施工</w:t>
      </w:r>
      <w:r>
        <w:rPr>
          <w:rFonts w:hint="eastAsia" w:ascii="宋体" w:hAnsi="宋体" w:cs="宋体"/>
          <w:sz w:val="24"/>
        </w:rPr>
        <w:t>标段招标的投标邀请书，并确认</w:t>
      </w:r>
      <w:r>
        <w:rPr>
          <w:rFonts w:hint="eastAsia" w:ascii="宋体" w:hAnsi="宋体" w:cs="宋体"/>
          <w:bCs/>
          <w:sz w:val="24"/>
        </w:rPr>
        <w:t>（参加/不参加）投标</w:t>
      </w:r>
      <w:r>
        <w:rPr>
          <w:rFonts w:hint="eastAsia" w:ascii="宋体" w:hAnsi="宋体" w:cs="宋体"/>
          <w:sz w:val="24"/>
        </w:rPr>
        <w:t>。</w:t>
      </w:r>
    </w:p>
    <w:p>
      <w:pPr>
        <w:ind w:firstLine="480" w:firstLineChars="200"/>
        <w:rPr>
          <w:rFonts w:ascii="宋体" w:hAnsi="宋体" w:cs="宋体"/>
          <w:sz w:val="24"/>
        </w:rPr>
      </w:pPr>
      <w:r>
        <w:rPr>
          <w:rFonts w:hint="eastAsia" w:ascii="宋体" w:hAnsi="宋体" w:cs="宋体"/>
          <w:sz w:val="24"/>
        </w:rPr>
        <w:t>特此确认。</w:t>
      </w:r>
    </w:p>
    <w:p>
      <w:pPr>
        <w:ind w:firstLine="480" w:firstLineChars="200"/>
        <w:rPr>
          <w:rFonts w:ascii="宋体" w:hAnsi="宋体" w:cs="宋体"/>
          <w:sz w:val="24"/>
        </w:rPr>
      </w:pPr>
    </w:p>
    <w:p>
      <w:pPr>
        <w:ind w:firstLine="480" w:firstLineChars="200"/>
        <w:rPr>
          <w:rFonts w:ascii="宋体" w:hAnsi="宋体" w:cs="宋体"/>
          <w:sz w:val="24"/>
        </w:rPr>
      </w:pPr>
    </w:p>
    <w:p>
      <w:pPr>
        <w:ind w:firstLine="480" w:firstLineChars="200"/>
        <w:rPr>
          <w:rFonts w:ascii="宋体" w:hAnsi="宋体" w:cs="宋体"/>
          <w:sz w:val="24"/>
        </w:rPr>
      </w:pPr>
    </w:p>
    <w:p>
      <w:pPr>
        <w:adjustRightInd w:val="0"/>
        <w:snapToGrid w:val="0"/>
        <w:jc w:val="right"/>
        <w:rPr>
          <w:rFonts w:ascii="宋体" w:hAnsi="宋体"/>
          <w:bCs/>
          <w:sz w:val="24"/>
        </w:rPr>
      </w:pPr>
      <w:r>
        <w:rPr>
          <w:rFonts w:hint="eastAsia" w:ascii="宋体" w:hAnsi="宋体"/>
          <w:bCs/>
          <w:sz w:val="24"/>
        </w:rPr>
        <w:t>被邀请单位名称：</w:t>
      </w:r>
      <w:r>
        <w:rPr>
          <w:rFonts w:hint="eastAsia" w:ascii="宋体" w:hAnsi="宋体"/>
          <w:bCs/>
          <w:sz w:val="24"/>
          <w:u w:val="single"/>
        </w:rPr>
        <w:t xml:space="preserve">           </w:t>
      </w:r>
      <w:r>
        <w:rPr>
          <w:rFonts w:hint="eastAsia" w:ascii="宋体" w:hAnsi="宋体"/>
          <w:bCs/>
          <w:sz w:val="24"/>
        </w:rPr>
        <w:t>（盖 单 位章）</w:t>
      </w:r>
    </w:p>
    <w:p>
      <w:pPr>
        <w:adjustRightInd w:val="0"/>
        <w:snapToGrid w:val="0"/>
        <w:jc w:val="right"/>
        <w:rPr>
          <w:rFonts w:ascii="宋体" w:hAnsi="宋体"/>
          <w:bCs/>
          <w:sz w:val="24"/>
        </w:rPr>
      </w:pPr>
      <w:r>
        <w:rPr>
          <w:rFonts w:hint="eastAsia" w:ascii="宋体" w:hAnsi="宋体"/>
          <w:bCs/>
          <w:sz w:val="24"/>
        </w:rPr>
        <w:t>法定代表人：</w:t>
      </w:r>
      <w:r>
        <w:rPr>
          <w:rFonts w:hint="eastAsia" w:ascii="宋体" w:hAnsi="宋体"/>
          <w:bCs/>
          <w:sz w:val="24"/>
          <w:u w:val="single"/>
        </w:rPr>
        <w:t xml:space="preserve">           </w:t>
      </w:r>
      <w:r>
        <w:rPr>
          <w:rFonts w:hint="eastAsia" w:ascii="宋体" w:hAnsi="宋体"/>
          <w:bCs/>
          <w:sz w:val="24"/>
        </w:rPr>
        <w:t>（签      字）</w:t>
      </w:r>
    </w:p>
    <w:p>
      <w:pPr>
        <w:widowControl/>
        <w:jc w:val="right"/>
        <w:rPr>
          <w:rFonts w:ascii="宋体" w:hAnsi="宋体" w:cs="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rFonts w:ascii="仿宋_GB2312" w:hAnsi="宋体" w:eastAsia="仿宋_GB2312"/>
          <w:szCs w:val="21"/>
        </w:rPr>
      </w:pPr>
      <w:r>
        <w:rPr>
          <w:rFonts w:ascii="仿宋_GB2312" w:hAnsi="宋体" w:eastAsia="仿宋_GB2312"/>
          <w:szCs w:val="21"/>
        </w:rPr>
        <w:br w:type="page"/>
      </w:r>
    </w:p>
    <w:p>
      <w:pPr>
        <w:pStyle w:val="2"/>
      </w:pPr>
    </w:p>
    <w:p>
      <w:pPr>
        <w:pStyle w:val="2"/>
      </w:pPr>
    </w:p>
    <w:p>
      <w:pPr>
        <w:pStyle w:val="4"/>
      </w:pPr>
      <w:bookmarkStart w:id="12" w:name="_Toc7983"/>
      <w:r>
        <w:rPr>
          <w:rFonts w:hint="eastAsia"/>
        </w:rPr>
        <w:t>第二章 投标人须知</w:t>
      </w:r>
      <w:bookmarkEnd w:id="12"/>
    </w:p>
    <w:p>
      <w:pPr>
        <w:pStyle w:val="5"/>
        <w:jc w:val="center"/>
      </w:pPr>
      <w:r>
        <w:rPr>
          <w:rFonts w:hint="eastAsia"/>
        </w:rPr>
        <w:t>投标人须知前附表</w:t>
      </w:r>
    </w:p>
    <w:tbl>
      <w:tblPr>
        <w:tblStyle w:val="15"/>
        <w:tblW w:w="99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35"/>
        <w:gridCol w:w="1509"/>
        <w:gridCol w:w="50"/>
        <w:gridCol w:w="7144"/>
        <w:gridCol w:w="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3" w:hRule="atLeast"/>
          <w:jc w:val="center"/>
        </w:trPr>
        <w:tc>
          <w:tcPr>
            <w:tcW w:w="1135" w:type="dxa"/>
            <w:vAlign w:val="center"/>
          </w:tcPr>
          <w:p>
            <w:pPr>
              <w:pStyle w:val="2"/>
              <w:ind w:left="0"/>
              <w:jc w:val="center"/>
              <w:rPr>
                <w:b/>
                <w:bCs/>
              </w:rPr>
            </w:pPr>
            <w:r>
              <w:rPr>
                <w:rFonts w:hint="eastAsia"/>
                <w:b/>
                <w:bCs/>
              </w:rPr>
              <w:t>条款号</w:t>
            </w:r>
          </w:p>
        </w:tc>
        <w:tc>
          <w:tcPr>
            <w:tcW w:w="1559" w:type="dxa"/>
            <w:gridSpan w:val="2"/>
            <w:vAlign w:val="center"/>
          </w:tcPr>
          <w:p>
            <w:pPr>
              <w:pStyle w:val="2"/>
              <w:ind w:left="0"/>
              <w:jc w:val="center"/>
              <w:rPr>
                <w:b/>
                <w:bCs/>
              </w:rPr>
            </w:pPr>
            <w:r>
              <w:rPr>
                <w:rFonts w:hint="eastAsia"/>
                <w:b/>
                <w:bCs/>
              </w:rPr>
              <w:t>条 款 名 称</w:t>
            </w:r>
          </w:p>
        </w:tc>
        <w:tc>
          <w:tcPr>
            <w:tcW w:w="7279" w:type="dxa"/>
            <w:gridSpan w:val="2"/>
            <w:vAlign w:val="center"/>
          </w:tcPr>
          <w:p>
            <w:pPr>
              <w:pStyle w:val="2"/>
              <w:ind w:left="0"/>
              <w:jc w:val="center"/>
              <w:rPr>
                <w:b/>
                <w:bCs/>
              </w:rPr>
            </w:pPr>
            <w:r>
              <w:rPr>
                <w:rFonts w:hint="eastAsia"/>
                <w:b/>
                <w:bCs/>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jc w:val="center"/>
        </w:trPr>
        <w:tc>
          <w:tcPr>
            <w:tcW w:w="1135" w:type="dxa"/>
            <w:vAlign w:val="center"/>
          </w:tcPr>
          <w:p>
            <w:pPr>
              <w:pStyle w:val="2"/>
              <w:ind w:left="0"/>
              <w:jc w:val="center"/>
            </w:pPr>
            <w:r>
              <w:rPr>
                <w:rFonts w:hint="eastAsia"/>
              </w:rPr>
              <w:t>1.1.2</w:t>
            </w:r>
          </w:p>
        </w:tc>
        <w:tc>
          <w:tcPr>
            <w:tcW w:w="1559" w:type="dxa"/>
            <w:gridSpan w:val="2"/>
            <w:vAlign w:val="center"/>
          </w:tcPr>
          <w:p>
            <w:pPr>
              <w:pStyle w:val="2"/>
              <w:ind w:left="0"/>
              <w:jc w:val="center"/>
            </w:pPr>
            <w:r>
              <w:rPr>
                <w:rFonts w:hint="eastAsia"/>
              </w:rPr>
              <w:t>招标人</w:t>
            </w:r>
          </w:p>
        </w:tc>
        <w:tc>
          <w:tcPr>
            <w:tcW w:w="7279" w:type="dxa"/>
            <w:gridSpan w:val="2"/>
            <w:vAlign w:val="center"/>
          </w:tcPr>
          <w:p>
            <w:pPr>
              <w:pStyle w:val="2"/>
              <w:ind w:left="0"/>
            </w:pPr>
            <w:r>
              <w:rPr>
                <w:rFonts w:hint="eastAsia"/>
              </w:rPr>
              <w:t>名称：</w:t>
            </w:r>
          </w:p>
          <w:p>
            <w:pPr>
              <w:pStyle w:val="2"/>
              <w:ind w:left="0"/>
            </w:pPr>
            <w:r>
              <w:rPr>
                <w:rFonts w:hint="eastAsia"/>
              </w:rPr>
              <w:t>地址：</w:t>
            </w:r>
          </w:p>
          <w:p>
            <w:pPr>
              <w:pStyle w:val="2"/>
              <w:ind w:left="0"/>
            </w:pPr>
            <w:r>
              <w:rPr>
                <w:rFonts w:hint="eastAsia"/>
              </w:rPr>
              <w:t>联系人：</w:t>
            </w:r>
          </w:p>
          <w:p>
            <w:pPr>
              <w:pStyle w:val="2"/>
              <w:ind w:left="0"/>
            </w:pPr>
            <w:r>
              <w:rPr>
                <w:rFonts w:hint="eastAsia"/>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91" w:hRule="atLeast"/>
          <w:jc w:val="center"/>
        </w:trPr>
        <w:tc>
          <w:tcPr>
            <w:tcW w:w="1135" w:type="dxa"/>
            <w:vAlign w:val="center"/>
          </w:tcPr>
          <w:p>
            <w:pPr>
              <w:pStyle w:val="2"/>
              <w:ind w:left="0"/>
              <w:jc w:val="center"/>
            </w:pPr>
            <w:r>
              <w:rPr>
                <w:rFonts w:hint="eastAsia"/>
              </w:rPr>
              <w:t>1.1.3</w:t>
            </w:r>
          </w:p>
        </w:tc>
        <w:tc>
          <w:tcPr>
            <w:tcW w:w="1559" w:type="dxa"/>
            <w:gridSpan w:val="2"/>
            <w:vAlign w:val="center"/>
          </w:tcPr>
          <w:p>
            <w:pPr>
              <w:pStyle w:val="2"/>
              <w:ind w:left="0"/>
              <w:jc w:val="center"/>
            </w:pPr>
            <w:r>
              <w:rPr>
                <w:rFonts w:hint="eastAsia"/>
              </w:rPr>
              <w:t>招标代理机构</w:t>
            </w:r>
          </w:p>
        </w:tc>
        <w:tc>
          <w:tcPr>
            <w:tcW w:w="7279" w:type="dxa"/>
            <w:gridSpan w:val="2"/>
            <w:vAlign w:val="center"/>
          </w:tcPr>
          <w:p>
            <w:pPr>
              <w:pStyle w:val="2"/>
              <w:ind w:left="0"/>
            </w:pPr>
            <w:r>
              <w:rPr>
                <w:rFonts w:hint="eastAsia"/>
              </w:rPr>
              <w:t>名称：</w:t>
            </w:r>
          </w:p>
          <w:p>
            <w:pPr>
              <w:pStyle w:val="2"/>
              <w:ind w:left="0"/>
            </w:pPr>
            <w:r>
              <w:rPr>
                <w:rFonts w:hint="eastAsia"/>
              </w:rPr>
              <w:t>地址：</w:t>
            </w:r>
          </w:p>
          <w:p>
            <w:pPr>
              <w:pStyle w:val="2"/>
              <w:ind w:left="0"/>
            </w:pPr>
            <w:r>
              <w:rPr>
                <w:rFonts w:hint="eastAsia"/>
              </w:rPr>
              <w:t>联系人：</w:t>
            </w:r>
          </w:p>
          <w:p>
            <w:pPr>
              <w:pStyle w:val="2"/>
              <w:ind w:left="0"/>
            </w:pPr>
            <w:r>
              <w:rPr>
                <w:rFonts w:hint="eastAsia"/>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2" w:hRule="atLeast"/>
          <w:jc w:val="center"/>
        </w:trPr>
        <w:tc>
          <w:tcPr>
            <w:tcW w:w="1135" w:type="dxa"/>
            <w:vMerge w:val="restart"/>
            <w:vAlign w:val="center"/>
          </w:tcPr>
          <w:p>
            <w:pPr>
              <w:pStyle w:val="2"/>
              <w:ind w:left="0"/>
              <w:jc w:val="center"/>
            </w:pPr>
            <w:r>
              <w:rPr>
                <w:rFonts w:hint="eastAsia"/>
              </w:rPr>
              <w:t>1.1.4</w:t>
            </w:r>
          </w:p>
        </w:tc>
        <w:tc>
          <w:tcPr>
            <w:tcW w:w="1559" w:type="dxa"/>
            <w:gridSpan w:val="2"/>
            <w:vMerge w:val="restart"/>
            <w:vAlign w:val="center"/>
          </w:tcPr>
          <w:p>
            <w:pPr>
              <w:pStyle w:val="2"/>
              <w:ind w:left="0"/>
              <w:jc w:val="center"/>
            </w:pPr>
            <w:r>
              <w:rPr>
                <w:rFonts w:hint="eastAsia"/>
              </w:rPr>
              <w:t>★项目名称</w:t>
            </w:r>
          </w:p>
        </w:tc>
        <w:tc>
          <w:tcPr>
            <w:tcW w:w="7279" w:type="dxa"/>
            <w:gridSpan w:val="2"/>
            <w:vAlign w:val="center"/>
          </w:tcPr>
          <w:p>
            <w:pPr>
              <w:pStyle w:val="2"/>
              <w:ind w:left="0"/>
            </w:pPr>
            <w:r>
              <w:rPr>
                <w:rFonts w:hint="eastAsia"/>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jc w:val="center"/>
        </w:trPr>
        <w:tc>
          <w:tcPr>
            <w:tcW w:w="1135" w:type="dxa"/>
            <w:vMerge w:val="continue"/>
            <w:vAlign w:val="center"/>
          </w:tcPr>
          <w:p>
            <w:pPr>
              <w:pStyle w:val="2"/>
              <w:ind w:left="0"/>
              <w:jc w:val="center"/>
            </w:pPr>
          </w:p>
        </w:tc>
        <w:tc>
          <w:tcPr>
            <w:tcW w:w="1559" w:type="dxa"/>
            <w:gridSpan w:val="2"/>
            <w:vMerge w:val="continue"/>
            <w:vAlign w:val="center"/>
          </w:tcPr>
          <w:p>
            <w:pPr>
              <w:pStyle w:val="2"/>
              <w:ind w:left="0"/>
              <w:jc w:val="center"/>
            </w:pPr>
          </w:p>
        </w:tc>
        <w:tc>
          <w:tcPr>
            <w:tcW w:w="7279" w:type="dxa"/>
            <w:gridSpan w:val="2"/>
            <w:vAlign w:val="center"/>
          </w:tcPr>
          <w:p>
            <w:pPr>
              <w:pStyle w:val="2"/>
              <w:ind w:left="0"/>
            </w:pPr>
            <w:r>
              <w:rPr>
                <w:rFonts w:hint="eastAsia"/>
              </w:rPr>
              <w:t>标段编码（即投标标段编码）为：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135" w:type="dxa"/>
            <w:vAlign w:val="center"/>
          </w:tcPr>
          <w:p>
            <w:pPr>
              <w:pStyle w:val="2"/>
              <w:ind w:left="0"/>
              <w:jc w:val="center"/>
            </w:pPr>
            <w:r>
              <w:rPr>
                <w:rFonts w:hint="eastAsia"/>
              </w:rPr>
              <w:t>1.1.5</w:t>
            </w:r>
          </w:p>
        </w:tc>
        <w:tc>
          <w:tcPr>
            <w:tcW w:w="1559" w:type="dxa"/>
            <w:gridSpan w:val="2"/>
            <w:vAlign w:val="center"/>
          </w:tcPr>
          <w:p>
            <w:pPr>
              <w:pStyle w:val="2"/>
              <w:ind w:left="0"/>
              <w:jc w:val="center"/>
            </w:pPr>
            <w:r>
              <w:rPr>
                <w:rFonts w:hint="eastAsia"/>
              </w:rPr>
              <w:t>建设地点</w:t>
            </w:r>
          </w:p>
        </w:tc>
        <w:tc>
          <w:tcPr>
            <w:tcW w:w="7279" w:type="dxa"/>
            <w:gridSpan w:val="2"/>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1135" w:type="dxa"/>
            <w:vAlign w:val="center"/>
          </w:tcPr>
          <w:p>
            <w:pPr>
              <w:pStyle w:val="2"/>
              <w:ind w:left="0"/>
              <w:jc w:val="center"/>
            </w:pPr>
            <w:r>
              <w:rPr>
                <w:rFonts w:hint="eastAsia"/>
              </w:rPr>
              <w:t>1.2.1</w:t>
            </w:r>
          </w:p>
        </w:tc>
        <w:tc>
          <w:tcPr>
            <w:tcW w:w="1559" w:type="dxa"/>
            <w:gridSpan w:val="2"/>
            <w:vAlign w:val="center"/>
          </w:tcPr>
          <w:p>
            <w:pPr>
              <w:pStyle w:val="2"/>
              <w:ind w:left="0"/>
              <w:jc w:val="center"/>
            </w:pPr>
            <w:r>
              <w:t>资金来源</w:t>
            </w:r>
          </w:p>
        </w:tc>
        <w:tc>
          <w:tcPr>
            <w:tcW w:w="7279" w:type="dxa"/>
            <w:gridSpan w:val="2"/>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7" w:hRule="atLeast"/>
          <w:jc w:val="center"/>
        </w:trPr>
        <w:tc>
          <w:tcPr>
            <w:tcW w:w="1135" w:type="dxa"/>
            <w:vAlign w:val="center"/>
          </w:tcPr>
          <w:p>
            <w:pPr>
              <w:pStyle w:val="2"/>
              <w:ind w:left="0"/>
              <w:jc w:val="center"/>
            </w:pPr>
            <w:r>
              <w:rPr>
                <w:rFonts w:hint="eastAsia"/>
              </w:rPr>
              <w:t>1.2.2</w:t>
            </w:r>
          </w:p>
        </w:tc>
        <w:tc>
          <w:tcPr>
            <w:tcW w:w="1559" w:type="dxa"/>
            <w:gridSpan w:val="2"/>
            <w:vAlign w:val="center"/>
          </w:tcPr>
          <w:p>
            <w:pPr>
              <w:pStyle w:val="2"/>
              <w:ind w:left="0"/>
              <w:jc w:val="center"/>
            </w:pPr>
            <w:r>
              <w:rPr>
                <w:rFonts w:hint="eastAsia"/>
              </w:rPr>
              <w:t>出资比例</w:t>
            </w:r>
          </w:p>
        </w:tc>
        <w:tc>
          <w:tcPr>
            <w:tcW w:w="7279" w:type="dxa"/>
            <w:gridSpan w:val="2"/>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jc w:val="center"/>
        </w:trPr>
        <w:tc>
          <w:tcPr>
            <w:tcW w:w="1135" w:type="dxa"/>
            <w:vAlign w:val="center"/>
          </w:tcPr>
          <w:p>
            <w:pPr>
              <w:pStyle w:val="2"/>
              <w:ind w:left="0"/>
              <w:jc w:val="center"/>
            </w:pPr>
            <w:r>
              <w:rPr>
                <w:rFonts w:hint="eastAsia"/>
              </w:rPr>
              <w:t>1.2.3</w:t>
            </w:r>
          </w:p>
        </w:tc>
        <w:tc>
          <w:tcPr>
            <w:tcW w:w="1559" w:type="dxa"/>
            <w:gridSpan w:val="2"/>
            <w:vAlign w:val="center"/>
          </w:tcPr>
          <w:p>
            <w:pPr>
              <w:pStyle w:val="2"/>
              <w:ind w:left="0"/>
              <w:jc w:val="center"/>
            </w:pPr>
            <w:r>
              <w:rPr>
                <w:rFonts w:hint="eastAsia"/>
              </w:rPr>
              <w:t>资金落实情况</w:t>
            </w:r>
          </w:p>
        </w:tc>
        <w:tc>
          <w:tcPr>
            <w:tcW w:w="7279" w:type="dxa"/>
            <w:gridSpan w:val="2"/>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1135" w:type="dxa"/>
            <w:vAlign w:val="center"/>
          </w:tcPr>
          <w:p>
            <w:pPr>
              <w:pStyle w:val="2"/>
              <w:ind w:left="0"/>
              <w:jc w:val="center"/>
            </w:pPr>
            <w:r>
              <w:rPr>
                <w:rFonts w:hint="eastAsia"/>
              </w:rPr>
              <w:t>1.3.1</w:t>
            </w:r>
          </w:p>
        </w:tc>
        <w:tc>
          <w:tcPr>
            <w:tcW w:w="1559" w:type="dxa"/>
            <w:gridSpan w:val="2"/>
            <w:vAlign w:val="center"/>
          </w:tcPr>
          <w:p>
            <w:pPr>
              <w:pStyle w:val="2"/>
              <w:ind w:left="0"/>
              <w:jc w:val="center"/>
            </w:pPr>
            <w:r>
              <w:rPr>
                <w:rFonts w:hint="eastAsia"/>
              </w:rPr>
              <w:t>★招标范围</w:t>
            </w:r>
          </w:p>
        </w:tc>
        <w:tc>
          <w:tcPr>
            <w:tcW w:w="7279" w:type="dxa"/>
            <w:gridSpan w:val="2"/>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41" w:hRule="atLeast"/>
          <w:jc w:val="center"/>
        </w:trPr>
        <w:tc>
          <w:tcPr>
            <w:tcW w:w="1135" w:type="dxa"/>
            <w:vAlign w:val="center"/>
          </w:tcPr>
          <w:p>
            <w:pPr>
              <w:pStyle w:val="2"/>
              <w:ind w:left="0"/>
              <w:jc w:val="center"/>
            </w:pPr>
            <w:r>
              <w:rPr>
                <w:rFonts w:hint="eastAsia"/>
              </w:rPr>
              <w:t>1.3.2</w:t>
            </w:r>
          </w:p>
        </w:tc>
        <w:tc>
          <w:tcPr>
            <w:tcW w:w="1559" w:type="dxa"/>
            <w:gridSpan w:val="2"/>
            <w:vAlign w:val="center"/>
          </w:tcPr>
          <w:p>
            <w:pPr>
              <w:pStyle w:val="2"/>
              <w:ind w:left="0"/>
              <w:jc w:val="center"/>
            </w:pPr>
            <w:r>
              <w:rPr>
                <w:rFonts w:hint="eastAsia"/>
              </w:rPr>
              <w:t>★计划周期</w:t>
            </w:r>
          </w:p>
        </w:tc>
        <w:tc>
          <w:tcPr>
            <w:tcW w:w="7279" w:type="dxa"/>
            <w:gridSpan w:val="2"/>
            <w:vAlign w:val="center"/>
          </w:tcPr>
          <w:p>
            <w:pPr>
              <w:pStyle w:val="2"/>
              <w:ind w:left="0"/>
            </w:pPr>
            <w:r>
              <w:t>计划</w:t>
            </w:r>
            <w:r>
              <w:rPr>
                <w:rFonts w:hint="eastAsia"/>
              </w:rPr>
              <w:t>总</w:t>
            </w:r>
            <w:r>
              <w:t>工期：</w:t>
            </w:r>
            <w:r>
              <w:rPr>
                <w:u w:val="single"/>
              </w:rPr>
              <w:t xml:space="preserve">     </w:t>
            </w:r>
            <w:r>
              <w:t>日历天</w:t>
            </w:r>
          </w:p>
          <w:p>
            <w:pPr>
              <w:pStyle w:val="2"/>
              <w:ind w:left="0"/>
            </w:pPr>
            <w:r>
              <w:t>计划</w:t>
            </w:r>
            <w:r>
              <w:rPr>
                <w:rFonts w:hint="eastAsia"/>
              </w:rPr>
              <w:t>开工工作日期</w:t>
            </w:r>
            <w:r>
              <w:t>：</w:t>
            </w:r>
            <w:r>
              <w:rPr>
                <w:u w:val="single"/>
              </w:rPr>
              <w:t xml:space="preserve">   </w:t>
            </w:r>
            <w:r>
              <w:t>年</w:t>
            </w:r>
            <w:r>
              <w:rPr>
                <w:u w:val="single"/>
              </w:rPr>
              <w:t xml:space="preserve">   </w:t>
            </w:r>
            <w:r>
              <w:t>月</w:t>
            </w:r>
            <w:r>
              <w:rPr>
                <w:u w:val="single"/>
              </w:rPr>
              <w:t xml:space="preserve">   </w:t>
            </w:r>
            <w:r>
              <w:t>日</w:t>
            </w:r>
          </w:p>
          <w:p>
            <w:pPr>
              <w:pStyle w:val="2"/>
              <w:ind w:left="0"/>
            </w:pPr>
            <w:r>
              <w:t>计划</w:t>
            </w:r>
            <w:r>
              <w:rPr>
                <w:rFonts w:hint="eastAsia"/>
              </w:rPr>
              <w:t>竣工</w:t>
            </w:r>
            <w:r>
              <w:t>日期：</w:t>
            </w:r>
            <w:r>
              <w:rPr>
                <w:rFonts w:hint="eastAsia"/>
                <w:u w:val="single"/>
              </w:rPr>
              <w:t xml:space="preserve">   </w:t>
            </w:r>
            <w:r>
              <w:t>年</w:t>
            </w:r>
            <w:r>
              <w:rPr>
                <w:rFonts w:hint="eastAsia"/>
                <w:u w:val="single"/>
              </w:rPr>
              <w:t xml:space="preserve">   </w:t>
            </w:r>
            <w:r>
              <w:t>月</w:t>
            </w:r>
            <w:r>
              <w:rPr>
                <w:rFonts w:hint="eastAsia"/>
                <w:u w:val="single"/>
              </w:rPr>
              <w:t xml:space="preserve">   </w:t>
            </w:r>
            <w:r>
              <w:t>日</w:t>
            </w:r>
          </w:p>
          <w:p>
            <w:pPr>
              <w:pStyle w:val="2"/>
              <w:ind w:left="0"/>
            </w:pPr>
            <w:r>
              <w:rPr>
                <w:rFonts w:hint="eastAsia"/>
              </w:rPr>
              <w:t>□节点工期：（如设计节点工期，施工节点工期）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1" w:hRule="atLeast"/>
          <w:jc w:val="center"/>
        </w:trPr>
        <w:tc>
          <w:tcPr>
            <w:tcW w:w="1135" w:type="dxa"/>
            <w:vAlign w:val="center"/>
          </w:tcPr>
          <w:p>
            <w:pPr>
              <w:pStyle w:val="2"/>
              <w:ind w:left="0"/>
              <w:jc w:val="center"/>
            </w:pPr>
            <w:r>
              <w:rPr>
                <w:rFonts w:hint="eastAsia"/>
              </w:rPr>
              <w:t>1.3.3</w:t>
            </w:r>
          </w:p>
        </w:tc>
        <w:tc>
          <w:tcPr>
            <w:tcW w:w="1559" w:type="dxa"/>
            <w:gridSpan w:val="2"/>
            <w:vAlign w:val="center"/>
          </w:tcPr>
          <w:p>
            <w:pPr>
              <w:pStyle w:val="2"/>
              <w:ind w:left="0"/>
              <w:jc w:val="center"/>
            </w:pPr>
            <w:r>
              <w:rPr>
                <w:rFonts w:hint="eastAsia"/>
              </w:rPr>
              <w:t>★质量要求</w:t>
            </w:r>
          </w:p>
        </w:tc>
        <w:tc>
          <w:tcPr>
            <w:tcW w:w="7279" w:type="dxa"/>
            <w:gridSpan w:val="2"/>
            <w:vAlign w:val="center"/>
          </w:tcPr>
          <w:p>
            <w:pPr>
              <w:pStyle w:val="2"/>
              <w:ind w:left="0"/>
            </w:pPr>
            <w:r>
              <w:rPr>
                <w:rFonts w:hint="eastAsia"/>
              </w:rPr>
              <w:t>□勘察</w:t>
            </w:r>
            <w:r>
              <w:t>要求</w:t>
            </w:r>
            <w:r>
              <w:rPr>
                <w:rFonts w:hint="eastAsia"/>
              </w:rPr>
              <w:t>的质量标准：</w:t>
            </w:r>
          </w:p>
          <w:p>
            <w:pPr>
              <w:pStyle w:val="2"/>
              <w:ind w:left="0"/>
            </w:pPr>
            <w:r>
              <w:rPr>
                <w:rFonts w:hint="eastAsia"/>
              </w:rPr>
              <w:t>□设计</w:t>
            </w:r>
            <w:r>
              <w:t>要求</w:t>
            </w:r>
            <w:r>
              <w:rPr>
                <w:rFonts w:hint="eastAsia"/>
              </w:rPr>
              <w:t>的质量标准：</w:t>
            </w:r>
          </w:p>
          <w:p>
            <w:pPr>
              <w:pStyle w:val="2"/>
              <w:ind w:left="0"/>
            </w:pPr>
            <w:r>
              <w:rPr>
                <w:rFonts w:hint="eastAsia"/>
              </w:rPr>
              <w:t>□施工要求的质量标准：</w:t>
            </w:r>
          </w:p>
          <w:p>
            <w:pPr>
              <w:pStyle w:val="2"/>
              <w:ind w:left="0"/>
            </w:pPr>
            <w:r>
              <w:rPr>
                <w:rFonts w:hint="eastAsia"/>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 w:hRule="atLeast"/>
          <w:jc w:val="center"/>
        </w:trPr>
        <w:tc>
          <w:tcPr>
            <w:tcW w:w="1135" w:type="dxa"/>
            <w:vAlign w:val="center"/>
          </w:tcPr>
          <w:p>
            <w:pPr>
              <w:pStyle w:val="2"/>
              <w:ind w:left="0"/>
              <w:jc w:val="center"/>
            </w:pPr>
            <w:r>
              <w:rPr>
                <w:rFonts w:hint="eastAsia"/>
              </w:rPr>
              <w:t>1.4.1</w:t>
            </w:r>
          </w:p>
        </w:tc>
        <w:tc>
          <w:tcPr>
            <w:tcW w:w="1559" w:type="dxa"/>
            <w:gridSpan w:val="2"/>
            <w:vAlign w:val="center"/>
          </w:tcPr>
          <w:p>
            <w:pPr>
              <w:pStyle w:val="2"/>
              <w:ind w:left="0"/>
              <w:jc w:val="center"/>
            </w:pPr>
            <w:r>
              <w:rPr>
                <w:rFonts w:hint="eastAsia"/>
              </w:rPr>
              <w:t>★投标人资质条件、能力和信誉</w:t>
            </w:r>
          </w:p>
        </w:tc>
        <w:tc>
          <w:tcPr>
            <w:tcW w:w="7279" w:type="dxa"/>
            <w:gridSpan w:val="2"/>
            <w:vAlign w:val="center"/>
          </w:tcPr>
          <w:p>
            <w:pPr>
              <w:pStyle w:val="2"/>
              <w:ind w:left="0"/>
            </w:pPr>
            <w:r>
              <w:rPr>
                <w:rFonts w:hint="eastAsia"/>
              </w:rPr>
              <w:t>依法设立、具有独立承担民事责任的能力</w:t>
            </w:r>
          </w:p>
          <w:p>
            <w:pPr>
              <w:pStyle w:val="2"/>
              <w:ind w:left="0"/>
            </w:pPr>
            <w:r>
              <w:rPr>
                <w:rFonts w:hint="eastAsia"/>
                <w:b/>
                <w:bCs/>
              </w:rPr>
              <w:t>资质条件：</w:t>
            </w:r>
            <w:r>
              <w:rPr>
                <w:rFonts w:hint="eastAsia"/>
              </w:rPr>
              <w:t>同招标公告</w:t>
            </w:r>
          </w:p>
          <w:p>
            <w:pPr>
              <w:pStyle w:val="2"/>
              <w:ind w:left="0"/>
            </w:pPr>
            <w:r>
              <w:rPr>
                <w:rFonts w:hint="eastAsia"/>
                <w:b/>
                <w:bCs/>
              </w:rPr>
              <w:t>财务要求：</w:t>
            </w:r>
            <w:r>
              <w:rPr>
                <w:rFonts w:hint="eastAsia"/>
              </w:rPr>
              <w:t>同招标公告</w:t>
            </w:r>
          </w:p>
          <w:p>
            <w:pPr>
              <w:pStyle w:val="2"/>
              <w:ind w:left="0"/>
            </w:pPr>
            <w:r>
              <w:rPr>
                <w:rFonts w:hint="eastAsia"/>
                <w:b/>
                <w:bCs/>
              </w:rPr>
              <w:t>类似工程业绩要求：</w:t>
            </w:r>
            <w:r>
              <w:rPr>
                <w:rFonts w:hint="eastAsia"/>
              </w:rPr>
              <w:t>同招标公告</w:t>
            </w:r>
          </w:p>
          <w:p>
            <w:pPr>
              <w:pStyle w:val="2"/>
              <w:ind w:left="0"/>
            </w:pPr>
            <w:r>
              <w:rPr>
                <w:rFonts w:hint="eastAsia"/>
                <w:b/>
                <w:bCs/>
              </w:rPr>
              <w:t>信誉要求：</w:t>
            </w:r>
            <w:r>
              <w:rPr>
                <w:rFonts w:hint="eastAsia"/>
              </w:rPr>
              <w:t>不存在投标人须知第1.4.3项规定的的限制投标的情形；</w:t>
            </w:r>
          </w:p>
          <w:p>
            <w:pPr>
              <w:pStyle w:val="2"/>
              <w:ind w:left="0"/>
            </w:pPr>
            <w:r>
              <w:rPr>
                <w:rFonts w:hint="eastAsia"/>
                <w:b/>
                <w:bCs/>
              </w:rPr>
              <w:t>项目经理资格要求：</w:t>
            </w:r>
            <w:r>
              <w:rPr>
                <w:rFonts w:hint="eastAsia"/>
              </w:rPr>
              <w:t>同招标公告</w:t>
            </w:r>
          </w:p>
          <w:p>
            <w:pPr>
              <w:pStyle w:val="2"/>
              <w:ind w:left="0"/>
            </w:pPr>
            <w:r>
              <w:rPr>
                <w:b/>
                <w:bCs/>
              </w:rPr>
              <w:t>□</w:t>
            </w:r>
            <w:r>
              <w:rPr>
                <w:rFonts w:hint="eastAsia"/>
                <w:b/>
                <w:bCs/>
              </w:rPr>
              <w:t>勘察负责人的资格要求：</w:t>
            </w:r>
            <w:r>
              <w:rPr>
                <w:rFonts w:hint="eastAsia"/>
              </w:rPr>
              <w:t>同招标公告</w:t>
            </w:r>
          </w:p>
          <w:p>
            <w:pPr>
              <w:pStyle w:val="2"/>
              <w:ind w:left="0" w:firstLine="221" w:firstLineChars="100"/>
            </w:pPr>
            <w:r>
              <w:rPr>
                <w:rFonts w:hint="eastAsia"/>
                <w:b/>
                <w:bCs/>
              </w:rPr>
              <w:t>设计负责人的资格要求：</w:t>
            </w:r>
            <w:r>
              <w:rPr>
                <w:rFonts w:hint="eastAsia"/>
              </w:rPr>
              <w:t>同招标公告</w:t>
            </w:r>
          </w:p>
          <w:p>
            <w:pPr>
              <w:pStyle w:val="2"/>
              <w:ind w:left="0" w:firstLine="221" w:firstLineChars="100"/>
            </w:pPr>
            <w:r>
              <w:rPr>
                <w:rFonts w:hint="eastAsia"/>
                <w:b/>
                <w:bCs/>
              </w:rPr>
              <w:t>施工负责人的资格要求：</w:t>
            </w:r>
            <w:r>
              <w:rPr>
                <w:rFonts w:hint="eastAsia"/>
              </w:rPr>
              <w:t>同招标公告</w:t>
            </w:r>
          </w:p>
          <w:p>
            <w:pPr>
              <w:pStyle w:val="2"/>
              <w:ind w:left="0"/>
            </w:pPr>
            <w:r>
              <w:rPr>
                <w:rFonts w:hint="eastAsia"/>
              </w:rPr>
              <w:t xml:space="preserve">其他主要人员要求：              </w:t>
            </w:r>
          </w:p>
          <w:p>
            <w:pPr>
              <w:pStyle w:val="2"/>
              <w:ind w:left="0"/>
            </w:pPr>
            <w:r>
              <w:rPr>
                <w:b/>
                <w:bCs/>
              </w:rPr>
              <w:t>其他要求：</w:t>
            </w:r>
            <w:r>
              <w:t xml:space="preserve"> </w:t>
            </w:r>
          </w:p>
          <w:p>
            <w:pPr>
              <w:pStyle w:val="2"/>
              <w:ind w:left="0"/>
            </w:pPr>
            <w:r>
              <w:t>□</w:t>
            </w:r>
            <w:r>
              <w:rPr>
                <w:rFonts w:hint="eastAsia"/>
              </w:rPr>
              <w:t>主要人员（项目经理、</w:t>
            </w:r>
            <w:r>
              <w:t>□</w:t>
            </w:r>
            <w:r>
              <w:rPr>
                <w:rFonts w:hint="eastAsia"/>
              </w:rPr>
              <w:t>勘察负责人、设计负责人、施工负责人和其他主要人员）应是投标人本单位人员，并按第六章“投标文件格式”的“主要人员简历表”要求填写和提供相应的证明、证件。</w:t>
            </w:r>
          </w:p>
          <w:p>
            <w:pPr>
              <w:pStyle w:val="2"/>
              <w:ind w:left="0"/>
            </w:pPr>
            <w:r>
              <w:t>□</w:t>
            </w:r>
            <w:r>
              <w:rPr>
                <w:rFonts w:hint="eastAsia"/>
              </w:rPr>
              <w:t xml:space="preserve">其他 </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135" w:type="dxa"/>
            <w:vAlign w:val="center"/>
          </w:tcPr>
          <w:p>
            <w:pPr>
              <w:pStyle w:val="2"/>
              <w:ind w:left="0"/>
              <w:jc w:val="center"/>
            </w:pPr>
            <w:r>
              <w:rPr>
                <w:rFonts w:hint="eastAsia"/>
              </w:rPr>
              <w:t>1.4.2</w:t>
            </w:r>
          </w:p>
        </w:tc>
        <w:tc>
          <w:tcPr>
            <w:tcW w:w="1559" w:type="dxa"/>
            <w:gridSpan w:val="2"/>
            <w:vAlign w:val="center"/>
          </w:tcPr>
          <w:p>
            <w:pPr>
              <w:pStyle w:val="2"/>
              <w:ind w:left="0"/>
              <w:jc w:val="center"/>
            </w:pPr>
            <w:r>
              <w:rPr>
                <w:rFonts w:hint="eastAsia"/>
              </w:rPr>
              <w:t>★是否接受联合体投标</w:t>
            </w:r>
          </w:p>
        </w:tc>
        <w:tc>
          <w:tcPr>
            <w:tcW w:w="7279" w:type="dxa"/>
            <w:gridSpan w:val="2"/>
            <w:vAlign w:val="center"/>
          </w:tcPr>
          <w:p>
            <w:pPr>
              <w:pStyle w:val="2"/>
              <w:ind w:left="0"/>
            </w:pPr>
            <w:r>
              <w:rPr>
                <w:rFonts w:hint="eastAsia"/>
              </w:rPr>
              <w:t>接受，联合体投标的，应满足下列要求：须具有资质的单位作为联合体牵头人。联合体成员（含联合体牵头人）家数须不超过家。</w:t>
            </w:r>
          </w:p>
          <w:p>
            <w:pPr>
              <w:pStyle w:val="2"/>
              <w:ind w:left="0"/>
            </w:pPr>
            <w:r>
              <w:rPr>
                <w:rFonts w:hint="eastAsia"/>
              </w:rPr>
              <w:t>联合体需符合有关联合体投标的规定和要求，并提交了联合体协议，明确联合体牵头人和各方权利义务。</w:t>
            </w:r>
          </w:p>
          <w:p>
            <w:pPr>
              <w:pStyle w:val="2"/>
              <w:ind w:left="0"/>
            </w:pPr>
            <w:r>
              <w:rPr>
                <w:rFonts w:hint="eastAsia"/>
              </w:rPr>
              <w:t>联合体各方不得再以自己名义单独或参加其他联合体在同一标段中投标。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135" w:type="dxa"/>
            <w:vAlign w:val="center"/>
          </w:tcPr>
          <w:p>
            <w:pPr>
              <w:pStyle w:val="2"/>
              <w:ind w:left="0"/>
              <w:jc w:val="center"/>
            </w:pPr>
            <w:r>
              <w:rPr>
                <w:rFonts w:hint="eastAsia"/>
              </w:rPr>
              <w:t>1.4.3</w:t>
            </w:r>
          </w:p>
        </w:tc>
        <w:tc>
          <w:tcPr>
            <w:tcW w:w="1559" w:type="dxa"/>
            <w:gridSpan w:val="2"/>
            <w:vAlign w:val="center"/>
          </w:tcPr>
          <w:p>
            <w:pPr>
              <w:pStyle w:val="2"/>
              <w:ind w:left="0"/>
              <w:jc w:val="center"/>
            </w:pPr>
            <w:r>
              <w:t>限制投标的情形</w:t>
            </w:r>
          </w:p>
        </w:tc>
        <w:tc>
          <w:tcPr>
            <w:tcW w:w="7279" w:type="dxa"/>
            <w:gridSpan w:val="2"/>
            <w:vAlign w:val="center"/>
          </w:tcPr>
          <w:p>
            <w:pPr>
              <w:pStyle w:val="2"/>
              <w:ind w:left="0"/>
            </w:pPr>
            <w:r>
              <w:rPr>
                <w:rFonts w:hint="eastAsia"/>
              </w:rPr>
              <w:t>除投标人不得存在的13种情形之一外，投标人也不得存在下列情形之一：</w:t>
            </w:r>
          </w:p>
          <w:p>
            <w:pPr>
              <w:pStyle w:val="2"/>
              <w:ind w:left="0"/>
            </w:pPr>
            <w:r>
              <w:rPr>
                <w:rFonts w:hint="eastAsia"/>
              </w:rPr>
              <w:t>（14）为本项目项目管理单位、造价咨询单位的；</w:t>
            </w:r>
          </w:p>
          <w:p>
            <w:pPr>
              <w:pStyle w:val="2"/>
              <w:ind w:left="0"/>
            </w:pPr>
            <w:r>
              <w:rPr>
                <w:rFonts w:hint="eastAsia"/>
              </w:rPr>
              <w:t>（15）与招标人存在利害关系且可能影响招标公正性的；</w:t>
            </w:r>
          </w:p>
          <w:p>
            <w:pPr>
              <w:pStyle w:val="2"/>
              <w:ind w:left="0"/>
            </w:pPr>
            <w:r>
              <w:rPr>
                <w:rFonts w:hint="eastAsia"/>
              </w:rPr>
              <w:t>（16）在最近三年内投标人或其法定代表人、拟委任的项目经理有行贿犯罪行为的；</w:t>
            </w:r>
          </w:p>
          <w:p>
            <w:pPr>
              <w:pStyle w:val="2"/>
              <w:ind w:left="0"/>
            </w:pPr>
            <w:r>
              <w:rPr>
                <w:rFonts w:hint="eastAsia"/>
              </w:rPr>
              <w:t>（17）在最近一年内投标人拟委任的施工负责人因违反《注册建造师管理规定》被建设主管部门或者其他有关部门行政处罚的；</w:t>
            </w:r>
          </w:p>
          <w:p>
            <w:pPr>
              <w:pStyle w:val="2"/>
              <w:ind w:left="0"/>
            </w:pPr>
            <w:r>
              <w:rPr/>
              <w:sym w:font="Wingdings 2" w:char="00A3"/>
            </w:r>
            <w:r>
              <w:rPr>
                <w:rFonts w:hint="eastAsia"/>
              </w:rPr>
              <w:t>（18）拟任施工负责人在参加本项目投标时（指提交投标文件截止时间）在其他项目担任施工负责人或项目经理的（</w:t>
            </w:r>
            <w:r>
              <w:t>□</w:t>
            </w:r>
            <w:r>
              <w:rPr>
                <w:rFonts w:hint="eastAsia"/>
              </w:rPr>
              <w:t>在本项目其他标段担任施工负责人的除外）。</w:t>
            </w:r>
          </w:p>
          <w:p>
            <w:pPr>
              <w:pStyle w:val="2"/>
              <w:ind w:left="0"/>
            </w:pPr>
            <w:r>
              <w:t>□</w:t>
            </w:r>
            <w:r>
              <w:rPr>
                <w:rFonts w:hint="eastAsia"/>
              </w:rPr>
              <w:t>（19）根据国家或四川省有关部门制定的其他联合惩戒措施规范性文件（联合惩戒措施包括限制参与工程招投标或限制参与政府采购活动），被列为联合惩戒对象的；</w:t>
            </w:r>
          </w:p>
          <w:p>
            <w:pPr>
              <w:pStyle w:val="2"/>
              <w:ind w:left="0"/>
            </w:pPr>
            <w:r>
              <w:rPr>
                <w:rFonts w:hint="eastAsia"/>
              </w:rPr>
              <w:t>注：除此之外招标人不得另行增加其他限制投标情形。</w:t>
            </w:r>
          </w:p>
          <w:p>
            <w:pPr>
              <w:pStyle w:val="2"/>
              <w:ind w:left="0"/>
            </w:pPr>
            <w:r>
              <w:rPr>
                <w:rFonts w:hint="eastAsia"/>
              </w:rPr>
              <w:t>本项目已公开项目建议书、可行性研究报告、初步设计文件，编制项目可行性研究报告、工程方案设计、初步设计且具备工程设计资质、工程总承包条件的单位可以参与本项目的投标。</w:t>
            </w:r>
          </w:p>
          <w:p>
            <w:pPr>
              <w:pStyle w:val="2"/>
              <w:ind w:left="0"/>
            </w:pPr>
            <w:r>
              <w:rPr>
                <w:rFonts w:hint="eastAsia"/>
              </w:rPr>
              <w:t>本条（9）、（16）规定的事项，应以有关行政主管部门出具的已生效的行政处罚决定书为依据，“近三年”“近一年”应以行政处罚决定书的出具时间起算。</w:t>
            </w:r>
          </w:p>
          <w:p>
            <w:pPr>
              <w:pStyle w:val="2"/>
              <w:ind w:left="0"/>
            </w:pPr>
            <w:r>
              <w:rPr>
                <w:rFonts w:hint="eastAsia"/>
              </w:rPr>
              <w:t>“被暂停或取消投标资格的”是指：</w:t>
            </w:r>
          </w:p>
          <w:p>
            <w:pPr>
              <w:pStyle w:val="2"/>
              <w:ind w:left="0"/>
            </w:pPr>
            <w:r>
              <w:rPr>
                <w:rFonts w:hint="eastAsia"/>
              </w:rPr>
              <w:t>投标人存在被行政主管部门依据法律、法规、规章作出暂停或取消一定时期投标资格的已生效行政处罚，其限制投标范围与所依据的法律、法规、规章适用范围相同，与行政处罚规定的限制投标行政区域无关。骗取中标是指投标人实施了以弄虚作假的行为作为谋取中标的手段，投标人只要具有弄虚作假的行为，无论结果是否中标，都属于骗取中标。</w:t>
            </w:r>
          </w:p>
          <w:p>
            <w:pPr>
              <w:pStyle w:val="2"/>
              <w:ind w:left="0"/>
            </w:pPr>
            <w:r>
              <w:rPr>
                <w:rFonts w:hint="eastAsia"/>
              </w:rPr>
              <w:t>“严重违约”是指：</w:t>
            </w:r>
          </w:p>
          <w:p>
            <w:pPr>
              <w:pStyle w:val="2"/>
              <w:ind w:left="0"/>
            </w:pPr>
            <w:r>
              <w:rPr>
                <w:rFonts w:hint="eastAsia"/>
              </w:rPr>
              <w:t>（1）在经营活动中，被行政监督部门或司法机关认定为情节严重的或严重违约的。</w:t>
            </w:r>
          </w:p>
          <w:p>
            <w:pPr>
              <w:pStyle w:val="2"/>
              <w:ind w:left="0"/>
            </w:pPr>
            <w:r>
              <w:rPr>
                <w:rFonts w:hint="eastAsia"/>
              </w:rPr>
              <w:t>（2）在既往工程建设项目中，转包的。</w:t>
            </w:r>
          </w:p>
          <w:p>
            <w:pPr>
              <w:pStyle w:val="2"/>
              <w:ind w:left="0"/>
            </w:pPr>
            <w:r>
              <w:rPr>
                <w:rFonts w:hint="eastAsia"/>
              </w:rPr>
              <w:t>（3）在既往工程建设项目中，违法分包 2 次以上的。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5" w:hRule="atLeast"/>
          <w:jc w:val="center"/>
        </w:trPr>
        <w:tc>
          <w:tcPr>
            <w:tcW w:w="1135" w:type="dxa"/>
            <w:vAlign w:val="center"/>
          </w:tcPr>
          <w:p>
            <w:pPr>
              <w:pStyle w:val="2"/>
              <w:ind w:left="0"/>
              <w:jc w:val="center"/>
            </w:pPr>
            <w:r>
              <w:rPr>
                <w:rFonts w:hint="eastAsia"/>
              </w:rPr>
              <w:t>1.4.4</w:t>
            </w:r>
          </w:p>
        </w:tc>
        <w:tc>
          <w:tcPr>
            <w:tcW w:w="1559" w:type="dxa"/>
            <w:gridSpan w:val="2"/>
            <w:vAlign w:val="center"/>
          </w:tcPr>
          <w:p>
            <w:pPr>
              <w:pStyle w:val="2"/>
              <w:ind w:left="0"/>
              <w:jc w:val="center"/>
            </w:pPr>
            <w:r>
              <w:rPr>
                <w:rFonts w:hint="eastAsia"/>
              </w:rPr>
              <w:t>★投标其他要求</w:t>
            </w:r>
          </w:p>
        </w:tc>
        <w:tc>
          <w:tcPr>
            <w:tcW w:w="7279" w:type="dxa"/>
            <w:gridSpan w:val="2"/>
            <w:vAlign w:val="center"/>
          </w:tcPr>
          <w:p>
            <w:pPr>
              <w:pStyle w:val="2"/>
              <w:ind w:left="0"/>
            </w:pPr>
            <w:r>
              <w:t>1</w:t>
            </w:r>
            <w:r>
              <w:rPr>
                <w:rFonts w:hint="eastAsia"/>
              </w:rPr>
              <w:t>、具有施工资质单位须具备有效的安全生产许可证（依法不需要提供的除外）</w:t>
            </w:r>
          </w:p>
          <w:p>
            <w:pPr>
              <w:pStyle w:val="2"/>
              <w:ind w:left="0"/>
            </w:pPr>
            <w:r>
              <w:rPr>
                <w:rFonts w:hint="eastAsia"/>
              </w:rPr>
              <w:t>□2、其他要求：</w:t>
            </w:r>
            <w:r>
              <w:rPr>
                <w:u w:val="single"/>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8" w:hRule="atLeast"/>
          <w:jc w:val="center"/>
        </w:trPr>
        <w:tc>
          <w:tcPr>
            <w:tcW w:w="1135" w:type="dxa"/>
            <w:vAlign w:val="center"/>
          </w:tcPr>
          <w:p>
            <w:pPr>
              <w:pStyle w:val="2"/>
              <w:ind w:left="0"/>
              <w:jc w:val="center"/>
            </w:pPr>
            <w:r>
              <w:rPr>
                <w:rFonts w:hint="eastAsia"/>
              </w:rPr>
              <w:t>1.5</w:t>
            </w:r>
          </w:p>
        </w:tc>
        <w:tc>
          <w:tcPr>
            <w:tcW w:w="1559" w:type="dxa"/>
            <w:gridSpan w:val="2"/>
            <w:vAlign w:val="center"/>
          </w:tcPr>
          <w:p>
            <w:pPr>
              <w:pStyle w:val="2"/>
              <w:ind w:left="0"/>
              <w:jc w:val="center"/>
            </w:pPr>
            <w:r>
              <w:rPr>
                <w:rFonts w:hint="eastAsia"/>
              </w:rPr>
              <w:t>费用承担和设计成果补偿</w:t>
            </w:r>
          </w:p>
        </w:tc>
        <w:tc>
          <w:tcPr>
            <w:tcW w:w="7279" w:type="dxa"/>
            <w:gridSpan w:val="2"/>
            <w:vAlign w:val="center"/>
          </w:tcPr>
          <w:p>
            <w:pPr>
              <w:pStyle w:val="2"/>
              <w:ind w:left="0"/>
            </w:pPr>
            <w:r>
              <w:rPr>
                <w:rFonts w:hint="eastAsia"/>
              </w:rPr>
              <w:t>○不补偿</w:t>
            </w:r>
          </w:p>
          <w:p>
            <w:pPr>
              <w:pStyle w:val="2"/>
              <w:ind w:left="0"/>
            </w:pPr>
            <w:r>
              <w:rPr>
                <w:rFonts w:hint="eastAsia"/>
              </w:rPr>
              <w:t>○补偿，补偿标准：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3" w:hRule="atLeast"/>
          <w:jc w:val="center"/>
        </w:trPr>
        <w:tc>
          <w:tcPr>
            <w:tcW w:w="1135" w:type="dxa"/>
            <w:vAlign w:val="center"/>
          </w:tcPr>
          <w:p>
            <w:pPr>
              <w:pStyle w:val="2"/>
              <w:ind w:left="0"/>
              <w:jc w:val="center"/>
            </w:pPr>
            <w:r>
              <w:rPr>
                <w:rFonts w:hint="eastAsia"/>
              </w:rPr>
              <w:t>1.9.1</w:t>
            </w:r>
          </w:p>
        </w:tc>
        <w:tc>
          <w:tcPr>
            <w:tcW w:w="1559" w:type="dxa"/>
            <w:gridSpan w:val="2"/>
            <w:vAlign w:val="center"/>
          </w:tcPr>
          <w:p>
            <w:pPr>
              <w:pStyle w:val="2"/>
              <w:ind w:left="0"/>
              <w:jc w:val="center"/>
            </w:pPr>
            <w:r>
              <w:rPr>
                <w:rFonts w:hint="eastAsia"/>
              </w:rPr>
              <w:t>踏勘现场</w:t>
            </w:r>
          </w:p>
        </w:tc>
        <w:tc>
          <w:tcPr>
            <w:tcW w:w="7279" w:type="dxa"/>
            <w:gridSpan w:val="2"/>
            <w:vAlign w:val="center"/>
          </w:tcPr>
          <w:p>
            <w:pPr>
              <w:pStyle w:val="2"/>
              <w:ind w:left="0"/>
            </w:pPr>
            <w:r>
              <w:rPr>
                <w:rFonts w:hint="eastAsia"/>
              </w:rPr>
              <w:t>○不组织。</w:t>
            </w:r>
            <w:r>
              <w:t>由投标人自行踏勘，由此造成的一切后果由投标人自行承担</w:t>
            </w:r>
            <w:r>
              <w:rPr>
                <w:rFonts w:hint="eastAsia"/>
              </w:rPr>
              <w:t>。</w:t>
            </w:r>
          </w:p>
          <w:p>
            <w:pPr>
              <w:pStyle w:val="2"/>
              <w:ind w:left="0"/>
              <w:rPr>
                <w:u w:val="single"/>
              </w:rPr>
            </w:pPr>
            <w:r>
              <w:rPr>
                <w:rFonts w:hint="eastAsia"/>
              </w:rPr>
              <w:t>○组织，踏勘时间：</w:t>
            </w:r>
            <w:r>
              <w:rPr>
                <w:rFonts w:hint="eastAsia"/>
                <w:u w:val="single"/>
              </w:rPr>
              <w:t xml:space="preserve">           </w:t>
            </w:r>
          </w:p>
          <w:p>
            <w:pPr>
              <w:pStyle w:val="2"/>
              <w:ind w:left="0"/>
            </w:pPr>
            <w:r>
              <w:rPr>
                <w:rFonts w:hint="eastAsia"/>
              </w:rPr>
              <w:t xml:space="preserve">        踏勘集中地点：</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3" w:hRule="atLeast"/>
          <w:jc w:val="center"/>
        </w:trPr>
        <w:tc>
          <w:tcPr>
            <w:tcW w:w="1135" w:type="dxa"/>
            <w:vAlign w:val="center"/>
          </w:tcPr>
          <w:p>
            <w:pPr>
              <w:pStyle w:val="2"/>
              <w:ind w:left="0"/>
              <w:jc w:val="center"/>
            </w:pPr>
            <w:r>
              <w:rPr>
                <w:rFonts w:hint="eastAsia"/>
              </w:rPr>
              <w:t>1.10.1</w:t>
            </w:r>
          </w:p>
        </w:tc>
        <w:tc>
          <w:tcPr>
            <w:tcW w:w="1559" w:type="dxa"/>
            <w:gridSpan w:val="2"/>
            <w:vAlign w:val="center"/>
          </w:tcPr>
          <w:p>
            <w:pPr>
              <w:pStyle w:val="2"/>
              <w:ind w:left="0"/>
              <w:jc w:val="center"/>
            </w:pPr>
            <w:r>
              <w:rPr>
                <w:rFonts w:hint="eastAsia"/>
              </w:rPr>
              <w:t>投标预备会</w:t>
            </w:r>
          </w:p>
        </w:tc>
        <w:tc>
          <w:tcPr>
            <w:tcW w:w="7279" w:type="dxa"/>
            <w:gridSpan w:val="2"/>
            <w:vAlign w:val="center"/>
          </w:tcPr>
          <w:p>
            <w:pPr>
              <w:pStyle w:val="2"/>
              <w:ind w:left="0"/>
            </w:pPr>
            <w:r>
              <w:rPr>
                <w:rFonts w:hint="eastAsia"/>
              </w:rPr>
              <w:t>○不召开</w:t>
            </w:r>
          </w:p>
          <w:p>
            <w:pPr>
              <w:pStyle w:val="2"/>
              <w:ind w:left="0"/>
              <w:rPr>
                <w:u w:val="single"/>
              </w:rPr>
            </w:pPr>
            <w:r>
              <w:rPr>
                <w:rFonts w:hint="eastAsia"/>
              </w:rPr>
              <w:t>○召开，召开时间：</w:t>
            </w:r>
            <w:r>
              <w:rPr>
                <w:rFonts w:hint="eastAsia"/>
                <w:u w:val="single"/>
              </w:rPr>
              <w:t xml:space="preserve">                 </w:t>
            </w:r>
          </w:p>
          <w:p>
            <w:pPr>
              <w:pStyle w:val="2"/>
              <w:ind w:left="0"/>
            </w:pPr>
            <w:r>
              <w:rPr>
                <w:rFonts w:hint="eastAsia"/>
              </w:rPr>
              <w:t xml:space="preserve">        召开地点：</w:t>
            </w:r>
            <w:r>
              <w:rPr>
                <w:rFonts w:hint="eastAsia"/>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135" w:type="dxa"/>
            <w:vAlign w:val="center"/>
          </w:tcPr>
          <w:p>
            <w:pPr>
              <w:pStyle w:val="2"/>
              <w:ind w:left="0"/>
              <w:jc w:val="center"/>
            </w:pPr>
            <w:r>
              <w:rPr>
                <w:rFonts w:hint="eastAsia"/>
              </w:rPr>
              <w:t>1.11</w:t>
            </w:r>
          </w:p>
        </w:tc>
        <w:tc>
          <w:tcPr>
            <w:tcW w:w="1559" w:type="dxa"/>
            <w:gridSpan w:val="2"/>
            <w:vAlign w:val="center"/>
          </w:tcPr>
          <w:p>
            <w:pPr>
              <w:pStyle w:val="2"/>
              <w:ind w:left="0"/>
              <w:jc w:val="center"/>
            </w:pPr>
            <w:r>
              <w:rPr>
                <w:rFonts w:hint="eastAsia"/>
              </w:rPr>
              <w:t>★分包</w:t>
            </w:r>
          </w:p>
        </w:tc>
        <w:tc>
          <w:tcPr>
            <w:tcW w:w="7279" w:type="dxa"/>
            <w:gridSpan w:val="2"/>
            <w:vAlign w:val="center"/>
          </w:tcPr>
          <w:p>
            <w:pPr>
              <w:pStyle w:val="2"/>
              <w:ind w:left="0"/>
            </w:pPr>
            <w:r>
              <w:rPr>
                <w:rFonts w:hint="eastAsia"/>
              </w:rPr>
              <w:t>○不允许</w:t>
            </w:r>
          </w:p>
          <w:p>
            <w:pPr>
              <w:pStyle w:val="2"/>
              <w:ind w:left="0"/>
            </w:pPr>
            <w:r>
              <w:rPr>
                <w:rFonts w:hint="eastAsia"/>
              </w:rPr>
              <w:t>○允许：</w:t>
            </w:r>
          </w:p>
          <w:p>
            <w:pPr>
              <w:pStyle w:val="2"/>
              <w:ind w:left="0"/>
            </w:pPr>
            <w:r>
              <w:rPr>
                <w:rFonts w:hint="eastAsia"/>
              </w:rPr>
              <w:t>□总承包单位可以将承包工程中的部分工程（非主体、非关键性工作）发包给具有相应资质条件的分包单位</w:t>
            </w:r>
            <w:r>
              <w:t>，必须经项目业主认可。</w:t>
            </w:r>
          </w:p>
          <w:p>
            <w:pPr>
              <w:pStyle w:val="2"/>
              <w:ind w:left="0"/>
            </w:pPr>
            <w:r>
              <w:rPr>
                <w:rFonts w:hint="eastAsia"/>
              </w:rPr>
              <w:t>□其他：</w:t>
            </w:r>
          </w:p>
          <w:p>
            <w:pPr>
              <w:pStyle w:val="2"/>
              <w:ind w:left="0"/>
            </w:pPr>
            <w:r>
              <w:rPr>
                <w:rFonts w:hint="eastAsia"/>
              </w:rPr>
              <w:t>注：不得要求投标人在投标文件中提供拟分包人的营业执照、资质证书、分包协议等证明文件。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1135" w:type="dxa"/>
            <w:vAlign w:val="center"/>
          </w:tcPr>
          <w:p>
            <w:pPr>
              <w:pStyle w:val="2"/>
              <w:ind w:left="0"/>
              <w:jc w:val="center"/>
            </w:pPr>
            <w:r>
              <w:rPr>
                <w:rFonts w:hint="eastAsia"/>
              </w:rPr>
              <w:t>1.12</w:t>
            </w:r>
          </w:p>
        </w:tc>
        <w:tc>
          <w:tcPr>
            <w:tcW w:w="1559" w:type="dxa"/>
            <w:gridSpan w:val="2"/>
            <w:vAlign w:val="center"/>
          </w:tcPr>
          <w:p>
            <w:pPr>
              <w:pStyle w:val="2"/>
              <w:ind w:left="0"/>
              <w:jc w:val="center"/>
            </w:pPr>
            <w:r>
              <w:rPr>
                <w:rFonts w:hint="eastAsia"/>
              </w:rPr>
              <w:t>偏离</w:t>
            </w:r>
          </w:p>
        </w:tc>
        <w:tc>
          <w:tcPr>
            <w:tcW w:w="7279" w:type="dxa"/>
            <w:gridSpan w:val="2"/>
            <w:vAlign w:val="center"/>
          </w:tcPr>
          <w:p>
            <w:pPr>
              <w:pStyle w:val="2"/>
              <w:ind w:left="0"/>
            </w:pPr>
            <w:r>
              <w:rPr>
                <w:rFonts w:hint="eastAsia"/>
              </w:rPr>
              <w:t>○不允许</w:t>
            </w:r>
          </w:p>
          <w:p>
            <w:pPr>
              <w:pStyle w:val="2"/>
              <w:ind w:left="0"/>
            </w:pPr>
            <w:r>
              <w:rPr>
                <w:rFonts w:hint="eastAsia"/>
              </w:rPr>
              <w:t>○允许，具体要求详见第三章《评标办法》“评标办法前附表”中的规定。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135" w:type="dxa"/>
            <w:vAlign w:val="center"/>
          </w:tcPr>
          <w:p>
            <w:pPr>
              <w:pStyle w:val="2"/>
              <w:ind w:left="0"/>
              <w:jc w:val="center"/>
            </w:pPr>
            <w:r>
              <w:rPr>
                <w:rFonts w:hint="eastAsia"/>
              </w:rPr>
              <w:t>2.1</w:t>
            </w:r>
          </w:p>
        </w:tc>
        <w:tc>
          <w:tcPr>
            <w:tcW w:w="1559" w:type="dxa"/>
            <w:gridSpan w:val="2"/>
            <w:vAlign w:val="center"/>
          </w:tcPr>
          <w:p>
            <w:pPr>
              <w:pStyle w:val="2"/>
              <w:ind w:left="0"/>
              <w:jc w:val="center"/>
            </w:pPr>
            <w:r>
              <w:rPr>
                <w:rFonts w:hint="eastAsia"/>
              </w:rPr>
              <w:t>构成招标文件的其他材料</w:t>
            </w:r>
          </w:p>
        </w:tc>
        <w:tc>
          <w:tcPr>
            <w:tcW w:w="7279" w:type="dxa"/>
            <w:gridSpan w:val="2"/>
            <w:vAlign w:val="center"/>
          </w:tcPr>
          <w:p>
            <w:pPr>
              <w:pStyle w:val="2"/>
              <w:ind w:left="0"/>
            </w:pPr>
            <w:bookmarkStart w:id="13" w:name="_Toc213338009"/>
            <w:r>
              <w:rPr>
                <w:rFonts w:hint="eastAsia"/>
              </w:rPr>
              <w:t xml:space="preserve">   </w:t>
            </w:r>
            <w:r>
              <w:rPr>
                <w:rFonts w:hint="eastAsia"/>
                <w:u w:val="single"/>
              </w:rPr>
              <w:t xml:space="preserve">                                         </w:t>
            </w:r>
            <w:r>
              <w:rPr>
                <w:rFonts w:hint="eastAsia"/>
              </w:rPr>
              <w:t xml:space="preserve">          </w:t>
            </w:r>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39" w:hRule="atLeast"/>
          <w:jc w:val="center"/>
        </w:trPr>
        <w:tc>
          <w:tcPr>
            <w:tcW w:w="1135" w:type="dxa"/>
            <w:vAlign w:val="center"/>
          </w:tcPr>
          <w:p>
            <w:pPr>
              <w:pStyle w:val="2"/>
              <w:ind w:left="0"/>
              <w:jc w:val="center"/>
            </w:pPr>
            <w:r>
              <w:rPr>
                <w:rFonts w:hint="eastAsia"/>
              </w:rPr>
              <w:t>2.2.1</w:t>
            </w:r>
          </w:p>
        </w:tc>
        <w:tc>
          <w:tcPr>
            <w:tcW w:w="1559" w:type="dxa"/>
            <w:gridSpan w:val="2"/>
            <w:vAlign w:val="center"/>
          </w:tcPr>
          <w:p>
            <w:pPr>
              <w:pStyle w:val="2"/>
              <w:ind w:left="0"/>
              <w:jc w:val="center"/>
            </w:pPr>
            <w:r>
              <w:rPr>
                <w:rFonts w:hint="eastAsia"/>
              </w:rPr>
              <w:t>投标人要求澄清招标文件的截止时间</w:t>
            </w:r>
          </w:p>
        </w:tc>
        <w:tc>
          <w:tcPr>
            <w:tcW w:w="7279" w:type="dxa"/>
            <w:gridSpan w:val="2"/>
            <w:vAlign w:val="center"/>
          </w:tcPr>
          <w:p>
            <w:pPr>
              <w:pStyle w:val="2"/>
              <w:ind w:left="0"/>
            </w:pPr>
            <w:r>
              <w:t>投标人如有疑问，应在</w:t>
            </w:r>
            <w:r>
              <w:rPr>
                <w:u w:val="single"/>
              </w:rPr>
              <w:t>  </w:t>
            </w:r>
            <w:r>
              <w:t>年</w:t>
            </w:r>
            <w:r>
              <w:rPr>
                <w:u w:val="single"/>
              </w:rPr>
              <w:t>  </w:t>
            </w:r>
            <w:r>
              <w:t>月</w:t>
            </w:r>
            <w:r>
              <w:rPr>
                <w:u w:val="single"/>
              </w:rPr>
              <w:t>   </w:t>
            </w:r>
            <w:r>
              <w:t>日</w:t>
            </w:r>
            <w:r>
              <w:rPr>
                <w:u w:val="single"/>
              </w:rPr>
              <w:t>  </w:t>
            </w:r>
            <w:r>
              <w:t>时</w:t>
            </w:r>
            <w:r>
              <w:rPr>
                <w:rFonts w:hint="eastAsia"/>
                <w:u w:val="single"/>
              </w:rPr>
              <w:t xml:space="preserve">    </w:t>
            </w:r>
            <w:r>
              <w:rPr>
                <w:rFonts w:hint="eastAsia"/>
              </w:rPr>
              <w:t>分</w:t>
            </w:r>
            <w:r>
              <w:t>之前</w:t>
            </w:r>
            <w:r>
              <w:rPr>
                <w:rFonts w:hint="eastAsia"/>
              </w:rPr>
              <w:t>（投标截止日前</w:t>
            </w:r>
            <w:r>
              <w:t>10天）使用CA数字证书登录电子交易云平台进行在线提问（投标人在此时间之后提出的问题，招标人不再进行澄清和答复）。</w:t>
            </w:r>
          </w:p>
          <w:p>
            <w:pPr>
              <w:pStyle w:val="2"/>
              <w:ind w:left="0"/>
            </w:pPr>
            <w:r>
              <w:t>招标人将</w:t>
            </w:r>
            <w:r>
              <w:rPr>
                <w:rFonts w:hint="eastAsia"/>
              </w:rPr>
              <w:t>对投标人提出的问题进行统一答复，答复内容对投标文件有实质性影响的，且开标时间不足</w:t>
            </w:r>
            <w:r>
              <w:t>15日，应当顺延。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135" w:type="dxa"/>
            <w:vAlign w:val="center"/>
          </w:tcPr>
          <w:p>
            <w:pPr>
              <w:pStyle w:val="2"/>
              <w:ind w:left="0"/>
              <w:jc w:val="center"/>
            </w:pPr>
            <w:r>
              <w:rPr>
                <w:rFonts w:hint="eastAsia"/>
              </w:rPr>
              <w:t>2.2.2</w:t>
            </w:r>
          </w:p>
        </w:tc>
        <w:tc>
          <w:tcPr>
            <w:tcW w:w="1559" w:type="dxa"/>
            <w:gridSpan w:val="2"/>
            <w:vAlign w:val="center"/>
          </w:tcPr>
          <w:p>
            <w:pPr>
              <w:pStyle w:val="2"/>
              <w:ind w:left="0"/>
              <w:jc w:val="center"/>
            </w:pPr>
            <w:r>
              <w:rPr>
                <w:rFonts w:hint="eastAsia"/>
              </w:rPr>
              <w:t>投标截止时间</w:t>
            </w:r>
          </w:p>
        </w:tc>
        <w:tc>
          <w:tcPr>
            <w:tcW w:w="7279" w:type="dxa"/>
            <w:gridSpan w:val="2"/>
            <w:vAlign w:val="center"/>
          </w:tcPr>
          <w:p>
            <w:pPr>
              <w:pStyle w:val="2"/>
              <w:ind w:left="0"/>
            </w:pPr>
            <w:r>
              <w:rPr>
                <w:u w:val="single"/>
              </w:rPr>
              <w:t>    </w:t>
            </w:r>
            <w:r>
              <w:t>年</w:t>
            </w:r>
            <w:r>
              <w:rPr>
                <w:u w:val="single"/>
              </w:rPr>
              <w:t>   </w:t>
            </w:r>
            <w:r>
              <w:t>月</w:t>
            </w:r>
            <w:r>
              <w:rPr>
                <w:u w:val="single"/>
              </w:rPr>
              <w:t>   </w:t>
            </w:r>
            <w:r>
              <w:t>日</w:t>
            </w:r>
            <w:r>
              <w:rPr>
                <w:u w:val="single"/>
              </w:rPr>
              <w:t>   </w:t>
            </w:r>
            <w:r>
              <w:t>时</w:t>
            </w:r>
            <w:r>
              <w:rPr>
                <w:u w:val="single"/>
              </w:rPr>
              <w:t>  </w:t>
            </w:r>
            <w:r>
              <w:t xml:space="preserve">分（以市公资交易中心系统时间为准） </w:t>
            </w:r>
          </w:p>
          <w:p>
            <w:pPr>
              <w:pStyle w:val="2"/>
              <w:ind w:left="0"/>
            </w:pPr>
            <w:r>
              <w:rPr>
                <w:rFonts w:hint="eastAsia"/>
              </w:rPr>
              <w:t>注：若有补遗文件修改的，以补遗文件中确定的时间为准；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135" w:type="dxa"/>
            <w:vAlign w:val="center"/>
          </w:tcPr>
          <w:p>
            <w:pPr>
              <w:pStyle w:val="2"/>
              <w:ind w:left="0"/>
              <w:jc w:val="center"/>
            </w:pPr>
            <w:r>
              <w:rPr>
                <w:rFonts w:hint="eastAsia"/>
              </w:rPr>
              <w:t>2.2.3</w:t>
            </w:r>
          </w:p>
        </w:tc>
        <w:tc>
          <w:tcPr>
            <w:tcW w:w="1559" w:type="dxa"/>
            <w:gridSpan w:val="2"/>
            <w:vAlign w:val="center"/>
          </w:tcPr>
          <w:p>
            <w:pPr>
              <w:pStyle w:val="2"/>
              <w:ind w:left="0"/>
              <w:jc w:val="center"/>
            </w:pPr>
            <w:r>
              <w:rPr>
                <w:rFonts w:hint="eastAsia"/>
              </w:rPr>
              <w:t>投标人确认收到招标文件澄清的时间</w:t>
            </w:r>
          </w:p>
        </w:tc>
        <w:tc>
          <w:tcPr>
            <w:tcW w:w="7279" w:type="dxa"/>
            <w:gridSpan w:val="2"/>
            <w:vAlign w:val="center"/>
          </w:tcPr>
          <w:p>
            <w:pPr>
              <w:pStyle w:val="2"/>
              <w:ind w:left="0"/>
            </w:pPr>
            <w:r>
              <w:rPr>
                <w:rFonts w:hint="eastAsia"/>
              </w:rPr>
              <w:t>招标人将于投标截止时间15日前在《成都市公共资源电子交易云平台》（www.cdggzy.com）上提问答疑区上传经备案后的答疑及补遗文件，投标人请及时在该区自行下载本标段的答疑及补遗文件，投标人应在投标期间随时该区查询本标段的答疑及补遗文件，投标人未自行下载本标段所有答疑及补遗文件，由此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135" w:type="dxa"/>
            <w:vAlign w:val="center"/>
          </w:tcPr>
          <w:p>
            <w:pPr>
              <w:pStyle w:val="2"/>
              <w:ind w:left="0"/>
              <w:jc w:val="center"/>
            </w:pPr>
            <w:r>
              <w:rPr>
                <w:rFonts w:hint="eastAsia"/>
              </w:rPr>
              <w:t>2.3.2</w:t>
            </w:r>
          </w:p>
        </w:tc>
        <w:tc>
          <w:tcPr>
            <w:tcW w:w="1559" w:type="dxa"/>
            <w:gridSpan w:val="2"/>
            <w:vAlign w:val="center"/>
          </w:tcPr>
          <w:p>
            <w:pPr>
              <w:pStyle w:val="2"/>
              <w:ind w:left="0"/>
              <w:jc w:val="center"/>
            </w:pPr>
            <w:r>
              <w:rPr>
                <w:rFonts w:hint="eastAsia"/>
              </w:rPr>
              <w:t>投标人确认收到招标文件修改的时间</w:t>
            </w:r>
          </w:p>
        </w:tc>
        <w:tc>
          <w:tcPr>
            <w:tcW w:w="7279" w:type="dxa"/>
            <w:gridSpan w:val="2"/>
            <w:vAlign w:val="center"/>
          </w:tcPr>
          <w:p>
            <w:pPr>
              <w:pStyle w:val="2"/>
              <w:ind w:left="0"/>
            </w:pPr>
            <w:r>
              <w:rPr>
                <w:rFonts w:hint="eastAsia"/>
              </w:rPr>
              <w:t>招标人将于投标截止时间15日前在《成都市公共资源电子交易云平台》（www.cdggzy.com）上招标相关文件下载区上传经修改并备案后的招标文件（若有时），投标人请及时在招标相关文件下载区自行下载本标段修改后的招标文件，投标人应在投标期间随时在《成都市公共资源电子交易云平台》（www.cdggzy.com）上招标相关文件下载区查询本标段是否有修改后的招标文件，投标人未自行下载的，由此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jc w:val="center"/>
        </w:trPr>
        <w:tc>
          <w:tcPr>
            <w:tcW w:w="1135" w:type="dxa"/>
            <w:vAlign w:val="center"/>
          </w:tcPr>
          <w:p>
            <w:pPr>
              <w:pStyle w:val="2"/>
              <w:ind w:left="0"/>
              <w:jc w:val="center"/>
            </w:pPr>
            <w:r>
              <w:rPr>
                <w:rFonts w:hint="eastAsia"/>
              </w:rPr>
              <w:t>3.1.1</w:t>
            </w:r>
          </w:p>
        </w:tc>
        <w:tc>
          <w:tcPr>
            <w:tcW w:w="1559" w:type="dxa"/>
            <w:gridSpan w:val="2"/>
            <w:vAlign w:val="center"/>
          </w:tcPr>
          <w:p>
            <w:pPr>
              <w:pStyle w:val="2"/>
              <w:ind w:left="0"/>
              <w:jc w:val="center"/>
            </w:pPr>
            <w:r>
              <w:rPr>
                <w:rFonts w:hint="eastAsia"/>
              </w:rPr>
              <w:t>构成投标文件的其他材料</w:t>
            </w:r>
          </w:p>
        </w:tc>
        <w:tc>
          <w:tcPr>
            <w:tcW w:w="7279" w:type="dxa"/>
            <w:gridSpan w:val="2"/>
            <w:vAlign w:val="center"/>
          </w:tcPr>
          <w:p>
            <w:pPr>
              <w:pStyle w:val="2"/>
              <w:ind w:left="0"/>
            </w:pPr>
            <w:bookmarkStart w:id="14" w:name="_Toc213338024"/>
            <w:r>
              <w:rPr>
                <w:rFonts w:hint="eastAsia"/>
              </w:rPr>
              <w:t>投标人认为有必要提供的其他材料</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5" w:hRule="atLeast"/>
          <w:jc w:val="center"/>
        </w:trPr>
        <w:tc>
          <w:tcPr>
            <w:tcW w:w="1135" w:type="dxa"/>
            <w:vAlign w:val="center"/>
          </w:tcPr>
          <w:p>
            <w:pPr>
              <w:pStyle w:val="2"/>
              <w:ind w:left="0"/>
              <w:jc w:val="center"/>
            </w:pPr>
            <w:r>
              <w:rPr>
                <w:rFonts w:hint="eastAsia"/>
              </w:rPr>
              <w:t>3.3.1</w:t>
            </w:r>
          </w:p>
        </w:tc>
        <w:tc>
          <w:tcPr>
            <w:tcW w:w="1559" w:type="dxa"/>
            <w:gridSpan w:val="2"/>
            <w:vAlign w:val="center"/>
          </w:tcPr>
          <w:p>
            <w:pPr>
              <w:pStyle w:val="2"/>
              <w:ind w:left="0"/>
              <w:jc w:val="center"/>
            </w:pPr>
            <w:r>
              <w:rPr>
                <w:rFonts w:hint="eastAsia"/>
              </w:rPr>
              <w:t>★投标有效期</w:t>
            </w:r>
          </w:p>
        </w:tc>
        <w:tc>
          <w:tcPr>
            <w:tcW w:w="7279" w:type="dxa"/>
            <w:gridSpan w:val="2"/>
            <w:vAlign w:val="center"/>
          </w:tcPr>
          <w:p>
            <w:pPr>
              <w:pStyle w:val="2"/>
              <w:ind w:left="0"/>
            </w:pPr>
            <w:r>
              <w:rPr>
                <w:u w:val="single"/>
              </w:rPr>
              <w:t>     </w:t>
            </w:r>
            <w:r>
              <w:rPr>
                <w:rFonts w:hint="eastAsia"/>
              </w:rPr>
              <w:t>日历天（从提交投标文件的截止之日算起）</w:t>
            </w:r>
          </w:p>
          <w:p>
            <w:pPr>
              <w:pStyle w:val="2"/>
              <w:ind w:left="0"/>
            </w:pPr>
            <w:r>
              <w:rPr>
                <w:rFonts w:hint="eastAsia"/>
              </w:rPr>
              <w:t>注:不能在投标有效期内完成评标和定标的,招标人应当通知所有投标人延长投标有效期;拒绝延长投标有效期的投标人有权收回投标保证金;没有拒绝延长投标有效期的投标人自动延长其投标担保的有效期,但不得修改投标文件的实质性内容。因延长投标有效期造成投标人损失的,招标人应当给予补偿,但因不可抗力需延长投标有效期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 w:hRule="atLeast"/>
          <w:jc w:val="center"/>
        </w:trPr>
        <w:tc>
          <w:tcPr>
            <w:tcW w:w="1135" w:type="dxa"/>
            <w:vAlign w:val="center"/>
          </w:tcPr>
          <w:p>
            <w:pPr>
              <w:pStyle w:val="2"/>
              <w:ind w:left="0"/>
              <w:jc w:val="center"/>
            </w:pPr>
            <w:r>
              <w:rPr>
                <w:rFonts w:hint="eastAsia"/>
              </w:rPr>
              <w:t>3.4.1</w:t>
            </w:r>
          </w:p>
        </w:tc>
        <w:tc>
          <w:tcPr>
            <w:tcW w:w="1559" w:type="dxa"/>
            <w:gridSpan w:val="2"/>
            <w:vAlign w:val="center"/>
          </w:tcPr>
          <w:p>
            <w:pPr>
              <w:pStyle w:val="2"/>
              <w:ind w:left="0"/>
              <w:jc w:val="center"/>
            </w:pPr>
            <w:r>
              <w:rPr>
                <w:rFonts w:hint="eastAsia"/>
              </w:rPr>
              <w:t>★投标保证金</w:t>
            </w:r>
          </w:p>
        </w:tc>
        <w:tc>
          <w:tcPr>
            <w:tcW w:w="7279" w:type="dxa"/>
            <w:gridSpan w:val="2"/>
            <w:vAlign w:val="center"/>
          </w:tcPr>
          <w:p>
            <w:pPr>
              <w:pStyle w:val="2"/>
              <w:ind w:left="0"/>
            </w:pPr>
            <w:r>
              <w:rPr>
                <w:rFonts w:hint="eastAsia"/>
              </w:rPr>
              <w:t>○不提交</w:t>
            </w:r>
          </w:p>
          <w:p>
            <w:pPr>
              <w:pStyle w:val="2"/>
              <w:ind w:left="0"/>
            </w:pPr>
            <w:r>
              <w:rPr>
                <w:rFonts w:hint="eastAsia"/>
              </w:rPr>
              <w:t>○提交，投标保证金的金额：</w:t>
            </w:r>
            <w:r>
              <w:rPr>
                <w:rFonts w:hint="eastAsia"/>
                <w:u w:val="single"/>
              </w:rPr>
              <w:t xml:space="preserve">      </w:t>
            </w:r>
            <w:r>
              <w:rPr>
                <w:rFonts w:hint="eastAsia"/>
              </w:rPr>
              <w:t xml:space="preserve"> 万元。</w:t>
            </w:r>
          </w:p>
          <w:p>
            <w:pPr>
              <w:pStyle w:val="2"/>
              <w:ind w:left="0"/>
            </w:pPr>
            <w:r>
              <w:rPr>
                <w:rFonts w:hint="eastAsia"/>
              </w:rPr>
              <w:t>投标保证金须按招标文件要求、以投标人名义提交。提交单位名称应与投标单位一致，不得以分支机构等其他名义提交，且仅限当次投标项目（标段）有效，不得重复替代使用。</w:t>
            </w:r>
          </w:p>
          <w:p>
            <w:pPr>
              <w:pStyle w:val="2"/>
              <w:ind w:left="0"/>
            </w:pPr>
            <w:r>
              <w:rPr>
                <w:rFonts w:hint="eastAsia"/>
              </w:rPr>
              <w:t>投标保证金的缴纳方式为以下三种方式，由投标人任选一种方式递交：</w:t>
            </w:r>
          </w:p>
          <w:p>
            <w:pPr>
              <w:pStyle w:val="2"/>
              <w:ind w:left="0"/>
            </w:pPr>
            <w:r>
              <w:rPr>
                <w:rFonts w:hint="eastAsia"/>
              </w:rPr>
              <w:t>第一种递交方式——通过基本帐户银行转账或银行电汇或银行汇票或网银</w:t>
            </w:r>
          </w:p>
          <w:p>
            <w:pPr>
              <w:pStyle w:val="2"/>
              <w:ind w:left="0"/>
            </w:pPr>
            <w:r>
              <w:rPr>
                <w:rFonts w:hint="eastAsia"/>
              </w:rPr>
              <w:t>第二种递交方式——银行保函</w:t>
            </w:r>
          </w:p>
          <w:p>
            <w:pPr>
              <w:pStyle w:val="2"/>
              <w:ind w:left="0"/>
            </w:pPr>
            <w:r>
              <w:rPr>
                <w:rFonts w:hint="eastAsia"/>
              </w:rPr>
              <w:t>第三种递交方式</w:t>
            </w:r>
            <w:r>
              <w:t>——</w:t>
            </w:r>
            <w:r>
              <w:rPr>
                <w:rFonts w:hint="eastAsia"/>
              </w:rPr>
              <w:t>保证保险（即通过与成都市公共资源电子交易云平台完成系统对接的保险机构推送的电子保单）</w:t>
            </w:r>
          </w:p>
          <w:p>
            <w:pPr>
              <w:pStyle w:val="2"/>
              <w:ind w:left="0"/>
            </w:pPr>
            <w:r>
              <w:t>A</w:t>
            </w:r>
            <w:r>
              <w:rPr>
                <w:rFonts w:hint="eastAsia"/>
              </w:rPr>
              <w:t>、采用第一种方式递交投标保证金的注意事项：</w:t>
            </w:r>
          </w:p>
          <w:p>
            <w:pPr>
              <w:pStyle w:val="2"/>
              <w:ind w:left="0"/>
            </w:pPr>
            <w:r>
              <w:rPr>
                <w:rFonts w:hint="eastAsia"/>
              </w:rPr>
              <w:t>（</w:t>
            </w:r>
            <w:r>
              <w:t>1</w:t>
            </w:r>
            <w:r>
              <w:rPr>
                <w:rFonts w:hint="eastAsia"/>
              </w:rPr>
              <w:t>）投标人应根据“拟投标项目回执”上载明的投标保证金收款账户名、账号、开户银行、应交金额等要求交纳保证金，应从其基本账户将投标保证金一次性转至“拟投标项目回执”上的收款账号，投标保证金递交截止时间为投标截止前一个工作日下午16点00分（以到账时间为准）。</w:t>
            </w:r>
          </w:p>
          <w:p>
            <w:pPr>
              <w:pStyle w:val="2"/>
              <w:ind w:left="0"/>
            </w:pPr>
            <w:r>
              <w:rPr>
                <w:rFonts w:hint="eastAsia"/>
              </w:rPr>
              <w:t>（</w:t>
            </w:r>
            <w:r>
              <w:t>2</w:t>
            </w:r>
            <w:r>
              <w:rPr>
                <w:rFonts w:hint="eastAsia"/>
              </w:rPr>
              <w:t>）市公交易中心投标保证金专用账户的相关信息如下：</w:t>
            </w:r>
          </w:p>
          <w:p>
            <w:pPr>
              <w:pStyle w:val="2"/>
              <w:ind w:left="0"/>
            </w:pPr>
            <w:r>
              <w:rPr>
                <w:rFonts w:hint="eastAsia"/>
              </w:rPr>
              <w:t>开户单位：</w:t>
            </w:r>
            <w:r>
              <w:t xml:space="preserve"> </w:t>
            </w:r>
            <w:r>
              <w:rPr>
                <w:rFonts w:hint="eastAsia"/>
              </w:rPr>
              <w:t>○成都市公共资源交易服务中心</w:t>
            </w:r>
          </w:p>
          <w:p>
            <w:pPr>
              <w:pStyle w:val="2"/>
              <w:ind w:left="0"/>
              <w:rPr>
                <w:u w:val="single"/>
              </w:rPr>
            </w:pPr>
            <w:r>
              <w:rPr>
                <w:rFonts w:hint="eastAsia"/>
              </w:rPr>
              <w:t xml:space="preserve">           ○分中心：</w:t>
            </w:r>
            <w:r>
              <w:rPr>
                <w:rFonts w:hint="eastAsia"/>
                <w:u w:val="single"/>
              </w:rPr>
              <w:t xml:space="preserve">                    </w:t>
            </w:r>
          </w:p>
          <w:p>
            <w:pPr>
              <w:pStyle w:val="2"/>
              <w:ind w:left="0"/>
            </w:pPr>
            <w:r>
              <w:rPr>
                <w:rFonts w:hint="eastAsia"/>
              </w:rPr>
              <w:t>开</w:t>
            </w:r>
            <w:r>
              <w:t xml:space="preserve"> </w:t>
            </w:r>
            <w:r>
              <w:rPr>
                <w:rFonts w:hint="eastAsia"/>
              </w:rPr>
              <w:t>户</w:t>
            </w:r>
            <w:r>
              <w:t xml:space="preserve"> </w:t>
            </w:r>
            <w:r>
              <w:rPr>
                <w:rFonts w:hint="eastAsia"/>
              </w:rPr>
              <w:t>行： 以“拟投标项目回执”提供的账号为准</w:t>
            </w:r>
          </w:p>
          <w:p>
            <w:pPr>
              <w:pStyle w:val="2"/>
              <w:ind w:left="0"/>
            </w:pPr>
            <w:r>
              <w:rPr>
                <w:rFonts w:hint="eastAsia"/>
              </w:rPr>
              <w:t>账</w:t>
            </w:r>
            <w:r>
              <w:t xml:space="preserve">    </w:t>
            </w:r>
            <w:r>
              <w:rPr>
                <w:rFonts w:hint="eastAsia"/>
              </w:rPr>
              <w:t>号： 以“拟投标项目回执”提供的账号为准</w:t>
            </w:r>
          </w:p>
          <w:p>
            <w:pPr>
              <w:pStyle w:val="2"/>
              <w:ind w:left="0"/>
            </w:pPr>
            <w:r>
              <w:rPr>
                <w:rFonts w:hint="eastAsia"/>
              </w:rPr>
              <w:t>注：在成都银行开设基本账户的投标人，必须使用同城交换或银行电汇的方式提交投标保证金，不能使用通存通兑的方式提交。</w:t>
            </w:r>
          </w:p>
          <w:p>
            <w:pPr>
              <w:pStyle w:val="2"/>
              <w:ind w:left="0"/>
            </w:pPr>
            <w:r>
              <w:rPr>
                <w:rFonts w:hint="eastAsia"/>
              </w:rPr>
              <w:t>B、采用第二种方式递交投标保证金的注意事项：</w:t>
            </w:r>
          </w:p>
          <w:p>
            <w:pPr>
              <w:pStyle w:val="2"/>
              <w:ind w:left="0"/>
            </w:pPr>
            <w:r>
              <w:rPr>
                <w:rFonts w:hint="eastAsia"/>
              </w:rPr>
              <w:t>（1）银行保函的格式以银行格式为准，保函的内容应包括投标保证金金额、保函的有效期限、银行担保的内容（即：如因投标人原因发生招标文件规定的投标保证金不予退还的情况，由银行向招标人足额支付投标保证金）；</w:t>
            </w:r>
          </w:p>
          <w:p>
            <w:pPr>
              <w:pStyle w:val="2"/>
              <w:ind w:left="0"/>
            </w:pPr>
            <w:r>
              <w:rPr>
                <w:rFonts w:hint="eastAsia"/>
              </w:rPr>
              <w:t>（2）递交纸质银行保函的投标人，应在投标截止时间前1个工作日16点00分之前，将银行保函原件提交至交易中心；递交电子银行保函的投标人，应在投标截止时间前1个工作日16点00分之前，对接银行将出具的电子银行保函推送至成都市公共资源电子交易云平台。</w:t>
            </w:r>
          </w:p>
          <w:p>
            <w:pPr>
              <w:pStyle w:val="2"/>
              <w:ind w:left="0"/>
            </w:pPr>
            <w:r>
              <w:t>C</w:t>
            </w:r>
            <w:r>
              <w:rPr>
                <w:rFonts w:hint="eastAsia"/>
              </w:rPr>
              <w:t>、采用第三种方式递交投标保证金的注意事项：</w:t>
            </w:r>
          </w:p>
          <w:p>
            <w:pPr>
              <w:pStyle w:val="2"/>
              <w:ind w:left="0"/>
            </w:pPr>
            <w:r>
              <w:t>(1)</w:t>
            </w:r>
            <w:r>
              <w:rPr>
                <w:rFonts w:hint="eastAsia"/>
              </w:rPr>
              <w:t>保证保险的格式以保险机构的保单格式为准，保单内容应包括投标保证金金额、保单的有效期限、保证的内容等。</w:t>
            </w:r>
          </w:p>
          <w:p>
            <w:pPr>
              <w:pStyle w:val="2"/>
              <w:ind w:left="0"/>
            </w:pPr>
            <w:r>
              <w:t>(2)</w:t>
            </w:r>
            <w:r>
              <w:rPr>
                <w:rFonts w:hint="eastAsia"/>
              </w:rPr>
              <w:t>投标人应通过其银行账户向保险机构缴纳保证保险保费，保险机构需在投标人投保的项目投标截止时间前</w:t>
            </w:r>
            <w:r>
              <w:t>1</w:t>
            </w:r>
            <w:r>
              <w:rPr>
                <w:rFonts w:hint="eastAsia"/>
              </w:rPr>
              <w:t>个工作日</w:t>
            </w:r>
            <w:r>
              <w:t>16:00</w:t>
            </w:r>
            <w:r>
              <w:rPr>
                <w:rFonts w:hint="eastAsia"/>
              </w:rPr>
              <w:t>时前，将对应标段投标人的电子保单推送至成都市公共资源电子交易云平台。保险公司通过短信方式告知投标人投保成功和电子保单推送成功。保证保费</w:t>
            </w:r>
            <w:r>
              <w:t>以投标情况公示表为准。</w:t>
            </w:r>
          </w:p>
          <w:p>
            <w:pPr>
              <w:pStyle w:val="2"/>
              <w:ind w:left="0"/>
            </w:pPr>
            <w:r>
              <w:t>(3)</w:t>
            </w:r>
            <w:r>
              <w:rPr>
                <w:rFonts w:hint="eastAsia"/>
              </w:rPr>
              <w:t>投标人在招标投标过程中存在提供虚假保证资料或虚假保单、围标串标等违法违规行为经调查属实的，记入企业不良信用信息，同时推送至相关监管部门，在投标保证保险业务开展过程中实施联合惩戒。</w:t>
            </w:r>
          </w:p>
          <w:p>
            <w:pPr>
              <w:pStyle w:val="2"/>
              <w:ind w:left="0"/>
            </w:pPr>
            <w:r>
              <w:t>D</w:t>
            </w:r>
            <w:r>
              <w:rPr>
                <w:rFonts w:hint="eastAsia"/>
              </w:rPr>
              <w:t>、项目（标段）投标保证金的提交情况应于开标时在交易中心开标系统中公布。</w:t>
            </w:r>
          </w:p>
          <w:p>
            <w:pPr>
              <w:pStyle w:val="2"/>
              <w:ind w:left="0"/>
            </w:pPr>
            <w:r>
              <w:t>E</w:t>
            </w:r>
            <w:r>
              <w:rPr>
                <w:rFonts w:hint="eastAsia"/>
              </w:rPr>
              <w:t>、本标段投标人不按本招标文件要求提交投标保证金的，该投标文件将被否决投标。</w:t>
            </w:r>
          </w:p>
          <w:p>
            <w:pPr>
              <w:pStyle w:val="2"/>
              <w:ind w:left="0"/>
            </w:pPr>
            <w:r>
              <w:t>F</w:t>
            </w:r>
            <w:r>
              <w:rPr>
                <w:rFonts w:hint="eastAsia"/>
              </w:rPr>
              <w:t>. 联合体投标的，投标保证金须由联合体牵头人递交，并对联合体各成员均具有同等约束力。</w:t>
            </w:r>
          </w:p>
          <w:p>
            <w:pPr>
              <w:pStyle w:val="2"/>
              <w:ind w:left="0"/>
            </w:pPr>
            <w:r>
              <w:rPr>
                <w:rFonts w:hint="eastAsia"/>
              </w:rPr>
              <w:t>注：</w:t>
            </w:r>
          </w:p>
          <w:p>
            <w:pPr>
              <w:pStyle w:val="2"/>
              <w:ind w:left="0"/>
            </w:pPr>
            <w:r>
              <w:rPr>
                <w:rFonts w:hint="eastAsia"/>
              </w:rPr>
              <w:t>1、在开标(投标截止时间)时，交易中心对投标人投标保证金提交信息有异常的情况在投标情况公示表上进行标记“*”，招标人（招标代理）如实记录并推送给评标委员会，由评标委员会予以评审。</w:t>
            </w:r>
          </w:p>
          <w:p>
            <w:pPr>
              <w:pStyle w:val="2"/>
              <w:ind w:left="0"/>
            </w:pPr>
            <w:r>
              <w:rPr>
                <w:rFonts w:hint="eastAsia"/>
              </w:rPr>
              <w:t>2、投标人应根据投标保证金交纳要求以及“拟投标项目回执”中的投标保证金收款账户名称、收款账号（下载招标文件时由系统自动生成收款账号）、开户银行等信息提交保证金，并通过交款银行查询是否提交成功。</w:t>
            </w:r>
          </w:p>
          <w:p>
            <w:pPr>
              <w:pStyle w:val="2"/>
              <w:ind w:left="0"/>
            </w:pPr>
            <w:r>
              <w:rPr>
                <w:rFonts w:hint="eastAsia"/>
              </w:rPr>
              <w:t>3、投标保证金不得超过项目估算价的百分之二，但最高不得超过八十万元人民币。投标保证金有效期应当与投标有效期一致。</w:t>
            </w:r>
          </w:p>
          <w:p>
            <w:pPr>
              <w:pStyle w:val="2"/>
              <w:ind w:left="0"/>
            </w:pPr>
            <w:r>
              <w:rPr>
                <w:rFonts w:hint="eastAsia"/>
              </w:rPr>
              <w:t>4、投标保证金金额经计算为</w:t>
            </w:r>
            <w:r>
              <w:t>1—9</w:t>
            </w:r>
            <w:r>
              <w:rPr>
                <w:rFonts w:hint="eastAsia"/>
              </w:rPr>
              <w:t>9</w:t>
            </w:r>
            <w:r>
              <w:t>99</w:t>
            </w:r>
            <w:r>
              <w:rPr>
                <w:rFonts w:hint="eastAsia"/>
              </w:rPr>
              <w:t>元的，按照“取整就低”原则取整到千位（即缴纳：0，</w:t>
            </w:r>
            <w:r>
              <w:t>1000</w:t>
            </w:r>
            <w:r>
              <w:rPr>
                <w:rFonts w:hint="eastAsia"/>
              </w:rPr>
              <w:t>、</w:t>
            </w:r>
            <w:r>
              <w:t>2000</w:t>
            </w:r>
            <w:r>
              <w:rPr>
                <w:rFonts w:hint="eastAsia"/>
              </w:rPr>
              <w:t>、</w:t>
            </w:r>
            <w:r>
              <w:t>3000</w:t>
            </w:r>
            <w:r>
              <w:rPr>
                <w:rFonts w:hint="eastAsia"/>
              </w:rPr>
              <w:t>………</w:t>
            </w:r>
            <w:r>
              <w:t>9000</w:t>
            </w:r>
            <w:r>
              <w:rPr>
                <w:rFonts w:hint="eastAsia"/>
              </w:rPr>
              <w:t>元）；投标保证金金额经计算为</w:t>
            </w:r>
            <w:r>
              <w:t>10000—</w:t>
            </w:r>
            <w:r>
              <w:rPr>
                <w:rFonts w:hint="eastAsia"/>
              </w:rPr>
              <w:t>199</w:t>
            </w:r>
            <w:r>
              <w:t>999</w:t>
            </w:r>
            <w:r>
              <w:rPr>
                <w:rFonts w:hint="eastAsia"/>
              </w:rPr>
              <w:t>元的，按照“取整就低”原则取整到万位（即缴纳：</w:t>
            </w:r>
            <w:r>
              <w:t>10000</w:t>
            </w:r>
            <w:r>
              <w:rPr>
                <w:rFonts w:hint="eastAsia"/>
              </w:rPr>
              <w:t>、</w:t>
            </w:r>
            <w:r>
              <w:t>20000</w:t>
            </w:r>
            <w:r>
              <w:rPr>
                <w:rFonts w:hint="eastAsia"/>
              </w:rPr>
              <w:t>、</w:t>
            </w:r>
            <w:r>
              <w:t>30000</w:t>
            </w:r>
            <w:r>
              <w:rPr>
                <w:rFonts w:hint="eastAsia"/>
              </w:rPr>
              <w:t>………1</w:t>
            </w:r>
            <w:r>
              <w:t>90000</w:t>
            </w:r>
            <w:r>
              <w:rPr>
                <w:rFonts w:hint="eastAsia"/>
              </w:rPr>
              <w:t>元）；投标保证金金额经计算为200</w:t>
            </w:r>
            <w:r>
              <w:t>000—</w:t>
            </w:r>
            <w:r>
              <w:rPr>
                <w:rFonts w:hint="eastAsia"/>
              </w:rPr>
              <w:t>3</w:t>
            </w:r>
            <w:r>
              <w:t>99999</w:t>
            </w:r>
            <w:r>
              <w:rPr>
                <w:rFonts w:hint="eastAsia"/>
              </w:rPr>
              <w:t>元的，按照“取整就低”原则以2万元递增取整（即缴纳：20</w:t>
            </w:r>
            <w:r>
              <w:t>0000</w:t>
            </w:r>
            <w:r>
              <w:rPr>
                <w:rFonts w:hint="eastAsia"/>
              </w:rPr>
              <w:t>、</w:t>
            </w:r>
            <w:r>
              <w:t>2</w:t>
            </w:r>
            <w:r>
              <w:rPr>
                <w:rFonts w:hint="eastAsia"/>
              </w:rPr>
              <w:t>20</w:t>
            </w:r>
            <w:r>
              <w:t>000</w:t>
            </w:r>
            <w:r>
              <w:rPr>
                <w:rFonts w:hint="eastAsia"/>
              </w:rPr>
              <w:t>、24</w:t>
            </w:r>
            <w:r>
              <w:t>0000</w:t>
            </w:r>
            <w:r>
              <w:rPr>
                <w:rFonts w:hint="eastAsia"/>
              </w:rPr>
              <w:t>………38</w:t>
            </w:r>
            <w:r>
              <w:t>0000</w:t>
            </w:r>
            <w:r>
              <w:rPr>
                <w:rFonts w:hint="eastAsia"/>
              </w:rPr>
              <w:t>元）；投标保证金金额经计算为400</w:t>
            </w:r>
            <w:r>
              <w:t>000—</w:t>
            </w:r>
            <w:r>
              <w:rPr>
                <w:rFonts w:hint="eastAsia"/>
              </w:rPr>
              <w:t>7</w:t>
            </w:r>
            <w:r>
              <w:t>99999</w:t>
            </w:r>
            <w:r>
              <w:rPr>
                <w:rFonts w:hint="eastAsia"/>
              </w:rPr>
              <w:t>元的，按照“取整就低”原则以5万元递增取整（即缴纳：40</w:t>
            </w:r>
            <w:r>
              <w:t>0000</w:t>
            </w:r>
            <w:r>
              <w:rPr>
                <w:rFonts w:hint="eastAsia"/>
              </w:rPr>
              <w:t>、450</w:t>
            </w:r>
            <w:r>
              <w:t>000</w:t>
            </w:r>
            <w:r>
              <w:rPr>
                <w:rFonts w:hint="eastAsia"/>
              </w:rPr>
              <w:t>、50</w:t>
            </w:r>
            <w:r>
              <w:t>0000</w:t>
            </w:r>
            <w:r>
              <w:rPr>
                <w:rFonts w:hint="eastAsia"/>
              </w:rPr>
              <w:t>………78</w:t>
            </w:r>
            <w:r>
              <w:t>0000</w:t>
            </w:r>
            <w:r>
              <w:rPr>
                <w:rFonts w:hint="eastAsia"/>
              </w:rPr>
              <w:t>元）；投标保证金金额经计算在</w:t>
            </w:r>
            <w:r>
              <w:t>800000</w:t>
            </w:r>
            <w:r>
              <w:rPr>
                <w:rFonts w:hint="eastAsia"/>
              </w:rPr>
              <w:t>元（含）以上的，缴纳</w:t>
            </w:r>
            <w:r>
              <w:t>800000</w:t>
            </w:r>
            <w:r>
              <w:rPr>
                <w:rFonts w:hint="eastAsi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3" w:hRule="atLeast"/>
          <w:jc w:val="center"/>
        </w:trPr>
        <w:tc>
          <w:tcPr>
            <w:tcW w:w="1135" w:type="dxa"/>
            <w:vAlign w:val="center"/>
          </w:tcPr>
          <w:p>
            <w:pPr>
              <w:pStyle w:val="2"/>
              <w:ind w:left="0"/>
              <w:jc w:val="center"/>
            </w:pPr>
            <w:r>
              <w:rPr>
                <w:rFonts w:hint="eastAsia"/>
              </w:rPr>
              <w:t>3.4.3</w:t>
            </w:r>
          </w:p>
        </w:tc>
        <w:tc>
          <w:tcPr>
            <w:tcW w:w="1559" w:type="dxa"/>
            <w:gridSpan w:val="2"/>
            <w:vAlign w:val="center"/>
          </w:tcPr>
          <w:p>
            <w:pPr>
              <w:pStyle w:val="2"/>
              <w:ind w:left="0"/>
              <w:jc w:val="center"/>
            </w:pPr>
            <w:r>
              <w:rPr>
                <w:rFonts w:hint="eastAsia"/>
              </w:rPr>
              <w:t>投标保证金的退还</w:t>
            </w:r>
          </w:p>
        </w:tc>
        <w:tc>
          <w:tcPr>
            <w:tcW w:w="7279" w:type="dxa"/>
            <w:gridSpan w:val="2"/>
            <w:vAlign w:val="center"/>
          </w:tcPr>
          <w:p>
            <w:pPr>
              <w:pStyle w:val="2"/>
              <w:ind w:left="0"/>
            </w:pPr>
            <w:r>
              <w:rPr>
                <w:rFonts w:hint="eastAsia"/>
              </w:rPr>
              <w:t>投标保证金的递交与退还的相关规定按照成发改法规函【2019】159号文执行。</w:t>
            </w:r>
          </w:p>
          <w:p>
            <w:pPr>
              <w:pStyle w:val="2"/>
              <w:ind w:left="0"/>
              <w:rPr>
                <w:b/>
                <w:bCs/>
              </w:rPr>
            </w:pPr>
            <w:r>
              <w:rPr>
                <w:rFonts w:hint="eastAsia"/>
                <w:b/>
                <w:bCs/>
              </w:rPr>
              <w:t>（一）</w:t>
            </w:r>
            <w:r>
              <w:rPr>
                <w:b/>
                <w:bCs/>
              </w:rPr>
              <w:t>投标保证金的正常退还程序</w:t>
            </w:r>
          </w:p>
          <w:p>
            <w:pPr>
              <w:pStyle w:val="2"/>
              <w:ind w:left="0"/>
            </w:pPr>
            <w:r>
              <w:rPr>
                <w:rFonts w:hint="eastAsia"/>
              </w:rPr>
              <w:t>1．非中标候选人的投标保证金及保函，由交易中心在评标结束后第7个工作日发起退还。</w:t>
            </w:r>
          </w:p>
          <w:p>
            <w:pPr>
              <w:pStyle w:val="2"/>
              <w:ind w:left="0"/>
            </w:pPr>
            <w:r>
              <w:rPr>
                <w:rFonts w:hint="eastAsia"/>
              </w:rPr>
              <w:t>2．对于中标的中标候选人，在投标有效期内，由交易中心按照该项目（标段）招标人的书面意见将投标保证金及保函退还至投标人；超过投标有效期的，在有效期届满后第1个工作日由交易中心对投标保证金及保函直接发起退还；对其余中标候选人，在评标结束后10个工作日内招标人未向交易中心提出暂不予退还投标保证金及保函的，由交易中心直接发起退还。</w:t>
            </w:r>
          </w:p>
          <w:p>
            <w:pPr>
              <w:pStyle w:val="2"/>
              <w:ind w:left="0"/>
              <w:rPr>
                <w:b/>
                <w:bCs/>
              </w:rPr>
            </w:pPr>
            <w:r>
              <w:rPr>
                <w:b/>
                <w:bCs/>
              </w:rPr>
              <w:t>（二）投标保证金的非正常退还程序</w:t>
            </w:r>
          </w:p>
          <w:p>
            <w:pPr>
              <w:pStyle w:val="2"/>
              <w:ind w:left="0"/>
            </w:pPr>
            <w:r>
              <w:rPr>
                <w:rFonts w:hint="eastAsia"/>
              </w:rPr>
              <w:t>1．投标人涉嫌违法违规或被投诉的，正处于调查处理期间，招标监督部门应及时书面通知交易中心，投标保证金暂不退还。待行政监督部门出具调查处理结果后，交易中心根据处理意见发起退还。</w:t>
            </w:r>
          </w:p>
          <w:p>
            <w:pPr>
              <w:pStyle w:val="2"/>
              <w:ind w:left="0"/>
            </w:pPr>
            <w:r>
              <w:rPr>
                <w:rFonts w:hint="eastAsia"/>
              </w:rPr>
              <w:t>2．招标人因特殊情况书面要求所有投标人延长投标有效期，并相应延长投标保证金有效期的，须在正常退还程序启动之前书面告知交易中心。若投标人向交易中心书面表达拒绝延长并放弃投标的，由交易中心将投标保证金退还至投标人。</w:t>
            </w:r>
          </w:p>
          <w:p>
            <w:pPr>
              <w:pStyle w:val="2"/>
              <w:ind w:left="0"/>
              <w:rPr>
                <w:b/>
                <w:bCs/>
              </w:rPr>
            </w:pPr>
            <w:r>
              <w:rPr>
                <w:b/>
                <w:bCs/>
              </w:rPr>
              <w:t>（三）投标保证金的退还方式</w:t>
            </w:r>
          </w:p>
          <w:p>
            <w:pPr>
              <w:pStyle w:val="2"/>
              <w:ind w:left="0"/>
            </w:pPr>
            <w:r>
              <w:rPr>
                <w:rFonts w:hint="eastAsia"/>
              </w:rPr>
              <w:t>1．以现金方式提交的投标保证金，交易中心将保证金退还至原拨付账户；以保函方式提交的投标保证金，交易中心按保函约定方式退还。</w:t>
            </w:r>
          </w:p>
          <w:p>
            <w:pPr>
              <w:pStyle w:val="2"/>
              <w:ind w:left="0"/>
            </w:pPr>
            <w:r>
              <w:rPr>
                <w:rFonts w:hint="eastAsia"/>
              </w:rPr>
              <w:t>2．以现金方式提交的投标保证金，其利息按照专用账户开户银行退款当日挂牌对公活期存款利率计算，在退还投标保证金的同时将利息划拨至投标保证金的原拨付账户。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39" w:hRule="atLeast"/>
          <w:jc w:val="center"/>
        </w:trPr>
        <w:tc>
          <w:tcPr>
            <w:tcW w:w="1135" w:type="dxa"/>
            <w:vAlign w:val="center"/>
          </w:tcPr>
          <w:p>
            <w:pPr>
              <w:pStyle w:val="2"/>
              <w:ind w:left="0"/>
              <w:jc w:val="center"/>
            </w:pPr>
            <w:r>
              <w:t>3.4.4</w:t>
            </w:r>
          </w:p>
        </w:tc>
        <w:tc>
          <w:tcPr>
            <w:tcW w:w="1559" w:type="dxa"/>
            <w:gridSpan w:val="2"/>
            <w:vAlign w:val="center"/>
          </w:tcPr>
          <w:p>
            <w:pPr>
              <w:pStyle w:val="2"/>
              <w:ind w:left="0"/>
              <w:jc w:val="center"/>
            </w:pPr>
            <w:r>
              <w:rPr>
                <w:rFonts w:hint="eastAsia"/>
              </w:rPr>
              <w:t>投标保证金不予退还的情形</w:t>
            </w:r>
          </w:p>
        </w:tc>
        <w:tc>
          <w:tcPr>
            <w:tcW w:w="7279" w:type="dxa"/>
            <w:gridSpan w:val="2"/>
            <w:vAlign w:val="center"/>
          </w:tcPr>
          <w:p>
            <w:pPr>
              <w:pStyle w:val="2"/>
              <w:ind w:left="0"/>
              <w:rPr>
                <w:b/>
                <w:bCs/>
              </w:rPr>
            </w:pPr>
            <w:r>
              <w:rPr>
                <w:b/>
                <w:bCs/>
              </w:rPr>
              <w:t>投标人有下列情形之一的，不予退还投标保证金：</w:t>
            </w:r>
          </w:p>
          <w:p>
            <w:pPr>
              <w:pStyle w:val="2"/>
              <w:ind w:left="0"/>
            </w:pPr>
            <w:r>
              <w:rPr>
                <w:rFonts w:hint="eastAsia"/>
              </w:rPr>
              <w:t>（一）在提交投标文件截止时间后到招标文件规定的投标有效期终止之前，投标人要求撤销、修改、补充或替代投标文件的；</w:t>
            </w:r>
          </w:p>
          <w:p>
            <w:pPr>
              <w:pStyle w:val="2"/>
              <w:ind w:left="0"/>
            </w:pPr>
            <w:r>
              <w:rPr>
                <w:rFonts w:hint="eastAsia"/>
              </w:rPr>
              <w:t>（二）中标通知书发出后，中标人放弃中标项目的，无正当理由不与招标人签订合同的，在签订合同时向招标人提出附加条件或者更改合同实质性内容的，或者拒不提交所要求的履约保证金的；</w:t>
            </w:r>
          </w:p>
          <w:p>
            <w:pPr>
              <w:pStyle w:val="2"/>
              <w:ind w:left="0"/>
            </w:pPr>
            <w:r>
              <w:rPr>
                <w:rFonts w:hint="eastAsia"/>
              </w:rPr>
              <w:t>（三）投标人在投标活动中串通投标、弄虚作假的；</w:t>
            </w:r>
          </w:p>
          <w:p>
            <w:pPr>
              <w:pStyle w:val="2"/>
              <w:ind w:left="0"/>
            </w:pPr>
            <w:r>
              <w:rPr>
                <w:rFonts w:hint="eastAsia"/>
              </w:rPr>
              <w:t>（四）法律法规规定不予退还的其他情形。</w:t>
            </w:r>
          </w:p>
          <w:p>
            <w:pPr>
              <w:pStyle w:val="2"/>
              <w:ind w:left="0"/>
            </w:pPr>
            <w:r>
              <w:rPr>
                <w:rFonts w:hint="eastAsia"/>
              </w:rPr>
              <w:t>不予退还投标保证金的，由交易中心依据招标人和行政监督部门的书面意见，将投标保证金转至招标人的基本账户。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5" w:hRule="atLeast"/>
          <w:jc w:val="center"/>
        </w:trPr>
        <w:tc>
          <w:tcPr>
            <w:tcW w:w="1135" w:type="dxa"/>
            <w:vAlign w:val="center"/>
          </w:tcPr>
          <w:p>
            <w:pPr>
              <w:pStyle w:val="2"/>
              <w:ind w:left="0"/>
              <w:jc w:val="center"/>
            </w:pPr>
            <w:r>
              <w:rPr>
                <w:rFonts w:hint="eastAsia"/>
              </w:rPr>
              <w:t>3.5.2</w:t>
            </w:r>
          </w:p>
        </w:tc>
        <w:tc>
          <w:tcPr>
            <w:tcW w:w="1559" w:type="dxa"/>
            <w:gridSpan w:val="2"/>
            <w:vAlign w:val="center"/>
          </w:tcPr>
          <w:p>
            <w:pPr>
              <w:pStyle w:val="2"/>
              <w:ind w:left="0"/>
              <w:jc w:val="center"/>
            </w:pPr>
            <w:r>
              <w:rPr>
                <w:rFonts w:hint="eastAsia"/>
              </w:rPr>
              <w:t>近年财务状况的</w:t>
            </w:r>
          </w:p>
          <w:p>
            <w:pPr>
              <w:pStyle w:val="2"/>
              <w:ind w:left="0"/>
              <w:jc w:val="center"/>
            </w:pPr>
            <w:r>
              <w:rPr>
                <w:rFonts w:hint="eastAsia"/>
              </w:rPr>
              <w:t>年份要求</w:t>
            </w:r>
          </w:p>
        </w:tc>
        <w:tc>
          <w:tcPr>
            <w:tcW w:w="7279" w:type="dxa"/>
            <w:gridSpan w:val="2"/>
            <w:vAlign w:val="center"/>
          </w:tcPr>
          <w:p>
            <w:pPr>
              <w:pStyle w:val="2"/>
              <w:ind w:left="0"/>
            </w:pPr>
            <w:r>
              <w:rPr>
                <w:rFonts w:hint="eastAsia"/>
              </w:rPr>
              <w:t>○无</w:t>
            </w:r>
          </w:p>
          <w:p>
            <w:pPr>
              <w:pStyle w:val="2"/>
              <w:ind w:left="0"/>
            </w:pPr>
            <w:r>
              <w:rPr>
                <w:rFonts w:hint="eastAsia"/>
              </w:rPr>
              <w:t>○近</w:t>
            </w:r>
            <w:r>
              <w:rPr>
                <w:rFonts w:hint="eastAsia"/>
                <w:u w:val="single"/>
              </w:rPr>
              <w:t>3</w:t>
            </w:r>
            <w:r>
              <w:rPr>
                <w:rFonts w:hint="eastAsia"/>
              </w:rPr>
              <w:t>年或成立至今（成立不足3年的）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5" w:hRule="atLeast"/>
          <w:jc w:val="center"/>
        </w:trPr>
        <w:tc>
          <w:tcPr>
            <w:tcW w:w="1135" w:type="dxa"/>
            <w:vAlign w:val="center"/>
          </w:tcPr>
          <w:p>
            <w:pPr>
              <w:pStyle w:val="2"/>
              <w:ind w:left="0"/>
              <w:jc w:val="center"/>
            </w:pPr>
            <w:r>
              <w:rPr>
                <w:rFonts w:hint="eastAsia"/>
              </w:rPr>
              <w:t>3.5.3</w:t>
            </w:r>
          </w:p>
        </w:tc>
        <w:tc>
          <w:tcPr>
            <w:tcW w:w="1559" w:type="dxa"/>
            <w:gridSpan w:val="2"/>
            <w:vAlign w:val="center"/>
          </w:tcPr>
          <w:p>
            <w:pPr>
              <w:pStyle w:val="2"/>
              <w:ind w:left="0"/>
              <w:jc w:val="center"/>
            </w:pPr>
            <w:r>
              <w:rPr>
                <w:rFonts w:hint="eastAsia"/>
              </w:rPr>
              <w:t>近年完成的类似项目的年份要求</w:t>
            </w:r>
          </w:p>
        </w:tc>
        <w:tc>
          <w:tcPr>
            <w:tcW w:w="7279" w:type="dxa"/>
            <w:gridSpan w:val="2"/>
            <w:vAlign w:val="center"/>
          </w:tcPr>
          <w:p>
            <w:pPr>
              <w:pStyle w:val="2"/>
              <w:ind w:left="0"/>
            </w:pPr>
            <w:r>
              <w:rPr>
                <w:rFonts w:hint="eastAsia"/>
              </w:rPr>
              <w:t>○无</w:t>
            </w:r>
          </w:p>
          <w:p>
            <w:pPr>
              <w:pStyle w:val="2"/>
              <w:ind w:left="0"/>
            </w:pPr>
            <w:r>
              <w:rPr>
                <w:rFonts w:hint="eastAsia"/>
              </w:rPr>
              <w:t>○</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5" w:hRule="atLeast"/>
          <w:jc w:val="center"/>
        </w:trPr>
        <w:tc>
          <w:tcPr>
            <w:tcW w:w="1135" w:type="dxa"/>
            <w:vAlign w:val="center"/>
          </w:tcPr>
          <w:p>
            <w:pPr>
              <w:pStyle w:val="2"/>
              <w:ind w:left="0"/>
              <w:jc w:val="center"/>
            </w:pPr>
            <w:r>
              <w:rPr>
                <w:rFonts w:hint="eastAsia"/>
              </w:rPr>
              <w:t>3.5.4</w:t>
            </w:r>
          </w:p>
        </w:tc>
        <w:tc>
          <w:tcPr>
            <w:tcW w:w="1559" w:type="dxa"/>
            <w:gridSpan w:val="2"/>
            <w:vAlign w:val="center"/>
          </w:tcPr>
          <w:p>
            <w:pPr>
              <w:pStyle w:val="2"/>
              <w:ind w:left="0"/>
              <w:jc w:val="center"/>
            </w:pPr>
            <w:r>
              <w:rPr>
                <w:rFonts w:hint="eastAsia"/>
              </w:rPr>
              <w:t>正在施工和新承接的项目情况</w:t>
            </w:r>
          </w:p>
        </w:tc>
        <w:tc>
          <w:tcPr>
            <w:tcW w:w="7279" w:type="dxa"/>
            <w:gridSpan w:val="2"/>
            <w:vAlign w:val="center"/>
          </w:tcPr>
          <w:p>
            <w:pPr>
              <w:pStyle w:val="2"/>
              <w:ind w:left="0"/>
            </w:pPr>
            <w:r>
              <w:rPr>
                <w:rFonts w:hint="eastAsia"/>
              </w:rPr>
              <w:t>○无</w:t>
            </w:r>
          </w:p>
          <w:p>
            <w:pPr>
              <w:pStyle w:val="2"/>
              <w:ind w:left="0"/>
            </w:pPr>
            <w:r>
              <w:rPr>
                <w:rFonts w:hint="eastAsia"/>
              </w:rPr>
              <w:t>○</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3" w:hRule="atLeast"/>
          <w:jc w:val="center"/>
        </w:trPr>
        <w:tc>
          <w:tcPr>
            <w:tcW w:w="1135" w:type="dxa"/>
            <w:vAlign w:val="center"/>
          </w:tcPr>
          <w:p>
            <w:pPr>
              <w:pStyle w:val="2"/>
              <w:ind w:left="0"/>
              <w:jc w:val="center"/>
            </w:pPr>
            <w:r>
              <w:rPr>
                <w:rFonts w:hint="eastAsia"/>
              </w:rPr>
              <w:t>3.5.5</w:t>
            </w:r>
          </w:p>
        </w:tc>
        <w:tc>
          <w:tcPr>
            <w:tcW w:w="1559" w:type="dxa"/>
            <w:gridSpan w:val="2"/>
            <w:vAlign w:val="center"/>
          </w:tcPr>
          <w:p>
            <w:pPr>
              <w:pStyle w:val="2"/>
              <w:ind w:left="0"/>
              <w:jc w:val="center"/>
            </w:pPr>
            <w:r>
              <w:rPr>
                <w:rFonts w:hint="eastAsia"/>
              </w:rPr>
              <w:t>近年发生的诉讼及仲裁情况的年份要求</w:t>
            </w:r>
          </w:p>
        </w:tc>
        <w:tc>
          <w:tcPr>
            <w:tcW w:w="7279" w:type="dxa"/>
            <w:gridSpan w:val="2"/>
            <w:vAlign w:val="center"/>
          </w:tcPr>
          <w:p>
            <w:pPr>
              <w:pStyle w:val="2"/>
              <w:ind w:left="0"/>
            </w:pPr>
            <w:r>
              <w:rPr>
                <w:rFonts w:hint="eastAsia"/>
              </w:rPr>
              <w:t>○无</w:t>
            </w:r>
          </w:p>
          <w:p>
            <w:pPr>
              <w:pStyle w:val="2"/>
              <w:ind w:left="0"/>
            </w:pPr>
            <w:r>
              <w:rPr>
                <w:rFonts w:hint="eastAsia"/>
              </w:rPr>
              <w:t>○</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5" w:hRule="atLeast"/>
          <w:jc w:val="center"/>
        </w:trPr>
        <w:tc>
          <w:tcPr>
            <w:tcW w:w="1135" w:type="dxa"/>
            <w:vAlign w:val="center"/>
          </w:tcPr>
          <w:p>
            <w:pPr>
              <w:pStyle w:val="2"/>
              <w:ind w:left="0"/>
              <w:jc w:val="center"/>
            </w:pPr>
            <w:r>
              <w:rPr>
                <w:rFonts w:hint="eastAsia"/>
              </w:rPr>
              <w:t>3.6</w:t>
            </w:r>
          </w:p>
        </w:tc>
        <w:tc>
          <w:tcPr>
            <w:tcW w:w="1559" w:type="dxa"/>
            <w:gridSpan w:val="2"/>
            <w:vAlign w:val="center"/>
          </w:tcPr>
          <w:p>
            <w:pPr>
              <w:pStyle w:val="2"/>
              <w:ind w:left="0"/>
              <w:jc w:val="center"/>
            </w:pPr>
            <w:r>
              <w:rPr>
                <w:rFonts w:hint="eastAsia"/>
              </w:rPr>
              <w:t>★是否允许递交备选投标方案</w:t>
            </w:r>
          </w:p>
        </w:tc>
        <w:tc>
          <w:tcPr>
            <w:tcW w:w="7279" w:type="dxa"/>
            <w:gridSpan w:val="2"/>
            <w:vAlign w:val="center"/>
          </w:tcPr>
          <w:p>
            <w:pPr>
              <w:pStyle w:val="2"/>
              <w:ind w:left="0"/>
            </w:pPr>
            <w:r>
              <w:rPr>
                <w:rFonts w:hint="eastAsia"/>
              </w:rPr>
              <w:t>○不允许</w:t>
            </w:r>
          </w:p>
          <w:p>
            <w:pPr>
              <w:pStyle w:val="2"/>
              <w:ind w:left="0"/>
            </w:pPr>
            <w:r>
              <w:rPr>
                <w:rFonts w:hint="eastAsia"/>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8" w:hRule="atLeast"/>
          <w:jc w:val="center"/>
        </w:trPr>
        <w:tc>
          <w:tcPr>
            <w:tcW w:w="1135" w:type="dxa"/>
            <w:vAlign w:val="center"/>
          </w:tcPr>
          <w:p>
            <w:pPr>
              <w:pStyle w:val="2"/>
              <w:ind w:left="0"/>
              <w:jc w:val="center"/>
            </w:pPr>
            <w:r>
              <w:rPr>
                <w:rFonts w:hint="eastAsia"/>
              </w:rPr>
              <w:t>3.7.1</w:t>
            </w:r>
          </w:p>
        </w:tc>
        <w:tc>
          <w:tcPr>
            <w:tcW w:w="1559" w:type="dxa"/>
            <w:gridSpan w:val="2"/>
            <w:vAlign w:val="center"/>
          </w:tcPr>
          <w:p>
            <w:pPr>
              <w:pStyle w:val="2"/>
              <w:ind w:left="0"/>
              <w:jc w:val="center"/>
            </w:pPr>
            <w:r>
              <w:rPr>
                <w:rFonts w:hint="eastAsia"/>
              </w:rPr>
              <w:t>★投标文件格式</w:t>
            </w:r>
          </w:p>
        </w:tc>
        <w:tc>
          <w:tcPr>
            <w:tcW w:w="7279" w:type="dxa"/>
            <w:gridSpan w:val="2"/>
            <w:vAlign w:val="center"/>
          </w:tcPr>
          <w:p>
            <w:pPr>
              <w:pStyle w:val="2"/>
              <w:ind w:left="0"/>
            </w:pPr>
            <w:r>
              <w:rPr>
                <w:rFonts w:hint="eastAsia"/>
              </w:rPr>
              <w:t>（1）投标人不得对招标文件格式中的实质性内容进行删减或修改。（注解除外）</w:t>
            </w:r>
          </w:p>
          <w:p>
            <w:pPr>
              <w:pStyle w:val="2"/>
              <w:ind w:left="0"/>
            </w:pPr>
            <w:r>
              <w:rPr>
                <w:rFonts w:hint="eastAsia"/>
              </w:rPr>
              <w:t>（2）投标人可以在格式内容之后另行说明和增加相关的内容。另行说明或自行增加的内容、以及按投标文件格式在空格（下划线）由投标人填写的内容，不得与招标文件的强制性审查标准和禁止性规定相抵触。</w:t>
            </w:r>
          </w:p>
          <w:p>
            <w:pPr>
              <w:pStyle w:val="2"/>
              <w:ind w:left="0"/>
            </w:pPr>
            <w:r>
              <w:rPr>
                <w:rFonts w:hint="eastAsia"/>
              </w:rPr>
              <w:t>（3）投标文件应对招标文件提出的所有实质性要求和条件作出实质性响应，并且实质性响应的内容不得互相矛盾。</w:t>
            </w:r>
          </w:p>
          <w:p>
            <w:pPr>
              <w:pStyle w:val="2"/>
              <w:ind w:left="0"/>
            </w:pPr>
            <w:r>
              <w:rPr>
                <w:rFonts w:hint="eastAsia"/>
              </w:rPr>
              <w:t>（4）投标文件应内容完整，字迹清晰可辨。字迹模糊导致无法确认关键技术方案、关键工期、关键工程质量保证措施、投标价格的，应否决其投标。</w:t>
            </w:r>
          </w:p>
          <w:p>
            <w:pPr>
              <w:pStyle w:val="2"/>
              <w:ind w:left="0"/>
            </w:pPr>
            <w:r>
              <w:rPr>
                <w:rFonts w:hint="eastAsia"/>
              </w:rPr>
              <w:t>（5）投标文件所附证明材料应内容完整并清晰可辨。所附证明材料内容不完整或字迹模糊的，评标委员会可要求投标人提供原件核验。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35" w:type="dxa"/>
            <w:vAlign w:val="center"/>
          </w:tcPr>
          <w:p>
            <w:pPr>
              <w:pStyle w:val="2"/>
              <w:ind w:left="0"/>
              <w:jc w:val="center"/>
            </w:pPr>
            <w:r>
              <w:rPr>
                <w:rFonts w:hint="eastAsia"/>
              </w:rPr>
              <w:t>3.7.3</w:t>
            </w:r>
          </w:p>
        </w:tc>
        <w:tc>
          <w:tcPr>
            <w:tcW w:w="1559" w:type="dxa"/>
            <w:gridSpan w:val="2"/>
            <w:vAlign w:val="center"/>
          </w:tcPr>
          <w:p>
            <w:pPr>
              <w:pStyle w:val="2"/>
              <w:ind w:left="0"/>
              <w:jc w:val="center"/>
            </w:pPr>
            <w:r>
              <w:rPr>
                <w:rFonts w:hint="eastAsia"/>
              </w:rPr>
              <w:t>★签字、盖章要求</w:t>
            </w:r>
          </w:p>
        </w:tc>
        <w:tc>
          <w:tcPr>
            <w:tcW w:w="7279" w:type="dxa"/>
            <w:gridSpan w:val="2"/>
            <w:vAlign w:val="center"/>
          </w:tcPr>
          <w:p>
            <w:pPr>
              <w:pStyle w:val="2"/>
              <w:ind w:left="0"/>
            </w:pPr>
            <w:r>
              <w:rPr>
                <w:rFonts w:hint="eastAsia"/>
              </w:rPr>
              <w:t>（1）电子投标文件中所有要求法定代表人盖章的地方都应用法定代表人的电子印章盖章。要求法定代表人盖章的地方由其他人（包括委托代理人）盖章的，其投标将被否决投标。</w:t>
            </w:r>
          </w:p>
          <w:p>
            <w:pPr>
              <w:pStyle w:val="2"/>
              <w:ind w:left="0"/>
            </w:pPr>
            <w:r>
              <w:rPr>
                <w:rFonts w:hint="eastAsia"/>
              </w:rPr>
              <w:t>以联合体投标的，电子投标文件所有要求法定代表人盖章的地方由联合体的牵头人盖其法定代表人电子印章即可（即电子投标文件中除                等有明确要求各联合体各成员单位法定代表人盖其法定代表人电子印章外，其余要求法定代表人盖章处均由牵头人完成法定代表人盖章，与联合体中各成员的行为具有同等法律效力）。</w:t>
            </w:r>
          </w:p>
          <w:p>
            <w:pPr>
              <w:pStyle w:val="2"/>
              <w:ind w:left="0"/>
            </w:pPr>
            <w:r>
              <w:rPr>
                <w:rFonts w:hint="eastAsia"/>
              </w:rPr>
              <w:t>（2）电子投标文件所有要求投标人盖章的地方都应加盖投标人单位（法定名称）的电子印章，不得使用专用印章（如经济合同章、投标专用章等）或下属单位印章代替。</w:t>
            </w:r>
          </w:p>
          <w:p>
            <w:pPr>
              <w:pStyle w:val="2"/>
              <w:ind w:left="0"/>
            </w:pPr>
            <w:r>
              <w:rPr>
                <w:rFonts w:hint="eastAsia"/>
              </w:rPr>
              <w:t>以联合体投标的，电子投标文件所有要求投标人盖单位章的地方由联合体的牵头人盖单位电子印章即可（即电子投标文件中除</w:t>
            </w:r>
            <w:r>
              <w:rPr>
                <w:rFonts w:hint="eastAsia"/>
                <w:u w:val="single"/>
              </w:rPr>
              <w:t xml:space="preserve">          </w:t>
            </w:r>
            <w:r>
              <w:rPr>
                <w:rFonts w:hint="eastAsia"/>
              </w:rPr>
              <w:t>有明确要求各联合体各成员单位盖单位电子印章外，其余投标人盖章处均由牵头人完成盖章，与联合体中各成员的行为具有同等法律效力）。</w:t>
            </w:r>
          </w:p>
          <w:p>
            <w:pPr>
              <w:pStyle w:val="2"/>
              <w:ind w:left="0"/>
            </w:pPr>
            <w:r>
              <w:rPr>
                <w:rFonts w:hint="eastAsia"/>
              </w:rPr>
              <w:t>（3）电子投标文件若有修改，需要撤回原来上传到云平台的电子投标文件后，重新上传修改后并盖章完整的加密投标文件。</w:t>
            </w:r>
          </w:p>
          <w:p>
            <w:pPr>
              <w:pStyle w:val="2"/>
              <w:ind w:left="0"/>
            </w:pPr>
            <w:r>
              <w:rPr>
                <w:rFonts w:hint="eastAsia"/>
              </w:rPr>
              <w:t>（4）电子投标文件中要求造价人员盖执业章处，应加盖造价人员的执业章的电子印章。（执业章的电子印章办理地点同投标人公章电子印章的办理地点。）</w:t>
            </w:r>
          </w:p>
          <w:p>
            <w:pPr>
              <w:pStyle w:val="2"/>
              <w:ind w:left="0"/>
            </w:pPr>
            <w:r>
              <w:rPr>
                <w:rFonts w:hint="eastAsia"/>
              </w:rPr>
              <w:t>（5）若投标人没有注册在本单位的具有造价资格的人员，可以委托具有造价咨询资质的中介机构的有造价资格的人员按招标文件要求签电子印章，并在投标文件中附上与该中介机构所签订的委托合同(扫描件)。</w:t>
            </w:r>
          </w:p>
          <w:p>
            <w:pPr>
              <w:pStyle w:val="2"/>
              <w:ind w:left="0"/>
            </w:pPr>
            <w:r>
              <w:rPr>
                <w:rFonts w:hint="eastAsia"/>
              </w:rPr>
              <w:t>（6）投标文件中提供的证明材料</w:t>
            </w:r>
          </w:p>
          <w:p>
            <w:pPr>
              <w:pStyle w:val="2"/>
              <w:ind w:left="0"/>
            </w:pPr>
            <w:r>
              <w:rPr>
                <w:rFonts w:hint="eastAsia"/>
              </w:rPr>
              <w:t>○应统一由投标人（若</w:t>
            </w:r>
            <w:r>
              <w:t>为联合体，则为</w:t>
            </w:r>
            <w:r>
              <w:rPr>
                <w:rFonts w:hint="eastAsia"/>
              </w:rPr>
              <w:t>联合体牵头人）</w:t>
            </w:r>
            <w:r>
              <w:rPr>
                <w:rFonts w:hint="eastAsia"/>
                <w:u w:val="single"/>
              </w:rPr>
              <w:t>加盖企业电子印章</w:t>
            </w:r>
            <w:r>
              <w:rPr>
                <w:rFonts w:hint="eastAsia"/>
              </w:rPr>
              <w:t>。</w:t>
            </w:r>
          </w:p>
          <w:p>
            <w:pPr>
              <w:pStyle w:val="2"/>
              <w:ind w:left="0"/>
            </w:pPr>
            <w:r>
              <w:rPr>
                <w:rFonts w:hint="eastAsia"/>
              </w:rPr>
              <w:t>○投标人</w:t>
            </w:r>
            <w:r>
              <w:t>无需</w:t>
            </w:r>
            <w:r>
              <w:rPr>
                <w:rFonts w:hint="eastAsia"/>
              </w:rPr>
              <w:t>加盖</w:t>
            </w:r>
            <w:r>
              <w:rPr>
                <w:rFonts w:hint="eastAsia"/>
                <w:u w:val="single"/>
              </w:rPr>
              <w:t>企业电子印章</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35" w:type="dxa"/>
            <w:vAlign w:val="center"/>
          </w:tcPr>
          <w:p>
            <w:pPr>
              <w:pStyle w:val="2"/>
              <w:ind w:left="0"/>
              <w:jc w:val="center"/>
            </w:pPr>
            <w:r>
              <w:rPr>
                <w:rFonts w:hint="eastAsia"/>
              </w:rPr>
              <w:t>3.7.4</w:t>
            </w:r>
          </w:p>
        </w:tc>
        <w:tc>
          <w:tcPr>
            <w:tcW w:w="1559" w:type="dxa"/>
            <w:gridSpan w:val="2"/>
            <w:vAlign w:val="center"/>
          </w:tcPr>
          <w:p>
            <w:pPr>
              <w:pStyle w:val="2"/>
              <w:ind w:left="0"/>
              <w:jc w:val="center"/>
            </w:pPr>
            <w:r>
              <w:rPr>
                <w:rFonts w:hint="eastAsia"/>
              </w:rPr>
              <w:t>投标文件份数</w:t>
            </w:r>
          </w:p>
        </w:tc>
        <w:tc>
          <w:tcPr>
            <w:tcW w:w="7279" w:type="dxa"/>
            <w:gridSpan w:val="2"/>
            <w:vAlign w:val="center"/>
          </w:tcPr>
          <w:p>
            <w:pPr>
              <w:pStyle w:val="2"/>
              <w:ind w:left="0"/>
            </w:pPr>
            <w:r>
              <w:rPr>
                <w:rFonts w:hint="eastAsia"/>
              </w:rPr>
              <w:t>（1）投标人应提供一份格式正确、内容完整、加密的电子投标文件。电子投标文件应使用“成都市电子投标文件制作系统（2017版）”制作，并通过CA数字证书进行加密，存储为扩展名为CDT的文件。</w:t>
            </w:r>
          </w:p>
          <w:p>
            <w:pPr>
              <w:pStyle w:val="2"/>
              <w:ind w:left="0"/>
            </w:pPr>
            <w:r>
              <w:rPr>
                <w:rFonts w:hint="eastAsia"/>
              </w:rPr>
              <w:t>（□招标工程量清单采用房屋建筑及市政公用工程计价定额进行编制的招标项目，投标文件须包含</w:t>
            </w:r>
            <w:r>
              <w:t>CJZ</w:t>
            </w:r>
            <w:r>
              <w:rPr>
                <w:rFonts w:hint="eastAsia"/>
              </w:rPr>
              <w:t>格式的投标数据文件）。</w:t>
            </w:r>
          </w:p>
          <w:p>
            <w:pPr>
              <w:pStyle w:val="2"/>
              <w:ind w:left="0"/>
            </w:pPr>
            <w:r>
              <w:rPr>
                <w:rFonts w:hint="eastAsia"/>
              </w:rPr>
              <w:t>（2）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文件截止时间后，概不补交。</w:t>
            </w:r>
          </w:p>
          <w:p>
            <w:pPr>
              <w:pStyle w:val="2"/>
              <w:ind w:left="0"/>
            </w:pPr>
            <w:r>
              <w:rPr>
                <w:rFonts w:hint="eastAsia"/>
              </w:rPr>
              <w:t>□（3）中标人需在领取中标通知书时另向招标人提供</w:t>
            </w:r>
            <w:r>
              <w:rPr>
                <w:rFonts w:hint="eastAsia"/>
                <w:u w:val="single"/>
              </w:rPr>
              <w:t xml:space="preserve">    </w:t>
            </w:r>
            <w:r>
              <w:rPr>
                <w:rFonts w:hint="eastAsia"/>
              </w:rPr>
              <w:t>份投标文件纸质复印件。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9" w:hRule="atLeast"/>
          <w:jc w:val="center"/>
        </w:trPr>
        <w:tc>
          <w:tcPr>
            <w:tcW w:w="1135" w:type="dxa"/>
            <w:vAlign w:val="center"/>
          </w:tcPr>
          <w:p>
            <w:pPr>
              <w:pStyle w:val="2"/>
              <w:ind w:left="0"/>
              <w:jc w:val="center"/>
            </w:pPr>
            <w:r>
              <w:rPr>
                <w:rFonts w:hint="eastAsia"/>
              </w:rPr>
              <w:t>4.1.1</w:t>
            </w:r>
          </w:p>
        </w:tc>
        <w:tc>
          <w:tcPr>
            <w:tcW w:w="1559" w:type="dxa"/>
            <w:gridSpan w:val="2"/>
            <w:vAlign w:val="center"/>
          </w:tcPr>
          <w:p>
            <w:pPr>
              <w:pStyle w:val="2"/>
              <w:ind w:left="0"/>
              <w:jc w:val="center"/>
            </w:pPr>
            <w:r>
              <w:rPr>
                <w:rFonts w:hint="eastAsia"/>
              </w:rPr>
              <w:t>投标文件的包装和密封</w:t>
            </w:r>
          </w:p>
        </w:tc>
        <w:tc>
          <w:tcPr>
            <w:tcW w:w="7279" w:type="dxa"/>
            <w:gridSpan w:val="2"/>
            <w:vAlign w:val="center"/>
          </w:tcPr>
          <w:p>
            <w:pPr>
              <w:pStyle w:val="2"/>
              <w:ind w:left="0"/>
            </w:pPr>
            <w:r>
              <w:rPr>
                <w:rFonts w:hint="eastAsia"/>
              </w:rPr>
              <w:t>（1）电子投标文件未使用 CA 数字证书进行加密的，将无法上传至云平台。</w:t>
            </w:r>
            <w:r>
              <w:t>若投标人投标文件因密封不严、标志不明、未加密而造成过早启封、失密等情况，招标人及招标代理机构概不负责。</w:t>
            </w:r>
            <w:r>
              <w:rPr>
                <w:rFonts w:hint="eastAsia"/>
              </w:rPr>
              <w:t>投标人自愿提交一张包含相同内容的投标文件光盘以备CA解密失败时使用，光盘应密封完好（包装及密封形式不限）。</w:t>
            </w:r>
          </w:p>
          <w:p>
            <w:pPr>
              <w:pStyle w:val="2"/>
              <w:ind w:left="0"/>
            </w:pPr>
            <w:r>
              <w:t>（</w:t>
            </w:r>
            <w:r>
              <w:rPr>
                <w:rFonts w:hint="eastAsia"/>
              </w:rPr>
              <w:t>2</w:t>
            </w:r>
            <w:r>
              <w:t>）投标人应委派 1 名委托代理人参加开标会，对开标会程序、书面记录、评标时的澄清往来记录予以确认、签字，该委托代理人应在开标时向招标人单独递交授权委托书原件（该原件不密封在投标文件中，也不需单独密封），以示身份。投标文件中不需附授权委托书。授权委托书格式详见招标文件第八章投标文件格式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81" w:hRule="atLeast"/>
          <w:jc w:val="center"/>
        </w:trPr>
        <w:tc>
          <w:tcPr>
            <w:tcW w:w="1135" w:type="dxa"/>
            <w:vAlign w:val="center"/>
          </w:tcPr>
          <w:p>
            <w:pPr>
              <w:pStyle w:val="2"/>
              <w:ind w:left="0"/>
              <w:jc w:val="center"/>
            </w:pPr>
            <w:r>
              <w:rPr>
                <w:rFonts w:hint="eastAsia"/>
              </w:rPr>
              <w:t>4.1.2</w:t>
            </w:r>
          </w:p>
        </w:tc>
        <w:tc>
          <w:tcPr>
            <w:tcW w:w="1559" w:type="dxa"/>
            <w:gridSpan w:val="2"/>
            <w:vAlign w:val="center"/>
          </w:tcPr>
          <w:p>
            <w:pPr>
              <w:pStyle w:val="2"/>
              <w:ind w:left="0"/>
              <w:jc w:val="center"/>
            </w:pPr>
            <w:r>
              <w:rPr>
                <w:rFonts w:hint="eastAsia"/>
              </w:rPr>
              <w:t>封套上写明</w:t>
            </w:r>
          </w:p>
        </w:tc>
        <w:tc>
          <w:tcPr>
            <w:tcW w:w="7279" w:type="dxa"/>
            <w:gridSpan w:val="2"/>
            <w:vAlign w:val="center"/>
          </w:tcPr>
          <w:p>
            <w:pPr>
              <w:pStyle w:val="2"/>
              <w:ind w:left="0"/>
            </w:pPr>
            <w:r>
              <w:rPr>
                <w:rFonts w:hint="eastAsia"/>
              </w:rPr>
              <w:t>招标人名称：</w:t>
            </w:r>
          </w:p>
          <w:p>
            <w:pPr>
              <w:pStyle w:val="2"/>
              <w:ind w:left="0"/>
            </w:pPr>
            <w:r>
              <w:rPr>
                <w:rFonts w:hint="eastAsia"/>
              </w:rPr>
              <w:t>投标人名称：</w:t>
            </w:r>
          </w:p>
          <w:p>
            <w:pPr>
              <w:pStyle w:val="2"/>
              <w:ind w:left="0"/>
            </w:pPr>
            <w:r>
              <w:rPr>
                <w:rFonts w:hint="eastAsia"/>
              </w:rPr>
              <w:t xml:space="preserve"> </w:t>
            </w:r>
            <w:r>
              <w:rPr>
                <w:rFonts w:hint="eastAsia"/>
                <w:u w:val="single"/>
              </w:rPr>
              <w:t xml:space="preserve">           </w:t>
            </w:r>
            <w:r>
              <w:rPr>
                <w:rFonts w:hint="eastAsia"/>
              </w:rPr>
              <w:t>(项目名称)投标文件</w:t>
            </w:r>
          </w:p>
          <w:p>
            <w:pPr>
              <w:pStyle w:val="2"/>
              <w:ind w:left="0"/>
            </w:pPr>
            <w:r>
              <w:rPr>
                <w:rFonts w:hint="eastAsia"/>
              </w:rPr>
              <w:t>在</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7" w:hRule="atLeast"/>
          <w:jc w:val="center"/>
        </w:trPr>
        <w:tc>
          <w:tcPr>
            <w:tcW w:w="1135" w:type="dxa"/>
            <w:vAlign w:val="center"/>
          </w:tcPr>
          <w:p>
            <w:pPr>
              <w:pStyle w:val="2"/>
              <w:ind w:left="0"/>
              <w:jc w:val="center"/>
            </w:pPr>
            <w:r>
              <w:rPr>
                <w:rFonts w:hint="eastAsia"/>
              </w:rPr>
              <w:t>4.2.1</w:t>
            </w:r>
          </w:p>
        </w:tc>
        <w:tc>
          <w:tcPr>
            <w:tcW w:w="1559" w:type="dxa"/>
            <w:gridSpan w:val="2"/>
            <w:vAlign w:val="center"/>
          </w:tcPr>
          <w:p>
            <w:pPr>
              <w:pStyle w:val="2"/>
              <w:ind w:left="0"/>
              <w:jc w:val="center"/>
            </w:pPr>
            <w:r>
              <w:rPr>
                <w:rFonts w:hint="eastAsia"/>
              </w:rPr>
              <w:t>递交投标文件</w:t>
            </w:r>
          </w:p>
        </w:tc>
        <w:tc>
          <w:tcPr>
            <w:tcW w:w="7279" w:type="dxa"/>
            <w:gridSpan w:val="2"/>
            <w:vAlign w:val="center"/>
          </w:tcPr>
          <w:p>
            <w:pPr>
              <w:pStyle w:val="2"/>
              <w:ind w:left="0"/>
            </w:pPr>
            <w:r>
              <w:rPr>
                <w:rFonts w:hint="eastAsia"/>
              </w:rPr>
              <w:t>○（现场开标）</w:t>
            </w:r>
          </w:p>
          <w:p>
            <w:pPr>
              <w:pStyle w:val="2"/>
              <w:ind w:left="0"/>
            </w:pPr>
            <w:r>
              <w:rPr>
                <w:rFonts w:hint="eastAsia"/>
              </w:rPr>
              <w:t>（1）</w:t>
            </w:r>
            <w:r>
              <w:t xml:space="preserve">投标人应在本投标人须知前附表第 2.2.2 条规定的投标截止时间之前递交投标文件。 </w:t>
            </w:r>
          </w:p>
          <w:p>
            <w:pPr>
              <w:pStyle w:val="2"/>
              <w:ind w:left="0"/>
            </w:pPr>
            <w:r>
              <w:t>（2）投标人应通过互联网使用 CA 数字证书登录成都市公共资源交易云 平台（</w:t>
            </w:r>
            <w:r>
              <w:fldChar w:fldCharType="begin"/>
            </w:r>
            <w:r>
              <w:instrText xml:space="preserve"> HYPERLINK "http://www.cdggzy.com/" \h </w:instrText>
            </w:r>
            <w:r>
              <w:fldChar w:fldCharType="separate"/>
            </w:r>
            <w:r>
              <w:t>www.cdggzy.com</w:t>
            </w:r>
            <w:r>
              <w:fldChar w:fldCharType="end"/>
            </w:r>
            <w:r>
              <w:t xml:space="preserve">），将加密的投标文件上传至对应项目，并保存 系统返回的上传成功回执。 </w:t>
            </w:r>
          </w:p>
          <w:p>
            <w:pPr>
              <w:pStyle w:val="2"/>
              <w:ind w:left="0"/>
            </w:pPr>
            <w:r>
              <w:rPr>
                <w:rFonts w:hint="eastAsia"/>
              </w:rPr>
              <w:t>（3）投标人应在投标截止时间前，到达开标现场。</w:t>
            </w:r>
          </w:p>
          <w:p>
            <w:pPr>
              <w:pStyle w:val="2"/>
              <w:ind w:left="0"/>
            </w:pPr>
            <w:r>
              <w:rPr>
                <w:rFonts w:hint="eastAsia"/>
              </w:rPr>
              <w:t>○（不见面开标）</w:t>
            </w:r>
          </w:p>
          <w:p>
            <w:pPr>
              <w:pStyle w:val="2"/>
              <w:ind w:left="0"/>
            </w:pPr>
            <w:r>
              <w:rPr>
                <w:rFonts w:hint="eastAsia"/>
              </w:rPr>
              <w:t>（1）投标人应在本投标人须知前附表第2.2.2条规定的投标截止时间之前递交投标文件。</w:t>
            </w:r>
          </w:p>
          <w:p>
            <w:pPr>
              <w:pStyle w:val="2"/>
              <w:ind w:left="0"/>
            </w:pPr>
            <w:r>
              <w:rPr>
                <w:rFonts w:hint="eastAsia"/>
              </w:rPr>
              <w:t>（2）投标人应通过互联网使用CA数字证书登录成都市公共资源交易云平台（www.cdggzy.com），将加密的投标文件上传至对应项目，并保存系统返回的上传成功回执。</w:t>
            </w:r>
          </w:p>
          <w:p>
            <w:pPr>
              <w:pStyle w:val="2"/>
              <w:ind w:left="0"/>
            </w:pPr>
            <w:r>
              <w:rPr>
                <w:rFonts w:hint="eastAsia"/>
              </w:rPr>
              <w:t>（3）投标人应充分考虑上传文件的不可预见因素，未在投标截止时间前完成上传的，在投标截止时间后将无法上传。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3" w:hRule="atLeast"/>
          <w:jc w:val="center"/>
        </w:trPr>
        <w:tc>
          <w:tcPr>
            <w:tcW w:w="1135" w:type="dxa"/>
            <w:vAlign w:val="center"/>
          </w:tcPr>
          <w:p>
            <w:pPr>
              <w:pStyle w:val="2"/>
              <w:ind w:left="0"/>
              <w:jc w:val="center"/>
            </w:pPr>
            <w:r>
              <w:rPr>
                <w:rFonts w:hint="eastAsia"/>
              </w:rPr>
              <w:t>4.2.2</w:t>
            </w:r>
          </w:p>
        </w:tc>
        <w:tc>
          <w:tcPr>
            <w:tcW w:w="1559" w:type="dxa"/>
            <w:gridSpan w:val="2"/>
            <w:vAlign w:val="center"/>
          </w:tcPr>
          <w:p>
            <w:pPr>
              <w:pStyle w:val="2"/>
              <w:ind w:left="0"/>
              <w:jc w:val="center"/>
            </w:pPr>
            <w:r>
              <w:t>递交投标文件地点</w:t>
            </w:r>
          </w:p>
        </w:tc>
        <w:tc>
          <w:tcPr>
            <w:tcW w:w="7279" w:type="dxa"/>
            <w:gridSpan w:val="2"/>
            <w:vAlign w:val="center"/>
          </w:tcPr>
          <w:p>
            <w:pPr>
              <w:rPr>
                <w:rFonts w:ascii="宋体" w:hAnsi="宋体"/>
                <w:szCs w:val="21"/>
              </w:rPr>
            </w:pPr>
            <w:r>
              <w:rPr>
                <w:rFonts w:hint="eastAsia" w:ascii="宋体" w:hAnsi="宋体"/>
                <w:szCs w:val="21"/>
              </w:rPr>
              <w:t>○（现场开标）</w:t>
            </w:r>
          </w:p>
          <w:p>
            <w:pPr>
              <w:spacing w:line="276" w:lineRule="auto"/>
              <w:ind w:left="18" w:leftChars="8"/>
              <w:rPr>
                <w:rFonts w:ascii="宋体" w:hAnsi="宋体"/>
                <w:szCs w:val="21"/>
              </w:rPr>
            </w:pPr>
            <w:r>
              <w:rPr>
                <w:rFonts w:hint="eastAsia" w:ascii="宋体" w:hAnsi="宋体"/>
                <w:szCs w:val="21"/>
              </w:rPr>
              <w:t>○</w:t>
            </w:r>
            <w:r>
              <w:rPr>
                <w:rFonts w:hint="eastAsia" w:ascii="宋体" w:hAnsi="宋体" w:cs="Courier New"/>
                <w:kern w:val="0"/>
                <w:szCs w:val="21"/>
              </w:rPr>
              <w:t>成都市天府大道北段966号天府国际金融中心7号楼</w:t>
            </w:r>
            <w:r>
              <w:rPr>
                <w:rFonts w:hint="eastAsia" w:ascii="宋体" w:hAnsi="宋体"/>
                <w:szCs w:val="21"/>
              </w:rPr>
              <w:t>（</w:t>
            </w:r>
            <w:r>
              <w:rPr>
                <w:rFonts w:hint="eastAsia" w:ascii="宋体" w:hAnsi="宋体" w:cs="Courier New"/>
                <w:kern w:val="0"/>
                <w:szCs w:val="21"/>
              </w:rPr>
              <w:t>具体开标室详见市公资交易中心开标当天大屏幕显示</w:t>
            </w:r>
            <w:r>
              <w:rPr>
                <w:rFonts w:hint="eastAsia" w:ascii="宋体" w:hAnsi="宋体"/>
                <w:szCs w:val="21"/>
              </w:rPr>
              <w:t>）</w:t>
            </w:r>
          </w:p>
          <w:p>
            <w:pPr>
              <w:spacing w:line="276" w:lineRule="auto"/>
              <w:ind w:left="18" w:leftChars="8"/>
              <w:rPr>
                <w:rFonts w:ascii="宋体" w:hAnsi="宋体"/>
                <w:szCs w:val="21"/>
              </w:rPr>
            </w:pPr>
            <w:r>
              <w:rPr>
                <w:rFonts w:hint="eastAsia" w:ascii="宋体" w:hAnsi="宋体"/>
                <w:szCs w:val="21"/>
              </w:rPr>
              <w:t>○</w:t>
            </w:r>
            <w:r>
              <w:rPr>
                <w:rFonts w:hint="eastAsia" w:asciiTheme="minorEastAsia" w:hAnsiTheme="minorEastAsia"/>
                <w:szCs w:val="21"/>
              </w:rPr>
              <w:t>分中心地址：</w:t>
            </w:r>
            <w:r>
              <w:rPr>
                <w:rFonts w:hint="eastAsia" w:asciiTheme="minorEastAsia" w:hAnsiTheme="minorEastAsia"/>
                <w:szCs w:val="21"/>
                <w:u w:val="single"/>
              </w:rPr>
              <w:t xml:space="preserve">                                        </w:t>
            </w:r>
          </w:p>
          <w:p>
            <w:pPr>
              <w:pStyle w:val="29"/>
              <w:spacing w:before="76" w:line="320" w:lineRule="atLeast"/>
              <w:rPr>
                <w:rFonts w:ascii="宋体" w:hAnsi="宋体"/>
                <w:szCs w:val="21"/>
                <w:lang w:eastAsia="zh-CN"/>
              </w:rPr>
            </w:pPr>
            <w:r>
              <w:rPr>
                <w:rFonts w:hint="eastAsia" w:ascii="宋体" w:hAnsi="宋体"/>
                <w:szCs w:val="21"/>
                <w:lang w:eastAsia="zh-CN"/>
              </w:rPr>
              <w:t>○（不见面开标）</w:t>
            </w:r>
          </w:p>
          <w:p>
            <w:pPr>
              <w:pStyle w:val="2"/>
              <w:ind w:left="0"/>
            </w:pPr>
            <w:r>
              <w:rPr>
                <w:rFonts w:hint="eastAsia" w:cs="宋体"/>
              </w:rPr>
              <w:t>投标人自行确定上传投标文件地点</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3" w:hRule="atLeast"/>
          <w:jc w:val="center"/>
        </w:trPr>
        <w:tc>
          <w:tcPr>
            <w:tcW w:w="1135" w:type="dxa"/>
            <w:vAlign w:val="center"/>
          </w:tcPr>
          <w:p>
            <w:pPr>
              <w:pStyle w:val="2"/>
              <w:ind w:left="0"/>
              <w:jc w:val="center"/>
            </w:pPr>
            <w:r>
              <w:rPr>
                <w:rFonts w:hint="eastAsia"/>
              </w:rPr>
              <w:t>4.2.3</w:t>
            </w:r>
          </w:p>
        </w:tc>
        <w:tc>
          <w:tcPr>
            <w:tcW w:w="1559" w:type="dxa"/>
            <w:gridSpan w:val="2"/>
            <w:vAlign w:val="center"/>
          </w:tcPr>
          <w:p>
            <w:pPr>
              <w:pStyle w:val="2"/>
              <w:ind w:left="0"/>
              <w:jc w:val="center"/>
            </w:pPr>
            <w:r>
              <w:t>是否退还投标文件</w:t>
            </w:r>
          </w:p>
        </w:tc>
        <w:tc>
          <w:tcPr>
            <w:tcW w:w="7279" w:type="dxa"/>
            <w:gridSpan w:val="2"/>
            <w:vAlign w:val="center"/>
          </w:tcPr>
          <w:p>
            <w:pPr>
              <w:pStyle w:val="2"/>
              <w:ind w:left="0"/>
            </w:pPr>
            <w:r>
              <w:rPr>
                <w:rFonts w:hint="eastAsia"/>
              </w:rPr>
              <w:t>○否</w:t>
            </w:r>
          </w:p>
          <w:p>
            <w:pPr>
              <w:pStyle w:val="2"/>
              <w:ind w:left="0"/>
            </w:pPr>
            <w:r>
              <w:rPr>
                <w:rFonts w:hint="eastAsia"/>
              </w:rPr>
              <w:t>○是</w:t>
            </w:r>
          </w:p>
          <w:p>
            <w:pPr>
              <w:pStyle w:val="2"/>
              <w:ind w:left="0"/>
            </w:pPr>
            <w:r>
              <w:rPr>
                <w:rFonts w:hint="eastAsia"/>
              </w:rPr>
              <w:t>退还方式：</w:t>
            </w:r>
            <w:r>
              <w:rPr>
                <w:rFonts w:hint="eastAsia"/>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9" w:hRule="atLeast"/>
          <w:jc w:val="center"/>
        </w:trPr>
        <w:tc>
          <w:tcPr>
            <w:tcW w:w="1135" w:type="dxa"/>
            <w:vAlign w:val="center"/>
          </w:tcPr>
          <w:p>
            <w:pPr>
              <w:pStyle w:val="2"/>
              <w:ind w:left="0"/>
              <w:jc w:val="center"/>
            </w:pPr>
            <w:r>
              <w:rPr>
                <w:rFonts w:hint="eastAsia"/>
              </w:rPr>
              <w:t>5.1</w:t>
            </w:r>
          </w:p>
        </w:tc>
        <w:tc>
          <w:tcPr>
            <w:tcW w:w="1559" w:type="dxa"/>
            <w:gridSpan w:val="2"/>
            <w:vAlign w:val="center"/>
          </w:tcPr>
          <w:p>
            <w:pPr>
              <w:pStyle w:val="2"/>
              <w:ind w:left="0"/>
              <w:jc w:val="center"/>
            </w:pPr>
            <w:r>
              <w:rPr>
                <w:rFonts w:hint="eastAsia"/>
              </w:rPr>
              <w:t>开标时间和地点</w:t>
            </w:r>
          </w:p>
        </w:tc>
        <w:tc>
          <w:tcPr>
            <w:tcW w:w="7279" w:type="dxa"/>
            <w:gridSpan w:val="2"/>
            <w:vAlign w:val="center"/>
          </w:tcPr>
          <w:p>
            <w:pPr>
              <w:pStyle w:val="2"/>
              <w:ind w:left="0"/>
            </w:pPr>
            <w:r>
              <w:t xml:space="preserve">开标时间：同投标截止时间 </w:t>
            </w:r>
          </w:p>
          <w:p>
            <w:pPr>
              <w:pStyle w:val="2"/>
              <w:ind w:left="0"/>
            </w:pPr>
            <w:r>
              <w:t>开标地点:</w:t>
            </w:r>
          </w:p>
          <w:p>
            <w:pPr>
              <w:pStyle w:val="2"/>
              <w:ind w:left="0"/>
            </w:pPr>
            <w:r>
              <w:rPr>
                <w:rFonts w:hint="eastAsia"/>
              </w:rPr>
              <w:t>○</w:t>
            </w:r>
            <w:r>
              <w:rPr>
                <w:u w:val="single"/>
              </w:rPr>
              <w:t>成都市天府大道北段 966 号天府国际金融中心 7 号楼（具体开标室详见交易中心开标当天大屏幕显示）</w:t>
            </w:r>
          </w:p>
          <w:p>
            <w:pPr>
              <w:pStyle w:val="2"/>
              <w:ind w:left="0"/>
            </w:pPr>
            <w:r>
              <w:rPr>
                <w:rFonts w:hint="eastAsia"/>
              </w:rPr>
              <w:t>○分中心地址：</w:t>
            </w:r>
            <w:r>
              <w:rPr>
                <w:rFonts w:hint="eastAsia"/>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8" w:hRule="atLeast"/>
          <w:jc w:val="center"/>
        </w:trPr>
        <w:tc>
          <w:tcPr>
            <w:tcW w:w="1135" w:type="dxa"/>
            <w:vAlign w:val="center"/>
          </w:tcPr>
          <w:p>
            <w:pPr>
              <w:pStyle w:val="2"/>
              <w:ind w:left="0"/>
              <w:jc w:val="center"/>
            </w:pPr>
            <w:r>
              <w:rPr>
                <w:rFonts w:hint="eastAsia"/>
              </w:rPr>
              <w:t>5.2</w:t>
            </w:r>
          </w:p>
        </w:tc>
        <w:tc>
          <w:tcPr>
            <w:tcW w:w="1559" w:type="dxa"/>
            <w:gridSpan w:val="2"/>
            <w:vAlign w:val="center"/>
          </w:tcPr>
          <w:p>
            <w:pPr>
              <w:pStyle w:val="2"/>
              <w:ind w:left="0"/>
              <w:jc w:val="center"/>
            </w:pPr>
            <w:r>
              <w:rPr>
                <w:rFonts w:hint="eastAsia"/>
              </w:rPr>
              <w:t>开标程序</w:t>
            </w:r>
          </w:p>
        </w:tc>
        <w:tc>
          <w:tcPr>
            <w:tcW w:w="7279" w:type="dxa"/>
            <w:gridSpan w:val="2"/>
            <w:vAlign w:val="center"/>
          </w:tcPr>
          <w:p>
            <w:pPr>
              <w:pStyle w:val="2"/>
              <w:ind w:left="0"/>
            </w:pPr>
            <w:r>
              <w:rPr>
                <w:rFonts w:hint="eastAsia"/>
              </w:rPr>
              <w:t>○（现场开标）</w:t>
            </w:r>
          </w:p>
          <w:p>
            <w:pPr>
              <w:pStyle w:val="2"/>
              <w:ind w:left="0"/>
            </w:pPr>
            <w:r>
              <w:t>开标程序：</w:t>
            </w:r>
          </w:p>
          <w:p>
            <w:pPr>
              <w:pStyle w:val="2"/>
              <w:ind w:left="0"/>
            </w:pPr>
            <w:r>
              <w:rPr>
                <w:rFonts w:hint="eastAsia"/>
              </w:rPr>
              <w:t>(1)</w:t>
            </w:r>
            <w:r>
              <w:t xml:space="preserve"> 从业单位信用等级（得分）评价结果，以</w:t>
            </w:r>
            <w:r>
              <w:rPr>
                <w:rFonts w:hint="eastAsia"/>
              </w:rPr>
              <w:t>云平台当日9时后从</w:t>
            </w:r>
            <w:r>
              <w:t>成都市工程建设招标投标招标投标行政监督平台上</w:t>
            </w:r>
            <w:r>
              <w:rPr>
                <w:rFonts w:hint="eastAsia"/>
              </w:rPr>
              <w:t>获取</w:t>
            </w:r>
            <w:r>
              <w:t>的结果为准</w:t>
            </w:r>
            <w:r>
              <w:rPr>
                <w:rFonts w:hint="eastAsia"/>
              </w:rPr>
              <w:t>并自动关联到《投标情况公示表》。</w:t>
            </w:r>
          </w:p>
          <w:p>
            <w:pPr>
              <w:pStyle w:val="2"/>
              <w:ind w:left="0"/>
            </w:pPr>
            <w:r>
              <w:t xml:space="preserve">（2）公示投标人投标情况，招标人确定是否接收标书。 </w:t>
            </w:r>
          </w:p>
          <w:p>
            <w:pPr>
              <w:pStyle w:val="2"/>
              <w:ind w:left="0"/>
            </w:pPr>
            <w:r>
              <w:t xml:space="preserve">（3）宣布并记录招标人、唱标人、记录人、监督人等有关人员姓名、 单位等信息。 </w:t>
            </w:r>
          </w:p>
          <w:p>
            <w:pPr>
              <w:pStyle w:val="2"/>
              <w:ind w:left="0"/>
            </w:pPr>
            <w:r>
              <w:t xml:space="preserve">（4）招标人组织投标人代表在现场使用投标人的企业 CA 数字证书解密 投标文件。 </w:t>
            </w:r>
          </w:p>
          <w:p>
            <w:pPr>
              <w:pStyle w:val="2"/>
              <w:ind w:left="0"/>
            </w:pPr>
            <w:r>
              <w:t>（5）招标人唱标或进行电声唱标完成后，确认开标记录表信息。</w:t>
            </w:r>
          </w:p>
          <w:p>
            <w:pPr>
              <w:pStyle w:val="2"/>
              <w:ind w:left="0"/>
            </w:pPr>
            <w:r>
              <w:t xml:space="preserve">（6）招标人打印开标记录表，组织有关人员在开标记录表上签字确认（如投标人未对开标记录表进行签字确认，则视为对开标程序和结果无 异议）。 </w:t>
            </w:r>
          </w:p>
          <w:p>
            <w:pPr>
              <w:pStyle w:val="2"/>
              <w:ind w:left="0"/>
            </w:pPr>
            <w:r>
              <w:t>注：</w:t>
            </w:r>
          </w:p>
          <w:p>
            <w:pPr>
              <w:pStyle w:val="2"/>
              <w:ind w:left="0"/>
            </w:pPr>
            <w:r>
              <w:rPr>
                <w:rFonts w:hint="eastAsia"/>
              </w:rPr>
              <w:t>（1）解密失败的投标人在投标截止时间以前递交的光盘中的投标文件为准。</w:t>
            </w:r>
          </w:p>
          <w:p>
            <w:pPr>
              <w:pStyle w:val="2"/>
              <w:ind w:left="0"/>
            </w:pPr>
            <w:r>
              <w:rPr>
                <w:rFonts w:hint="eastAsia"/>
              </w:rPr>
              <w:t>（2）</w:t>
            </w:r>
            <w:r>
              <w:t>投标人对开标有异议的，应当在开标现场提出，招标人当场作出答复，并制作记录。</w:t>
            </w:r>
          </w:p>
          <w:p>
            <w:pPr>
              <w:pStyle w:val="2"/>
              <w:ind w:left="0"/>
            </w:pPr>
            <w:r>
              <w:rPr>
                <w:rFonts w:hint="eastAsia"/>
              </w:rPr>
              <w:t>○（不见面开标）</w:t>
            </w:r>
          </w:p>
          <w:p>
            <w:pPr>
              <w:pStyle w:val="2"/>
              <w:ind w:left="0"/>
            </w:pPr>
            <w:r>
              <w:rPr>
                <w:rFonts w:hint="eastAsia"/>
              </w:rPr>
              <w:t>开标程序：</w:t>
            </w:r>
          </w:p>
          <w:p>
            <w:pPr>
              <w:pStyle w:val="2"/>
              <w:ind w:left="0"/>
            </w:pPr>
            <w:r>
              <w:t>1</w:t>
            </w:r>
            <w:r>
              <w:rPr>
                <w:rFonts w:hint="eastAsia"/>
              </w:rPr>
              <w:t>、从业单位信用等级（得分）评价结果，以云平台当日9时后从成都市工程建设招标投标招标投标行政监督平台上获取的结果为准并自动关联到《投标情况公示表》。</w:t>
            </w:r>
          </w:p>
          <w:p>
            <w:pPr>
              <w:pStyle w:val="2"/>
              <w:ind w:left="0"/>
            </w:pPr>
            <w:r>
              <w:t>2</w:t>
            </w:r>
            <w:r>
              <w:rPr>
                <w:rFonts w:hint="eastAsia"/>
              </w:rPr>
              <w:t>、招标人或其委托代理机构，以及已在投标截止时间前按规定上传投标文件的投标人，均应在开标当日投标截止时间前登录不见面开标系统（网址：</w:t>
            </w:r>
            <w:r>
              <w:t>www.cdggzy.com</w:t>
            </w:r>
            <w:r>
              <w:rPr>
                <w:rFonts w:hint="eastAsia"/>
              </w:rPr>
              <w:t>），录入相关人员姓名、电话等基本信息。</w:t>
            </w:r>
          </w:p>
          <w:p>
            <w:pPr>
              <w:pStyle w:val="2"/>
              <w:ind w:left="0"/>
            </w:pPr>
            <w:r>
              <w:t>3</w:t>
            </w:r>
            <w:r>
              <w:rPr>
                <w:rFonts w:hint="eastAsia"/>
              </w:rPr>
              <w:t>、</w:t>
            </w:r>
            <w:r>
              <w:t>投标时间截止后，招标人或其委托代理机构点击确认开标开始，系统进入正式开标环节，展示所有已上传投标文件的投标人名单、投标保证金交纳情况和投标人相关信用信息等投标基本情况。</w:t>
            </w:r>
          </w:p>
          <w:p>
            <w:pPr>
              <w:pStyle w:val="2"/>
              <w:ind w:left="0"/>
            </w:pPr>
            <w:r>
              <w:t>4</w:t>
            </w:r>
            <w:r>
              <w:rPr>
                <w:rFonts w:hint="eastAsia"/>
              </w:rPr>
              <w:t>、</w:t>
            </w:r>
            <w:r>
              <w:t>投标基本情况展示后，招标人或其委托代理机构应点击进入投标文件解密环节，投标人应在解密开始后</w:t>
            </w:r>
            <w:r>
              <w:rPr>
                <w:rFonts w:hint="eastAsia"/>
              </w:rPr>
              <w:t>30</w:t>
            </w:r>
            <w:r>
              <w:t>分钟内在线完成投标文件解密。</w:t>
            </w:r>
          </w:p>
          <w:p>
            <w:pPr>
              <w:pStyle w:val="2"/>
              <w:ind w:left="0"/>
            </w:pPr>
            <w:r>
              <w:rPr>
                <w:rFonts w:hint="eastAsia"/>
              </w:rPr>
              <w:t>5、</w:t>
            </w:r>
            <w:r>
              <w:t>所有投标人完成解密后或在规定解密时间截止后，经招标人或其委托代理机构确认进入唱标展示环节，由系统直接展示各投标人名称、投标报价等唱标内容，生成开标记录表。</w:t>
            </w:r>
          </w:p>
          <w:p>
            <w:pPr>
              <w:pStyle w:val="2"/>
              <w:ind w:left="0"/>
            </w:pPr>
            <w:r>
              <w:rPr>
                <w:rFonts w:hint="eastAsia"/>
              </w:rPr>
              <w:t>6、</w:t>
            </w:r>
            <w:r>
              <w:t>投标人对开标有异议的，应在线提出，由招标人或其委托代理机构在线即时答复处理。</w:t>
            </w:r>
            <w:r>
              <w:rPr>
                <w:rFonts w:hint="eastAsia"/>
              </w:rPr>
              <w:t>招标人或其委托代理机构应为投标人提供提出异议时间不少于10分钟（生成开标记录表开始起算）。</w:t>
            </w:r>
            <w:r>
              <w:t>所有异议处理完毕后，由招标人或其委托代理机构确认开标结束。</w:t>
            </w:r>
          </w:p>
          <w:p>
            <w:pPr>
              <w:pStyle w:val="2"/>
              <w:ind w:left="0"/>
            </w:pPr>
            <w:r>
              <w:rPr>
                <w:rFonts w:hint="eastAsia"/>
              </w:rPr>
              <w:t>注：</w:t>
            </w:r>
            <w:r>
              <w:t>投标人未提出异议的，视同其认可开标过程、开标内容和开标结果。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 w:hRule="atLeast"/>
          <w:jc w:val="center"/>
        </w:trPr>
        <w:tc>
          <w:tcPr>
            <w:tcW w:w="1135" w:type="dxa"/>
            <w:vAlign w:val="center"/>
          </w:tcPr>
          <w:p>
            <w:pPr>
              <w:pStyle w:val="2"/>
              <w:ind w:left="0"/>
              <w:jc w:val="center"/>
            </w:pPr>
            <w:r>
              <w:rPr>
                <w:rFonts w:hint="eastAsia"/>
              </w:rPr>
              <w:t>6.1.1</w:t>
            </w:r>
          </w:p>
        </w:tc>
        <w:tc>
          <w:tcPr>
            <w:tcW w:w="1559" w:type="dxa"/>
            <w:gridSpan w:val="2"/>
            <w:vAlign w:val="center"/>
          </w:tcPr>
          <w:p>
            <w:pPr>
              <w:pStyle w:val="2"/>
              <w:ind w:left="0"/>
              <w:jc w:val="center"/>
            </w:pPr>
            <w:r>
              <w:rPr>
                <w:rFonts w:hint="eastAsia"/>
              </w:rPr>
              <w:t>评标委员会的组建</w:t>
            </w:r>
          </w:p>
        </w:tc>
        <w:tc>
          <w:tcPr>
            <w:tcW w:w="7279" w:type="dxa"/>
            <w:gridSpan w:val="2"/>
            <w:vAlign w:val="center"/>
          </w:tcPr>
          <w:p>
            <w:pPr>
              <w:pStyle w:val="2"/>
              <w:ind w:left="660" w:hanging="660" w:hangingChars="300"/>
              <w:rPr>
                <w:u w:val="single"/>
              </w:rPr>
            </w:pPr>
            <w:r>
              <w:t>评标委员会构成：</w:t>
            </w:r>
            <w:r>
              <w:rPr>
                <w:rFonts w:hint="eastAsia"/>
                <w:u w:val="single"/>
              </w:rPr>
              <w:t xml:space="preserve">      </w:t>
            </w:r>
            <w:r>
              <w:rPr>
                <w:rFonts w:hint="eastAsia"/>
              </w:rPr>
              <w:t>人（须为5</w:t>
            </w:r>
            <w:r>
              <w:t>人</w:t>
            </w:r>
            <w:r>
              <w:rPr>
                <w:rFonts w:hint="eastAsia"/>
              </w:rPr>
              <w:t>或5人</w:t>
            </w:r>
            <w:r>
              <w:t>以上单数</w:t>
            </w:r>
            <w:r>
              <w:rPr>
                <w:rFonts w:hint="eastAsia"/>
              </w:rPr>
              <w:t>）；</w:t>
            </w:r>
            <w:r>
              <w:t>其中招标人代表</w:t>
            </w:r>
            <w:r>
              <w:rPr>
                <w:rFonts w:hint="eastAsia"/>
              </w:rPr>
              <w:t xml:space="preserve">   </w:t>
            </w:r>
            <w:r>
              <w:rPr>
                <w:rFonts w:hint="eastAsia"/>
                <w:u w:val="single"/>
              </w:rPr>
              <w:t xml:space="preserve"> </w:t>
            </w:r>
          </w:p>
          <w:p>
            <w:pPr>
              <w:pStyle w:val="2"/>
              <w:ind w:left="660" w:hanging="660" w:hangingChars="300"/>
            </w:pPr>
            <w:r>
              <w:rPr>
                <w:rFonts w:hint="eastAsia"/>
                <w:u w:val="single"/>
              </w:rPr>
              <w:t xml:space="preserve">   </w:t>
            </w:r>
            <w:r>
              <w:t>人，评标专家</w:t>
            </w:r>
            <w:r>
              <w:rPr>
                <w:rFonts w:hint="eastAsia"/>
                <w:u w:val="single"/>
              </w:rPr>
              <w:t xml:space="preserve">   </w:t>
            </w:r>
            <w:r>
              <w:t>人</w:t>
            </w:r>
            <w:r>
              <w:rPr>
                <w:rFonts w:hint="eastAsia"/>
              </w:rPr>
              <w:t>。</w:t>
            </w:r>
            <w:r>
              <w:t xml:space="preserve"> </w:t>
            </w:r>
          </w:p>
          <w:p>
            <w:pPr>
              <w:pStyle w:val="2"/>
              <w:ind w:left="0"/>
            </w:pPr>
            <w:r>
              <w:t>评标专家确定方式：</w:t>
            </w:r>
            <w:r>
              <w:rPr>
                <w:rFonts w:hint="eastAsia"/>
              </w:rPr>
              <w:t>从四川省评标专家库内相关专业的专家名单中随机抽取。</w:t>
            </w:r>
          </w:p>
          <w:p>
            <w:pPr>
              <w:pStyle w:val="2"/>
              <w:ind w:left="0"/>
            </w:pPr>
            <w:r>
              <w:rPr>
                <w:rFonts w:hint="eastAsia"/>
              </w:rPr>
              <w:t>注：评标委员会组建时，可视情况调整并增加评标委员会人数。</w:t>
            </w:r>
          </w:p>
          <w:p>
            <w:pPr>
              <w:pStyle w:val="2"/>
              <w:ind w:left="0"/>
            </w:pPr>
            <w:r>
              <w:rPr>
                <w:rFonts w:hint="eastAsia"/>
              </w:rPr>
              <w:t>招标人代表人数不得超过评标委员会总数的1/3。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1135" w:type="dxa"/>
            <w:vAlign w:val="center"/>
          </w:tcPr>
          <w:p>
            <w:pPr>
              <w:pStyle w:val="2"/>
              <w:ind w:left="0"/>
              <w:jc w:val="center"/>
            </w:pPr>
            <w:r>
              <w:rPr>
                <w:rFonts w:hint="eastAsia"/>
              </w:rPr>
              <w:t>6.3</w:t>
            </w:r>
          </w:p>
        </w:tc>
        <w:tc>
          <w:tcPr>
            <w:tcW w:w="1559" w:type="dxa"/>
            <w:gridSpan w:val="2"/>
            <w:vAlign w:val="center"/>
          </w:tcPr>
          <w:p>
            <w:pPr>
              <w:pStyle w:val="2"/>
              <w:ind w:left="0"/>
              <w:jc w:val="center"/>
            </w:pPr>
            <w:r>
              <w:rPr>
                <w:rFonts w:hint="eastAsia"/>
              </w:rPr>
              <w:t>评标办法</w:t>
            </w:r>
          </w:p>
        </w:tc>
        <w:tc>
          <w:tcPr>
            <w:tcW w:w="7279" w:type="dxa"/>
            <w:gridSpan w:val="2"/>
            <w:vAlign w:val="center"/>
          </w:tcPr>
          <w:p>
            <w:pPr>
              <w:pStyle w:val="2"/>
              <w:ind w:left="0"/>
            </w:pPr>
            <w:r>
              <w:rPr/>
              <w:sym w:font="Wingdings 2" w:char="00A3"/>
            </w:r>
            <w:r>
              <w:rPr>
                <w:rFonts w:hint="eastAsia"/>
              </w:rPr>
              <w:t>综合评估法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atLeast"/>
          <w:jc w:val="center"/>
        </w:trPr>
        <w:tc>
          <w:tcPr>
            <w:tcW w:w="1135" w:type="dxa"/>
            <w:vAlign w:val="center"/>
          </w:tcPr>
          <w:p>
            <w:pPr>
              <w:pStyle w:val="2"/>
              <w:ind w:left="0"/>
              <w:jc w:val="center"/>
            </w:pPr>
            <w:r>
              <w:rPr>
                <w:rFonts w:hint="eastAsia"/>
              </w:rPr>
              <w:t>7.1</w:t>
            </w:r>
          </w:p>
        </w:tc>
        <w:tc>
          <w:tcPr>
            <w:tcW w:w="1559" w:type="dxa"/>
            <w:gridSpan w:val="2"/>
            <w:vAlign w:val="center"/>
          </w:tcPr>
          <w:p>
            <w:pPr>
              <w:pStyle w:val="2"/>
              <w:ind w:left="0"/>
              <w:jc w:val="center"/>
            </w:pPr>
            <w:r>
              <w:rPr>
                <w:rFonts w:hint="eastAsia"/>
              </w:rPr>
              <w:t>是否授权评标委员会确定中标人</w:t>
            </w:r>
          </w:p>
        </w:tc>
        <w:tc>
          <w:tcPr>
            <w:tcW w:w="7279" w:type="dxa"/>
            <w:gridSpan w:val="2"/>
            <w:vAlign w:val="center"/>
          </w:tcPr>
          <w:p>
            <w:pPr>
              <w:pStyle w:val="2"/>
              <w:ind w:left="0"/>
            </w:pPr>
            <w:r>
              <w:rPr>
                <w:rFonts w:hint="eastAsia"/>
              </w:rPr>
              <w:t>○是</w:t>
            </w:r>
          </w:p>
          <w:p>
            <w:pPr>
              <w:pStyle w:val="2"/>
              <w:ind w:left="0"/>
            </w:pPr>
            <w:r>
              <w:rPr>
                <w:rFonts w:hint="eastAsia"/>
              </w:rPr>
              <w:t>○否,推荐的中标候选人数：1-3名。</w:t>
            </w:r>
          </w:p>
          <w:p>
            <w:pPr>
              <w:pStyle w:val="2"/>
              <w:ind w:left="0"/>
            </w:pPr>
            <w:r>
              <w:t>如果中标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atLeast"/>
          <w:jc w:val="center"/>
        </w:trPr>
        <w:tc>
          <w:tcPr>
            <w:tcW w:w="1135" w:type="dxa"/>
            <w:vAlign w:val="center"/>
          </w:tcPr>
          <w:p>
            <w:pPr>
              <w:pStyle w:val="2"/>
              <w:ind w:left="0"/>
              <w:jc w:val="center"/>
            </w:pPr>
            <w:r>
              <w:rPr>
                <w:rFonts w:hint="eastAsia"/>
              </w:rPr>
              <w:t>7.2</w:t>
            </w:r>
          </w:p>
        </w:tc>
        <w:tc>
          <w:tcPr>
            <w:tcW w:w="1559" w:type="dxa"/>
            <w:gridSpan w:val="2"/>
            <w:vAlign w:val="center"/>
          </w:tcPr>
          <w:p>
            <w:pPr>
              <w:pStyle w:val="2"/>
              <w:ind w:left="0"/>
              <w:jc w:val="center"/>
            </w:pPr>
            <w:r>
              <w:rPr>
                <w:rFonts w:hint="eastAsia"/>
              </w:rPr>
              <w:t>中标候选人公示媒介</w:t>
            </w:r>
          </w:p>
        </w:tc>
        <w:tc>
          <w:tcPr>
            <w:tcW w:w="7279" w:type="dxa"/>
            <w:gridSpan w:val="2"/>
            <w:vAlign w:val="center"/>
          </w:tcPr>
          <w:p>
            <w:pPr>
              <w:pStyle w:val="2"/>
              <w:ind w:left="0"/>
            </w:pPr>
            <w:r>
              <w:t>公示媒介：全国公共资源交易平台（四川省）、成都市公共资源交易服务中心（网址：http://ggzyjy.sc.gov.cn、www.cdggzy.com）</w:t>
            </w:r>
          </w:p>
          <w:p>
            <w:pPr>
              <w:pStyle w:val="2"/>
              <w:ind w:left="0"/>
            </w:pPr>
            <w:r>
              <w:t>公示期限：</w:t>
            </w:r>
            <w:r>
              <w:rPr>
                <w:rFonts w:hint="eastAsia"/>
                <w:u w:val="single"/>
              </w:rPr>
              <w:t xml:space="preserve">   </w:t>
            </w:r>
            <w:r>
              <w:rPr>
                <w:rFonts w:hint="eastAsia"/>
              </w:rPr>
              <w:t>个工作</w:t>
            </w:r>
            <w:r>
              <w:t>日</w:t>
            </w:r>
            <w:r>
              <w:rPr>
                <w:rFonts w:hint="eastAsia"/>
              </w:rPr>
              <w:t xml:space="preserve"> （不少于3个工作</w:t>
            </w:r>
            <w:r>
              <w:t>日</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atLeast"/>
          <w:jc w:val="center"/>
        </w:trPr>
        <w:tc>
          <w:tcPr>
            <w:tcW w:w="1135" w:type="dxa"/>
            <w:vAlign w:val="center"/>
          </w:tcPr>
          <w:p>
            <w:pPr>
              <w:pStyle w:val="2"/>
              <w:ind w:left="0"/>
              <w:jc w:val="center"/>
            </w:pPr>
            <w:r>
              <w:rPr>
                <w:rFonts w:hint="eastAsia"/>
              </w:rPr>
              <w:t>7.4.1</w:t>
            </w:r>
          </w:p>
        </w:tc>
        <w:tc>
          <w:tcPr>
            <w:tcW w:w="1559" w:type="dxa"/>
            <w:gridSpan w:val="2"/>
            <w:vAlign w:val="center"/>
          </w:tcPr>
          <w:p>
            <w:pPr>
              <w:pStyle w:val="2"/>
              <w:ind w:left="0"/>
              <w:jc w:val="center"/>
            </w:pPr>
            <w:r>
              <w:rPr>
                <w:rFonts w:hint="eastAsia"/>
              </w:rPr>
              <w:t>履约担保</w:t>
            </w:r>
          </w:p>
        </w:tc>
        <w:tc>
          <w:tcPr>
            <w:tcW w:w="7279" w:type="dxa"/>
            <w:gridSpan w:val="2"/>
            <w:vAlign w:val="center"/>
          </w:tcPr>
          <w:p>
            <w:pPr>
              <w:pStyle w:val="2"/>
              <w:ind w:left="0"/>
            </w:pPr>
            <w:r>
              <w:rPr>
                <w:rFonts w:hint="eastAsia"/>
              </w:rPr>
              <w:t>○不提交；</w:t>
            </w:r>
          </w:p>
          <w:p>
            <w:pPr>
              <w:pStyle w:val="2"/>
              <w:ind w:left="0"/>
            </w:pPr>
            <w:r>
              <w:rPr>
                <w:rFonts w:hint="eastAsia"/>
              </w:rPr>
              <w:t>○提交：</w:t>
            </w:r>
          </w:p>
          <w:p>
            <w:pPr>
              <w:pStyle w:val="2"/>
              <w:ind w:left="0"/>
            </w:pPr>
            <w:r>
              <w:t xml:space="preserve">履约保证金要求如下： </w:t>
            </w:r>
          </w:p>
          <w:p>
            <w:pPr>
              <w:pStyle w:val="2"/>
              <w:ind w:left="0"/>
            </w:pPr>
            <w:r>
              <w:t>履约保证金金额：</w:t>
            </w:r>
            <w:r>
              <w:rPr>
                <w:rFonts w:hint="eastAsia"/>
              </w:rPr>
              <w:t>________________;</w:t>
            </w:r>
          </w:p>
          <w:p>
            <w:pPr>
              <w:pStyle w:val="2"/>
              <w:ind w:left="0"/>
            </w:pPr>
            <w:r>
              <w:t>中标合同金额的__________________%；</w:t>
            </w:r>
          </w:p>
          <w:p>
            <w:pPr>
              <w:pStyle w:val="2"/>
              <w:ind w:left="0"/>
            </w:pPr>
            <w:r>
              <w:t>递交要求：</w:t>
            </w:r>
          </w:p>
          <w:p>
            <w:pPr>
              <w:pStyle w:val="2"/>
              <w:ind w:left="0"/>
            </w:pPr>
            <w:r>
              <w:t>履约保证金必须通过中标人的基本账户以银行转帐方式或银行保函方式</w:t>
            </w:r>
            <w:r>
              <w:rPr>
                <w:rFonts w:hint="eastAsia"/>
                <w:u w:val="single"/>
              </w:rPr>
              <w:t>□保证保险方式</w:t>
            </w:r>
            <w:r>
              <w:t>缴纳，须在招标人发出中标通知书后</w:t>
            </w:r>
            <w:r>
              <w:rPr>
                <w:u w:val="single"/>
              </w:rPr>
              <w:tab/>
            </w:r>
            <w:r>
              <w:rPr>
                <w:rFonts w:hint="eastAsia"/>
                <w:u w:val="single"/>
              </w:rPr>
              <w:t xml:space="preserve">    </w:t>
            </w:r>
            <w:r>
              <w:t>个工作日内提交。</w:t>
            </w:r>
          </w:p>
          <w:p>
            <w:pPr>
              <w:pStyle w:val="2"/>
              <w:ind w:left="0"/>
            </w:pPr>
            <w:r>
              <w:t>注：履约保证金不得超过中标合同金额的10%，招标人不得要求没有法律法规依据的其他任何形式的各类保证金、押金等。</w:t>
            </w:r>
          </w:p>
          <w:p>
            <w:pPr>
              <w:pStyle w:val="2"/>
              <w:ind w:left="0"/>
              <w:rPr>
                <w:lang w:val="zh-CN"/>
              </w:rPr>
            </w:pPr>
            <w:r>
              <w:t>注:</w:t>
            </w:r>
            <w:r>
              <w:rPr>
                <w:rFonts w:hint="eastAsia"/>
              </w:rPr>
              <w:t>履约保证金不得超过中标合同金额的10%，招标人不得要求没有法律法规依据的其他任何形式的各类保证金、押金等。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atLeast"/>
          <w:jc w:val="center"/>
        </w:trPr>
        <w:tc>
          <w:tcPr>
            <w:tcW w:w="1135" w:type="dxa"/>
            <w:vAlign w:val="center"/>
          </w:tcPr>
          <w:p>
            <w:pPr>
              <w:pStyle w:val="2"/>
              <w:ind w:left="0"/>
              <w:jc w:val="center"/>
            </w:pPr>
            <w:r>
              <w:rPr>
                <w:rFonts w:hint="eastAsia"/>
              </w:rPr>
              <w:t>7.5.3</w:t>
            </w:r>
          </w:p>
        </w:tc>
        <w:tc>
          <w:tcPr>
            <w:tcW w:w="1559" w:type="dxa"/>
            <w:gridSpan w:val="2"/>
            <w:vAlign w:val="center"/>
          </w:tcPr>
          <w:p>
            <w:pPr>
              <w:pStyle w:val="2"/>
              <w:ind w:left="0"/>
              <w:jc w:val="center"/>
            </w:pPr>
            <w:r>
              <w:rPr>
                <w:rFonts w:hint="eastAsia"/>
              </w:rPr>
              <w:t>签订合同</w:t>
            </w:r>
          </w:p>
        </w:tc>
        <w:tc>
          <w:tcPr>
            <w:tcW w:w="7279" w:type="dxa"/>
            <w:gridSpan w:val="2"/>
            <w:vAlign w:val="center"/>
          </w:tcPr>
          <w:p>
            <w:pPr>
              <w:pStyle w:val="2"/>
              <w:ind w:left="0"/>
            </w:pPr>
            <w:r>
              <w:rPr>
                <w:rFonts w:hint="eastAsia"/>
              </w:rPr>
              <w:t>合同协议书经双方法定代表人或委托代理人签字并加盖公章后生效。</w:t>
            </w:r>
          </w:p>
          <w:p>
            <w:pPr>
              <w:pStyle w:val="2"/>
              <w:ind w:left="0"/>
            </w:pPr>
            <w:r>
              <w:rPr>
                <w:rFonts w:hint="eastAsia"/>
              </w:rPr>
              <w:t>中标人应按其投标文件的承诺，派遣项目班子。在项目实施全过程中，未经行政主管部门批准，中标人在投标文件中所报的项目经理、</w:t>
            </w:r>
            <w:r>
              <w:rPr>
                <w:rFonts w:hint="eastAsia"/>
                <w:u w:val="single"/>
              </w:rPr>
              <w:t>□勘察负责人□设计负责人、□施工负责人、□施工技术负责人</w:t>
            </w:r>
            <w:r>
              <w:rPr>
                <w:rFonts w:hint="eastAsia"/>
              </w:rPr>
              <w:t>不得更换，项目班子其他人员若有变更，应与招标人协商议定。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9" w:hRule="atLeast"/>
          <w:jc w:val="center"/>
        </w:trPr>
        <w:tc>
          <w:tcPr>
            <w:tcW w:w="1135" w:type="dxa"/>
            <w:vAlign w:val="center"/>
          </w:tcPr>
          <w:p>
            <w:pPr>
              <w:pStyle w:val="2"/>
              <w:ind w:left="0"/>
              <w:jc w:val="center"/>
              <w:rPr>
                <w:b/>
                <w:bCs/>
              </w:rPr>
            </w:pPr>
            <w:r>
              <w:rPr>
                <w:b/>
                <w:bCs/>
              </w:rPr>
              <w:t>10</w:t>
            </w:r>
          </w:p>
        </w:tc>
        <w:tc>
          <w:tcPr>
            <w:tcW w:w="8838" w:type="dxa"/>
            <w:gridSpan w:val="4"/>
            <w:vAlign w:val="center"/>
          </w:tcPr>
          <w:p>
            <w:pPr>
              <w:pStyle w:val="2"/>
              <w:ind w:left="0"/>
              <w:jc w:val="center"/>
              <w:rPr>
                <w:b/>
                <w:bCs/>
              </w:rPr>
            </w:pPr>
            <w:r>
              <w:rPr>
                <w:rFonts w:hint="eastAsia"/>
                <w:b/>
                <w:bCs/>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20" w:hRule="atLeast"/>
          <w:jc w:val="center"/>
        </w:trPr>
        <w:tc>
          <w:tcPr>
            <w:tcW w:w="1135" w:type="dxa"/>
            <w:vAlign w:val="center"/>
          </w:tcPr>
          <w:p>
            <w:pPr>
              <w:pStyle w:val="2"/>
              <w:ind w:left="0"/>
              <w:jc w:val="center"/>
            </w:pPr>
            <w:r>
              <w:rPr>
                <w:rFonts w:hint="eastAsia"/>
              </w:rPr>
              <w:t>10.1</w:t>
            </w:r>
          </w:p>
        </w:tc>
        <w:tc>
          <w:tcPr>
            <w:tcW w:w="1559" w:type="dxa"/>
            <w:gridSpan w:val="2"/>
            <w:vAlign w:val="center"/>
          </w:tcPr>
          <w:p>
            <w:pPr>
              <w:pStyle w:val="2"/>
              <w:ind w:left="0"/>
              <w:jc w:val="center"/>
            </w:pPr>
            <w:r>
              <w:rPr>
                <w:rFonts w:hint="eastAsia"/>
              </w:rPr>
              <w:t>★招标控制价</w:t>
            </w:r>
          </w:p>
        </w:tc>
        <w:tc>
          <w:tcPr>
            <w:tcW w:w="7279" w:type="dxa"/>
            <w:gridSpan w:val="2"/>
            <w:vAlign w:val="center"/>
          </w:tcPr>
          <w:p>
            <w:pPr>
              <w:pStyle w:val="2"/>
              <w:ind w:left="0"/>
            </w:pPr>
            <w:r>
              <w:rPr>
                <w:rFonts w:hint="eastAsia"/>
              </w:rPr>
              <w:t>设计费招标控制价为：</w:t>
            </w:r>
            <w:r>
              <w:rPr>
                <w:u w:val="single"/>
              </w:rPr>
              <w:t xml:space="preserve">                         </w:t>
            </w:r>
            <w:r>
              <w:t xml:space="preserve"> </w:t>
            </w:r>
            <w:r>
              <w:rPr>
                <w:rFonts w:hint="eastAsia"/>
              </w:rPr>
              <w:t>；</w:t>
            </w:r>
          </w:p>
          <w:p>
            <w:pPr>
              <w:pStyle w:val="2"/>
              <w:ind w:left="0"/>
            </w:pPr>
            <w:r>
              <w:rPr>
                <w:rFonts w:hint="eastAsia"/>
              </w:rPr>
              <w:t>□工程建设费招标控制价为</w:t>
            </w:r>
            <w:r>
              <w:rPr>
                <w:u w:val="single"/>
              </w:rPr>
              <w:t xml:space="preserve">     </w:t>
            </w:r>
            <w:r>
              <w:rPr>
                <w:rFonts w:hint="eastAsia"/>
                <w:u w:val="single"/>
              </w:rPr>
              <w:t xml:space="preserve">   </w:t>
            </w:r>
            <w:r>
              <w:rPr>
                <w:u w:val="single"/>
              </w:rPr>
              <w:t xml:space="preserve">    </w:t>
            </w:r>
            <w:r>
              <w:rPr>
                <w:rFonts w:hint="eastAsia"/>
              </w:rPr>
              <w:t>，其中安全文明施工费为</w:t>
            </w:r>
            <w:r>
              <w:rPr>
                <w:u w:val="single"/>
              </w:rPr>
              <w:t xml:space="preserve">   </w:t>
            </w:r>
            <w:r>
              <w:rPr>
                <w:rFonts w:hint="eastAsia"/>
                <w:u w:val="single"/>
              </w:rPr>
              <w:t xml:space="preserve">   </w:t>
            </w:r>
            <w:r>
              <w:rPr>
                <w:u w:val="single"/>
              </w:rPr>
              <w:t xml:space="preserve">    </w:t>
            </w:r>
            <w:r>
              <w:rPr>
                <w:rFonts w:hint="eastAsia"/>
              </w:rPr>
              <w:t>元；规费</w:t>
            </w:r>
            <w:r>
              <w:t xml:space="preserve"> </w:t>
            </w:r>
            <w:r>
              <w:rPr>
                <w:u w:val="single"/>
              </w:rPr>
              <w:t xml:space="preserve">            </w:t>
            </w:r>
            <w:r>
              <w:rPr>
                <w:rFonts w:hint="eastAsia"/>
              </w:rPr>
              <w:t>元；□专业</w:t>
            </w:r>
            <w:r>
              <w:t>工程</w:t>
            </w:r>
            <w:r>
              <w:rPr>
                <w:rFonts w:hint="eastAsia"/>
              </w:rPr>
              <w:t>暂估价:</w:t>
            </w:r>
            <w:r>
              <w:rPr>
                <w:u w:val="single"/>
              </w:rPr>
              <w:t xml:space="preserve">             </w:t>
            </w:r>
            <w:r>
              <w:rPr>
                <w:rFonts w:hint="eastAsia"/>
              </w:rPr>
              <w:t>元；□暂列金额：</w:t>
            </w:r>
            <w:r>
              <w:rPr>
                <w:rFonts w:hint="eastAsia"/>
                <w:u w:val="single"/>
              </w:rPr>
              <w:t xml:space="preserve">        </w:t>
            </w:r>
            <w:r>
              <w:rPr>
                <w:rFonts w:hint="eastAsia"/>
              </w:rPr>
              <w:t>元；□风险金额：</w:t>
            </w:r>
            <w:r>
              <w:rPr>
                <w:u w:val="single"/>
              </w:rPr>
              <w:t xml:space="preserve">         </w:t>
            </w:r>
            <w:r>
              <w:rPr>
                <w:rFonts w:hint="eastAsia"/>
              </w:rPr>
              <w:t>元；</w:t>
            </w:r>
          </w:p>
          <w:p>
            <w:pPr>
              <w:pStyle w:val="2"/>
              <w:ind w:left="0"/>
            </w:pPr>
          </w:p>
          <w:p>
            <w:pPr>
              <w:pStyle w:val="2"/>
              <w:ind w:left="0"/>
            </w:pPr>
            <w:r>
              <w:rPr>
                <w:rFonts w:hint="eastAsia"/>
              </w:rPr>
              <w:t>下同，投标人投标函中填报的金额不得超过招标控制价，否则应否决其投标。</w:t>
            </w:r>
          </w:p>
          <w:p>
            <w:pPr>
              <w:pStyle w:val="2"/>
              <w:ind w:left="0"/>
            </w:pPr>
            <w:r>
              <w:rPr>
                <w:rFonts w:hint="eastAsia"/>
              </w:rPr>
              <w:t>注：</w:t>
            </w:r>
          </w:p>
          <w:p>
            <w:pPr>
              <w:pStyle w:val="2"/>
              <w:ind w:left="0"/>
            </w:pPr>
            <w:r>
              <w:rPr>
                <w:rFonts w:hint="eastAsia"/>
              </w:rPr>
              <w:t>1、若无价格填"/"。</w:t>
            </w:r>
          </w:p>
          <w:p>
            <w:pPr>
              <w:pStyle w:val="2"/>
              <w:ind w:left="0"/>
            </w:pPr>
            <w:r>
              <w:rPr>
                <w:rFonts w:hint="eastAsia"/>
              </w:rPr>
              <w:t>2、招标人在招标文件中公布招标控制价，作为投标最高限价。最高限价应根据拟建工程的招标工程量清单、招标文件的有关要求、□《</w:t>
            </w:r>
            <w:r>
              <w:t>进一步放开建设项目专业服务价格的通知</w:t>
            </w:r>
            <w:r>
              <w:rPr>
                <w:rFonts w:hint="eastAsia"/>
              </w:rPr>
              <w:t>》（</w:t>
            </w:r>
            <w:r>
              <w:t>发改价格[2015]299号</w:t>
            </w:r>
            <w:r>
              <w:rPr>
                <w:rFonts w:hint="eastAsia"/>
              </w:rPr>
              <w:t>）有关规定；</w:t>
            </w:r>
            <w:r>
              <w:rPr>
                <w:rFonts w:hint="eastAsia"/>
                <w:u w:val="single"/>
              </w:rPr>
              <w:t>□《四川省建设工程工程量清单计价定额》及工程造价管理部门发布的工程造价信息，结合工程项目实际与拟定的合理施工方法进行编制。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135" w:type="dxa"/>
            <w:vAlign w:val="center"/>
          </w:tcPr>
          <w:p>
            <w:pPr>
              <w:pStyle w:val="2"/>
              <w:ind w:left="0"/>
              <w:jc w:val="center"/>
            </w:pPr>
            <w:r>
              <w:rPr>
                <w:rFonts w:hint="eastAsia"/>
              </w:rPr>
              <w:t>10.2</w:t>
            </w:r>
          </w:p>
        </w:tc>
        <w:tc>
          <w:tcPr>
            <w:tcW w:w="1559" w:type="dxa"/>
            <w:gridSpan w:val="2"/>
            <w:vAlign w:val="center"/>
          </w:tcPr>
          <w:p>
            <w:pPr>
              <w:pStyle w:val="2"/>
              <w:ind w:left="0"/>
              <w:jc w:val="center"/>
            </w:pPr>
            <w:r>
              <w:rPr>
                <w:rFonts w:hint="eastAsia"/>
              </w:rPr>
              <w:t>编页码和小签</w:t>
            </w:r>
          </w:p>
        </w:tc>
        <w:tc>
          <w:tcPr>
            <w:tcW w:w="7279" w:type="dxa"/>
            <w:gridSpan w:val="2"/>
            <w:vAlign w:val="center"/>
          </w:tcPr>
          <w:p>
            <w:pPr>
              <w:pStyle w:val="2"/>
              <w:ind w:left="0"/>
            </w:pPr>
            <w:r>
              <w:rPr>
                <w:rFonts w:hint="eastAsia"/>
              </w:rPr>
              <w:t>不作统一要求，投标人自定。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135" w:type="dxa"/>
            <w:vAlign w:val="center"/>
          </w:tcPr>
          <w:p>
            <w:pPr>
              <w:pStyle w:val="2"/>
              <w:ind w:left="0"/>
              <w:jc w:val="center"/>
            </w:pPr>
            <w:r>
              <w:rPr>
                <w:rFonts w:hint="eastAsia"/>
              </w:rPr>
              <w:t>10.3</w:t>
            </w:r>
          </w:p>
        </w:tc>
        <w:tc>
          <w:tcPr>
            <w:tcW w:w="1559" w:type="dxa"/>
            <w:gridSpan w:val="2"/>
            <w:vAlign w:val="center"/>
          </w:tcPr>
          <w:p>
            <w:pPr>
              <w:pStyle w:val="2"/>
              <w:ind w:left="0"/>
              <w:jc w:val="center"/>
            </w:pPr>
            <w:r>
              <w:rPr>
                <w:rFonts w:hint="eastAsia"/>
              </w:rPr>
              <w:t>招标代理服务费</w:t>
            </w:r>
          </w:p>
        </w:tc>
        <w:tc>
          <w:tcPr>
            <w:tcW w:w="7279" w:type="dxa"/>
            <w:gridSpan w:val="2"/>
            <w:vAlign w:val="center"/>
          </w:tcPr>
          <w:p>
            <w:pPr>
              <w:pStyle w:val="2"/>
              <w:ind w:left="0"/>
            </w:pPr>
            <w:r>
              <w:rPr>
                <w:rFonts w:hint="eastAsia"/>
              </w:rPr>
              <w:t>○</w:t>
            </w:r>
            <w:r>
              <w:t xml:space="preserve">不适合(自行招标)。 </w:t>
            </w:r>
          </w:p>
          <w:p>
            <w:pPr>
              <w:pStyle w:val="2"/>
              <w:ind w:left="0"/>
            </w:pPr>
            <w:r>
              <w:rPr>
                <w:rFonts w:hint="eastAsia"/>
              </w:rPr>
              <w:t>○招标人支付。</w:t>
            </w:r>
          </w:p>
          <w:p>
            <w:pPr>
              <w:pStyle w:val="2"/>
              <w:ind w:left="0"/>
            </w:pPr>
            <w:r>
              <w:rPr>
                <w:rFonts w:hint="eastAsia"/>
              </w:rPr>
              <w:t>○中标的投标人支付，支付标准：</w:t>
            </w:r>
            <w:r>
              <w:t xml:space="preserve"> </w:t>
            </w:r>
            <w:r>
              <w:rPr>
                <w:u w:val="single"/>
              </w:rPr>
              <w:t xml:space="preserve">         </w:t>
            </w:r>
            <w:r>
              <w:t xml:space="preserve"> </w:t>
            </w:r>
            <w:r>
              <w:rPr>
                <w:rFonts w:hint="eastAsia"/>
              </w:rPr>
              <w:t>（按照招标代理合同约定填写）。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135" w:type="dxa"/>
            <w:vAlign w:val="center"/>
          </w:tcPr>
          <w:p>
            <w:pPr>
              <w:pStyle w:val="2"/>
              <w:ind w:left="0"/>
              <w:jc w:val="center"/>
            </w:pPr>
            <w:r>
              <w:rPr>
                <w:rFonts w:hint="eastAsia"/>
              </w:rPr>
              <w:t>10.4</w:t>
            </w:r>
          </w:p>
        </w:tc>
        <w:tc>
          <w:tcPr>
            <w:tcW w:w="1559" w:type="dxa"/>
            <w:gridSpan w:val="2"/>
            <w:vAlign w:val="center"/>
          </w:tcPr>
          <w:p>
            <w:pPr>
              <w:pStyle w:val="2"/>
              <w:ind w:left="0"/>
              <w:jc w:val="center"/>
            </w:pPr>
            <w:r>
              <w:rPr>
                <w:rFonts w:hint="eastAsia"/>
              </w:rPr>
              <w:t>★报价唯一</w:t>
            </w:r>
          </w:p>
        </w:tc>
        <w:tc>
          <w:tcPr>
            <w:tcW w:w="7279" w:type="dxa"/>
            <w:gridSpan w:val="2"/>
            <w:vAlign w:val="center"/>
          </w:tcPr>
          <w:p>
            <w:pPr>
              <w:pStyle w:val="2"/>
              <w:ind w:left="0"/>
            </w:pPr>
            <w:r>
              <w:rPr>
                <w:rFonts w:hint="eastAsia"/>
              </w:rPr>
              <w:t>只能有一个有效报价。即：</w:t>
            </w:r>
          </w:p>
          <w:p>
            <w:pPr>
              <w:pStyle w:val="2"/>
              <w:ind w:left="0"/>
            </w:pPr>
            <w:r>
              <w:rPr>
                <w:rFonts w:hint="eastAsia"/>
              </w:rPr>
              <w:t>（1）投标报价文件（包括投标函）中的任何单价、合价或总价，不论其大写金额或小写金额均只能有一个，否则，报价评审组应否决其投标。</w:t>
            </w:r>
          </w:p>
          <w:p>
            <w:pPr>
              <w:pStyle w:val="2"/>
              <w:ind w:left="0"/>
            </w:pPr>
            <w:r>
              <w:rPr>
                <w:rFonts w:hint="eastAsia"/>
              </w:rPr>
              <w:t>（2）其中</w:t>
            </w:r>
            <w:r>
              <w:t>，</w:t>
            </w:r>
            <w:r>
              <w:rPr>
                <w:rFonts w:hint="eastAsia"/>
              </w:rPr>
              <w:t>工程</w:t>
            </w:r>
            <w:r>
              <w:t>建设费的</w:t>
            </w:r>
            <w:r>
              <w:rPr>
                <w:rFonts w:hint="eastAsia"/>
              </w:rPr>
              <w:t>投标报价的单位应与公布的招标控制价一致（即以为单位），小数点后保留位数不作实质性要求。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2" w:hRule="atLeast"/>
          <w:jc w:val="center"/>
        </w:trPr>
        <w:tc>
          <w:tcPr>
            <w:tcW w:w="1135" w:type="dxa"/>
            <w:vAlign w:val="center"/>
          </w:tcPr>
          <w:p>
            <w:pPr>
              <w:pStyle w:val="2"/>
              <w:ind w:left="0"/>
              <w:jc w:val="center"/>
            </w:pPr>
            <w:r>
              <w:rPr>
                <w:rFonts w:hint="eastAsia"/>
              </w:rPr>
              <w:t>10.</w:t>
            </w:r>
            <w:r>
              <w:t>5</w:t>
            </w:r>
          </w:p>
        </w:tc>
        <w:tc>
          <w:tcPr>
            <w:tcW w:w="1559" w:type="dxa"/>
            <w:gridSpan w:val="2"/>
            <w:vAlign w:val="center"/>
          </w:tcPr>
          <w:p>
            <w:pPr>
              <w:pStyle w:val="2"/>
              <w:ind w:left="0"/>
              <w:jc w:val="center"/>
            </w:pPr>
            <w:r>
              <w:rPr>
                <w:rFonts w:hint="eastAsia"/>
              </w:rPr>
              <w:t>中标价</w:t>
            </w:r>
          </w:p>
        </w:tc>
        <w:tc>
          <w:tcPr>
            <w:tcW w:w="7279" w:type="dxa"/>
            <w:gridSpan w:val="2"/>
            <w:vAlign w:val="center"/>
          </w:tcPr>
          <w:p>
            <w:pPr>
              <w:pStyle w:val="2"/>
              <w:ind w:left="0"/>
            </w:pPr>
            <w:r>
              <w:rPr>
                <w:rFonts w:hint="eastAsia"/>
              </w:rPr>
              <w:t>○按第三章“评标办法”3.1.3对投标报价进行修正的，以投标人接受的修正价格为中标价。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35" w:type="dxa"/>
            <w:vAlign w:val="center"/>
          </w:tcPr>
          <w:p>
            <w:pPr>
              <w:pStyle w:val="2"/>
              <w:ind w:left="0"/>
              <w:jc w:val="center"/>
            </w:pPr>
            <w:r>
              <w:rPr>
                <w:rFonts w:hint="eastAsia"/>
              </w:rPr>
              <w:t>10.</w:t>
            </w:r>
            <w:r>
              <w:t>6</w:t>
            </w:r>
          </w:p>
        </w:tc>
        <w:tc>
          <w:tcPr>
            <w:tcW w:w="1559" w:type="dxa"/>
            <w:gridSpan w:val="2"/>
            <w:vAlign w:val="center"/>
          </w:tcPr>
          <w:p>
            <w:pPr>
              <w:pStyle w:val="2"/>
              <w:ind w:left="0"/>
              <w:jc w:val="center"/>
            </w:pPr>
            <w:r>
              <w:t>确定中标人</w:t>
            </w:r>
          </w:p>
        </w:tc>
        <w:tc>
          <w:tcPr>
            <w:tcW w:w="7279" w:type="dxa"/>
            <w:gridSpan w:val="2"/>
            <w:vAlign w:val="center"/>
          </w:tcPr>
          <w:p>
            <w:pPr>
              <w:pStyle w:val="2"/>
              <w:ind w:left="0"/>
            </w:pPr>
            <w:r>
              <w:t xml:space="preserve">招标人（或招标人授权的评标委员会）按照评标委员会推荐中标候选人 的顺序确定中标人。但当投标人被推荐为中标候选人的合同段数量多于 可以中标的合同数量时，按如下方式确定中标人： </w:t>
            </w:r>
          </w:p>
          <w:p>
            <w:pPr>
              <w:pStyle w:val="2"/>
              <w:ind w:left="0"/>
            </w:pPr>
            <w:r>
              <w:rPr>
                <w:rFonts w:hint="eastAsia"/>
              </w:rPr>
              <w:t>○</w:t>
            </w:r>
            <w:r>
              <w:t xml:space="preserve">由投标人选择中标的合同段。 </w:t>
            </w:r>
          </w:p>
          <w:p>
            <w:pPr>
              <w:pStyle w:val="2"/>
              <w:ind w:left="0"/>
            </w:pPr>
            <w:r>
              <w:rPr>
                <w:rFonts w:hint="eastAsia"/>
              </w:rPr>
              <w:t>○</w:t>
            </w:r>
            <w:r>
              <w:t>由招标人选择中标的合同段，招标人选择该投标人中标的合同段的原 则是：______________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9" w:hRule="atLeast"/>
          <w:jc w:val="center"/>
        </w:trPr>
        <w:tc>
          <w:tcPr>
            <w:tcW w:w="1135" w:type="dxa"/>
            <w:vAlign w:val="center"/>
          </w:tcPr>
          <w:p>
            <w:pPr>
              <w:pStyle w:val="2"/>
              <w:ind w:left="0"/>
              <w:jc w:val="center"/>
            </w:pPr>
            <w:r>
              <w:rPr>
                <w:rFonts w:hint="eastAsia"/>
              </w:rPr>
              <w:t>10.</w:t>
            </w:r>
            <w:r>
              <w:t>7</w:t>
            </w:r>
          </w:p>
        </w:tc>
        <w:tc>
          <w:tcPr>
            <w:tcW w:w="1559" w:type="dxa"/>
            <w:gridSpan w:val="2"/>
            <w:vAlign w:val="center"/>
          </w:tcPr>
          <w:p>
            <w:pPr>
              <w:pStyle w:val="2"/>
              <w:ind w:left="0"/>
              <w:jc w:val="center"/>
            </w:pPr>
            <w:r>
              <w:rPr>
                <w:rFonts w:hint="eastAsia"/>
              </w:rPr>
              <w:t>压证施工制度</w:t>
            </w:r>
          </w:p>
        </w:tc>
        <w:tc>
          <w:tcPr>
            <w:tcW w:w="7279" w:type="dxa"/>
            <w:gridSpan w:val="2"/>
            <w:vAlign w:val="center"/>
          </w:tcPr>
          <w:p>
            <w:pPr>
              <w:pStyle w:val="2"/>
              <w:ind w:left="0"/>
            </w:pPr>
            <w:r>
              <w:rPr>
                <w:rFonts w:hint="eastAsia"/>
              </w:rPr>
              <w:t>○实行</w:t>
            </w:r>
            <w:r>
              <w:rPr>
                <w:rFonts w:hint="eastAsia"/>
                <w:u w:val="single"/>
              </w:rPr>
              <w:t>施工负责人</w:t>
            </w:r>
            <w:r>
              <w:rPr>
                <w:rFonts w:hint="eastAsia"/>
              </w:rPr>
              <w:t>压证施工制度。投标文件承诺的施工负责人的执业资格证书原件，须在签订合同前由中标人提供给项目业主，合同标的的主体工程完工后方予退还。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9" w:hRule="atLeast"/>
          <w:jc w:val="center"/>
        </w:trPr>
        <w:tc>
          <w:tcPr>
            <w:tcW w:w="1135" w:type="dxa"/>
            <w:vAlign w:val="center"/>
          </w:tcPr>
          <w:p>
            <w:pPr>
              <w:pStyle w:val="2"/>
              <w:ind w:left="0"/>
              <w:jc w:val="center"/>
            </w:pPr>
            <w:r>
              <w:rPr>
                <w:rFonts w:hint="eastAsia"/>
              </w:rPr>
              <w:t>10.</w:t>
            </w:r>
            <w:r>
              <w:t>8</w:t>
            </w:r>
          </w:p>
        </w:tc>
        <w:tc>
          <w:tcPr>
            <w:tcW w:w="1559" w:type="dxa"/>
            <w:gridSpan w:val="2"/>
            <w:vAlign w:val="center"/>
          </w:tcPr>
          <w:p>
            <w:pPr>
              <w:pStyle w:val="2"/>
              <w:ind w:left="0"/>
              <w:jc w:val="center"/>
            </w:pPr>
            <w:r>
              <w:rPr>
                <w:rFonts w:hint="eastAsia"/>
              </w:rPr>
              <w:t>严禁转包和违法分包</w:t>
            </w:r>
          </w:p>
        </w:tc>
        <w:tc>
          <w:tcPr>
            <w:tcW w:w="7279" w:type="dxa"/>
            <w:gridSpan w:val="2"/>
            <w:vAlign w:val="center"/>
          </w:tcPr>
          <w:p>
            <w:pPr>
              <w:pStyle w:val="2"/>
              <w:ind w:left="0"/>
            </w:pPr>
            <w:r>
              <w:rPr>
                <w:rFonts w:hint="eastAsia"/>
              </w:rPr>
              <w:t>中标人在合同履行中，不得存在《建筑工程施工发包与承包违法行为认定查处管理办法》（建市规〔2019〕1号）规定的转包和违法分包的情形。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7" w:hRule="atLeast"/>
          <w:jc w:val="center"/>
        </w:trPr>
        <w:tc>
          <w:tcPr>
            <w:tcW w:w="1135" w:type="dxa"/>
            <w:vAlign w:val="center"/>
          </w:tcPr>
          <w:p>
            <w:pPr>
              <w:pStyle w:val="2"/>
              <w:ind w:left="0"/>
              <w:jc w:val="center"/>
            </w:pPr>
            <w:r>
              <w:rPr>
                <w:rFonts w:hint="eastAsia"/>
              </w:rPr>
              <w:t>10.9</w:t>
            </w:r>
          </w:p>
        </w:tc>
        <w:tc>
          <w:tcPr>
            <w:tcW w:w="1559" w:type="dxa"/>
            <w:gridSpan w:val="2"/>
            <w:vAlign w:val="center"/>
          </w:tcPr>
          <w:p>
            <w:pPr>
              <w:pStyle w:val="2"/>
              <w:ind w:left="0"/>
              <w:jc w:val="center"/>
            </w:pPr>
            <w:r>
              <w:t>★投标文件的</w:t>
            </w:r>
          </w:p>
          <w:p>
            <w:pPr>
              <w:pStyle w:val="2"/>
              <w:ind w:left="0"/>
              <w:jc w:val="center"/>
            </w:pPr>
            <w:r>
              <w:t>真实性要求</w:t>
            </w:r>
          </w:p>
        </w:tc>
        <w:tc>
          <w:tcPr>
            <w:tcW w:w="7279" w:type="dxa"/>
            <w:gridSpan w:val="2"/>
            <w:vAlign w:val="center"/>
          </w:tcPr>
          <w:p>
            <w:pPr>
              <w:pStyle w:val="2"/>
              <w:ind w:left="0"/>
            </w:pPr>
            <w:r>
              <w:t>投标人所递交的投标文件（包括有关资料、澄清）应真实可信，不存在 虚假（包括隐瞒）。 投标人声明不存在限制投标情形但被发现存在限制投标情形的，构成隐 瞒，属于虚假投标行为。 如投标文件存在虚假，在评标阶段，评标委员会应将该投标文件作否决 投标处理；中标候选人确定后发现的，招标人将依法取消中标候选人或 中标资格，并上报有关行政监督部门。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61" w:hRule="atLeast"/>
          <w:jc w:val="center"/>
        </w:trPr>
        <w:tc>
          <w:tcPr>
            <w:tcW w:w="1135" w:type="dxa"/>
            <w:vAlign w:val="center"/>
          </w:tcPr>
          <w:p>
            <w:pPr>
              <w:pStyle w:val="2"/>
              <w:ind w:left="0"/>
              <w:jc w:val="center"/>
            </w:pPr>
            <w:r>
              <w:rPr>
                <w:rFonts w:hint="eastAsia"/>
              </w:rPr>
              <w:t>10.1</w:t>
            </w:r>
            <w:r>
              <w:t>0</w:t>
            </w:r>
          </w:p>
        </w:tc>
        <w:tc>
          <w:tcPr>
            <w:tcW w:w="1559" w:type="dxa"/>
            <w:gridSpan w:val="2"/>
            <w:vAlign w:val="center"/>
          </w:tcPr>
          <w:p>
            <w:pPr>
              <w:pStyle w:val="2"/>
              <w:ind w:left="0"/>
              <w:jc w:val="center"/>
            </w:pPr>
            <w:r>
              <w:t>开</w:t>
            </w:r>
            <w:r>
              <w:rPr>
                <w:rFonts w:hint="eastAsia"/>
              </w:rPr>
              <w:t>评</w:t>
            </w:r>
            <w:r>
              <w:t>标时投标人</w:t>
            </w:r>
          </w:p>
          <w:p>
            <w:pPr>
              <w:pStyle w:val="2"/>
              <w:ind w:left="0"/>
              <w:jc w:val="center"/>
            </w:pPr>
            <w:r>
              <w:t>宜携带的资料</w:t>
            </w:r>
          </w:p>
        </w:tc>
        <w:tc>
          <w:tcPr>
            <w:tcW w:w="7279" w:type="dxa"/>
            <w:gridSpan w:val="2"/>
            <w:vAlign w:val="center"/>
          </w:tcPr>
          <w:p>
            <w:pPr>
              <w:pStyle w:val="2"/>
              <w:ind w:left="0"/>
            </w:pPr>
            <w:r>
              <w:rPr>
                <w:rFonts w:hint="eastAsia"/>
              </w:rPr>
              <w:t>○（现场开标）</w:t>
            </w:r>
          </w:p>
          <w:p>
            <w:pPr>
              <w:pStyle w:val="2"/>
              <w:ind w:left="0"/>
            </w:pPr>
            <w:r>
              <w:t xml:space="preserve">一、投标人在开标时宜携带以下资料，以备查验投标保证金是否到账 以及投标文件解密时使用： </w:t>
            </w:r>
          </w:p>
          <w:p>
            <w:pPr>
              <w:pStyle w:val="2"/>
              <w:ind w:left="0"/>
            </w:pPr>
            <w:r>
              <w:t xml:space="preserve">1、加密此项目投标文件的企业 CA 数字证书；（必须携带） </w:t>
            </w:r>
          </w:p>
          <w:p>
            <w:pPr>
              <w:pStyle w:val="2"/>
              <w:ind w:left="0"/>
            </w:pPr>
            <w:r>
              <w:t>2、</w:t>
            </w:r>
            <w:r>
              <w:rPr>
                <w:rFonts w:hint="eastAsia"/>
              </w:rPr>
              <w:t>“拟投标项目回执”原件</w:t>
            </w:r>
            <w:r>
              <w:t xml:space="preserve">； </w:t>
            </w:r>
          </w:p>
          <w:p>
            <w:pPr>
              <w:pStyle w:val="2"/>
              <w:ind w:left="0"/>
            </w:pPr>
            <w:r>
              <w:t xml:space="preserve">3、网络投标文件上传成功回执单。 </w:t>
            </w:r>
          </w:p>
          <w:p>
            <w:pPr>
              <w:pStyle w:val="2"/>
              <w:ind w:left="0"/>
            </w:pPr>
            <w:r>
              <w:t>二、评标当天，投标人宜携带以下资料，以备评标委员会在需要查验时</w:t>
            </w:r>
            <w:r>
              <w:rPr>
                <w:rFonts w:hint="eastAsia"/>
              </w:rPr>
              <w:t xml:space="preserve">能及时提供。 </w:t>
            </w:r>
          </w:p>
          <w:p>
            <w:pPr>
              <w:pStyle w:val="2"/>
              <w:ind w:left="0"/>
            </w:pPr>
            <w:r>
              <w:rPr>
                <w:rFonts w:hint="eastAsia"/>
              </w:rPr>
              <w:t xml:space="preserve">1、类似工程业绩的相关证明材料原件。 </w:t>
            </w:r>
          </w:p>
          <w:p>
            <w:pPr>
              <w:pStyle w:val="2"/>
              <w:ind w:left="0"/>
            </w:pPr>
            <w:r>
              <w:rPr>
                <w:rFonts w:hint="eastAsia"/>
              </w:rPr>
              <w:t xml:space="preserve">2、加密此项目投标文件的企业 CA 数字证书。 </w:t>
            </w:r>
          </w:p>
          <w:p>
            <w:pPr>
              <w:pStyle w:val="2"/>
              <w:ind w:left="0"/>
            </w:pPr>
            <w:r>
              <w:rPr>
                <w:rFonts w:hint="eastAsia"/>
              </w:rPr>
              <w:t>注：投标人未按上述要求携带以上资料造成的后果由投标人自行承担。</w:t>
            </w:r>
          </w:p>
          <w:p>
            <w:pPr>
              <w:pStyle w:val="2"/>
              <w:ind w:left="0"/>
            </w:pPr>
            <w:r>
              <w:rPr>
                <w:rFonts w:hint="eastAsia"/>
              </w:rPr>
              <w:t>○（不见面开标）</w:t>
            </w:r>
          </w:p>
          <w:p>
            <w:pPr>
              <w:pStyle w:val="2"/>
              <w:ind w:left="0"/>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7" w:hRule="atLeast"/>
          <w:jc w:val="center"/>
        </w:trPr>
        <w:tc>
          <w:tcPr>
            <w:tcW w:w="1135" w:type="dxa"/>
            <w:vAlign w:val="center"/>
          </w:tcPr>
          <w:p>
            <w:pPr>
              <w:pStyle w:val="2"/>
              <w:ind w:left="0"/>
              <w:jc w:val="center"/>
            </w:pPr>
            <w:r>
              <w:rPr>
                <w:rFonts w:hint="eastAsia"/>
              </w:rPr>
              <w:t>10.1</w:t>
            </w:r>
            <w:r>
              <w:t>1</w:t>
            </w:r>
          </w:p>
        </w:tc>
        <w:tc>
          <w:tcPr>
            <w:tcW w:w="1559" w:type="dxa"/>
            <w:gridSpan w:val="2"/>
            <w:vAlign w:val="center"/>
          </w:tcPr>
          <w:p>
            <w:pPr>
              <w:pStyle w:val="2"/>
              <w:ind w:left="0"/>
              <w:jc w:val="center"/>
            </w:pPr>
            <w:r>
              <w:t>招标文件内容冲突的解决及优先适用次序</w:t>
            </w:r>
          </w:p>
        </w:tc>
        <w:tc>
          <w:tcPr>
            <w:tcW w:w="7279" w:type="dxa"/>
            <w:gridSpan w:val="2"/>
            <w:vAlign w:val="center"/>
          </w:tcPr>
          <w:p>
            <w:pPr>
              <w:pStyle w:val="2"/>
              <w:ind w:left="0"/>
            </w:pPr>
            <w:r>
              <w:rPr>
                <w:rFonts w:hint="eastAsia"/>
              </w:rPr>
              <w:t>招标文件中招标人编制的内容前后有矛盾或不一致，有时间先后顺序的，以时间在后的修改、澄清或补正文件为准；没有时间先后顺序的，以公平的原则进行处理。投标人须知前附表和招标文件中“注”的内容与正文不一致时，以投标人须知前附表和招标文件中“注”的内容为准。</w:t>
            </w:r>
          </w:p>
          <w:p>
            <w:pPr>
              <w:pStyle w:val="2"/>
              <w:ind w:left="0"/>
            </w:pPr>
            <w:r>
              <w:rPr>
                <w:rFonts w:hint="eastAsia"/>
              </w:rPr>
              <w:t>对招标文件的内容理解有争议的，由招标人按照招标文件所使用的词句、招标文件的有关条款、招标的目的、习惯以及诚实信用原则，确定该条款的真实意思，有两种以上解释的，作出不利于招标人一方的解释。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5" w:hRule="atLeast"/>
          <w:jc w:val="center"/>
        </w:trPr>
        <w:tc>
          <w:tcPr>
            <w:tcW w:w="1135" w:type="dxa"/>
            <w:vAlign w:val="center"/>
          </w:tcPr>
          <w:p>
            <w:pPr>
              <w:pStyle w:val="2"/>
              <w:ind w:left="0"/>
              <w:jc w:val="center"/>
            </w:pPr>
            <w:r>
              <w:rPr>
                <w:rFonts w:hint="eastAsia"/>
              </w:rPr>
              <w:t>10.12</w:t>
            </w:r>
          </w:p>
        </w:tc>
        <w:tc>
          <w:tcPr>
            <w:tcW w:w="1559" w:type="dxa"/>
            <w:gridSpan w:val="2"/>
            <w:vAlign w:val="center"/>
          </w:tcPr>
          <w:p>
            <w:pPr>
              <w:pStyle w:val="2"/>
              <w:ind w:left="0"/>
              <w:jc w:val="center"/>
            </w:pPr>
            <w:r>
              <w:rPr>
                <w:rFonts w:hint="eastAsia"/>
              </w:rPr>
              <w:t>知识产权</w:t>
            </w:r>
          </w:p>
        </w:tc>
        <w:tc>
          <w:tcPr>
            <w:tcW w:w="7279" w:type="dxa"/>
            <w:gridSpan w:val="2"/>
            <w:vAlign w:val="center"/>
          </w:tcPr>
          <w:p>
            <w:pPr>
              <w:pStyle w:val="2"/>
              <w:ind w:left="0"/>
            </w:pPr>
            <w:r>
              <w:rPr>
                <w:rFonts w:hint="eastAsia"/>
              </w:rPr>
              <w:t>构成本招标文件各组成部分的文件，未经招标人书面同意，投标人不得擅自</w:t>
            </w:r>
          </w:p>
          <w:p>
            <w:pPr>
              <w:pStyle w:val="2"/>
              <w:ind w:left="0"/>
            </w:pPr>
            <w:r>
              <w:rPr>
                <w:rFonts w:hint="eastAsia"/>
              </w:rPr>
              <w:t>复印和用于非本招标项目所需的其他目的。招标人全部或者部分使用未中标人投标文件中的技术成果或技术方案时，需征得其书面同意，并不得擅自复印或提供给第三人。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4" w:hRule="atLeast"/>
          <w:jc w:val="center"/>
        </w:trPr>
        <w:tc>
          <w:tcPr>
            <w:tcW w:w="1135" w:type="dxa"/>
            <w:vMerge w:val="restart"/>
            <w:vAlign w:val="center"/>
          </w:tcPr>
          <w:p>
            <w:pPr>
              <w:pStyle w:val="2"/>
              <w:ind w:left="0"/>
              <w:jc w:val="center"/>
            </w:pPr>
            <w:r>
              <w:rPr>
                <w:rFonts w:hint="eastAsia"/>
              </w:rPr>
              <w:t>10.13</w:t>
            </w:r>
          </w:p>
        </w:tc>
        <w:tc>
          <w:tcPr>
            <w:tcW w:w="1559" w:type="dxa"/>
            <w:gridSpan w:val="2"/>
            <w:vMerge w:val="restart"/>
            <w:vAlign w:val="center"/>
          </w:tcPr>
          <w:p>
            <w:pPr>
              <w:pStyle w:val="2"/>
              <w:ind w:left="0"/>
              <w:jc w:val="center"/>
            </w:pPr>
            <w:r>
              <w:rPr>
                <w:rFonts w:hint="eastAsia"/>
              </w:rPr>
              <w:t>其他</w:t>
            </w:r>
          </w:p>
        </w:tc>
        <w:tc>
          <w:tcPr>
            <w:tcW w:w="7279" w:type="dxa"/>
            <w:gridSpan w:val="2"/>
            <w:vAlign w:val="center"/>
          </w:tcPr>
          <w:p>
            <w:pPr>
              <w:pStyle w:val="2"/>
              <w:ind w:left="0"/>
            </w:pPr>
            <w:r>
              <w:rPr>
                <w:rFonts w:hint="eastAsia"/>
              </w:rPr>
              <w:t>招标文件投标人须知前附表所述内容与招标文件投标人须知正文部分 所述内容不一致或招标文件投标人须知正文部分中表述不明时，以投标人须知前附表的所述内容为准。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9" w:hRule="atLeast"/>
          <w:jc w:val="center"/>
        </w:trPr>
        <w:tc>
          <w:tcPr>
            <w:tcW w:w="1135" w:type="dxa"/>
            <w:vMerge w:val="continue"/>
            <w:vAlign w:val="center"/>
          </w:tcPr>
          <w:p>
            <w:pPr>
              <w:pStyle w:val="2"/>
              <w:ind w:left="0"/>
              <w:jc w:val="center"/>
            </w:pPr>
          </w:p>
        </w:tc>
        <w:tc>
          <w:tcPr>
            <w:tcW w:w="1559" w:type="dxa"/>
            <w:gridSpan w:val="2"/>
            <w:vMerge w:val="continue"/>
            <w:vAlign w:val="center"/>
          </w:tcPr>
          <w:p>
            <w:pPr>
              <w:pStyle w:val="2"/>
              <w:ind w:left="0"/>
              <w:jc w:val="center"/>
            </w:pPr>
          </w:p>
        </w:tc>
        <w:tc>
          <w:tcPr>
            <w:tcW w:w="7279" w:type="dxa"/>
            <w:gridSpan w:val="2"/>
            <w:vAlign w:val="center"/>
          </w:tcPr>
          <w:p>
            <w:pPr>
              <w:pStyle w:val="2"/>
              <w:ind w:left="0"/>
            </w:pPr>
            <w:r>
              <w:rPr>
                <w:rFonts w:hint="eastAsia"/>
              </w:rPr>
              <w:t>招标文件中“★”号条款为招标文件规定的实质性要求。未实质性响应 招标文件中“★”条款，视为重大偏差（报价详细评审的重大偏差另行约定），评标委员会在评审时应作否决投标处理。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9" w:hRule="atLeast"/>
          <w:jc w:val="center"/>
        </w:trPr>
        <w:tc>
          <w:tcPr>
            <w:tcW w:w="1135" w:type="dxa"/>
            <w:vAlign w:val="center"/>
          </w:tcPr>
          <w:p>
            <w:pPr>
              <w:pStyle w:val="2"/>
              <w:ind w:left="0"/>
              <w:jc w:val="center"/>
            </w:pPr>
            <w:r>
              <w:rPr>
                <w:rFonts w:hint="eastAsia"/>
              </w:rPr>
              <w:t>10.11</w:t>
            </w:r>
          </w:p>
        </w:tc>
        <w:tc>
          <w:tcPr>
            <w:tcW w:w="8838" w:type="dxa"/>
            <w:gridSpan w:val="4"/>
            <w:vAlign w:val="center"/>
          </w:tcPr>
          <w:p>
            <w:pPr>
              <w:pStyle w:val="2"/>
              <w:ind w:left="0"/>
            </w:pPr>
            <w:r>
              <w:rPr>
                <w:rFonts w:hint="eastAsia"/>
              </w:rPr>
              <w:t>根据川发改招管【2011】1210号文件规定，严格执行“一地受罚，处处受制”的信用管理制度，任何投标人弄虚作假中标的行为一旦查实，在全省范围内的投标活动将受到制约。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5" w:type="dxa"/>
          <w:jc w:val="center"/>
        </w:trPr>
        <w:tc>
          <w:tcPr>
            <w:tcW w:w="11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11</w:t>
            </w:r>
          </w:p>
        </w:tc>
        <w:tc>
          <w:tcPr>
            <w:tcW w:w="150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电子招标投标</w:t>
            </w:r>
          </w:p>
        </w:tc>
        <w:tc>
          <w:tcPr>
            <w:tcW w:w="7194" w:type="dxa"/>
            <w:gridSpan w:val="2"/>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 xml:space="preserve">投标人应按照《成都市发展和改革委员会等 8 部门关于启动成都市公共资源电子交易云平台工程建设项目招标投标系统（2017 版）试运行的通知》（成发改招投标〔2017〕1098 号）规定编制投标文件。 注意事项： </w:t>
            </w:r>
          </w:p>
          <w:p>
            <w:pPr>
              <w:pStyle w:val="2"/>
              <w:ind w:left="0"/>
            </w:pPr>
            <w:r>
              <w:rPr>
                <w:rFonts w:hint="eastAsia"/>
              </w:rPr>
              <w:t xml:space="preserve">（1）投标人应办理 CA 数字证书及电子签章，使用“成都市电子投标文件编制系统（2017 版）”制作电子投标文件，请使用最新版系统（可对照成都市公共资源电子交易云平台检查版本号是否为最新）。 </w:t>
            </w:r>
          </w:p>
          <w:p>
            <w:pPr>
              <w:pStyle w:val="2"/>
              <w:ind w:left="0"/>
            </w:pPr>
            <w:r>
              <w:rPr>
                <w:rFonts w:hint="eastAsia"/>
              </w:rPr>
              <w:t xml:space="preserve">（2）电子投标文件为一个扩展名为 CDT 的文件。 </w:t>
            </w:r>
          </w:p>
          <w:p>
            <w:pPr>
              <w:pStyle w:val="2"/>
              <w:ind w:left="0"/>
            </w:pPr>
            <w:r>
              <w:rPr>
                <w:rFonts w:hint="eastAsia"/>
              </w:rPr>
              <w:t xml:space="preserve">（3）制作电子投标文件应按照文件制作导航系统建立目录并分级，不同内容按标签提示制作导入，应保证目录清晰、内容完整、方便评审。 涉及图片类的文件须保证图片清晰。 </w:t>
            </w:r>
          </w:p>
          <w:p>
            <w:pPr>
              <w:pStyle w:val="2"/>
              <w:ind w:left="0"/>
            </w:pPr>
            <w:r>
              <w:rPr>
                <w:rFonts w:hint="eastAsia"/>
              </w:rPr>
              <w:t xml:space="preserve">（4）电子投标文件制作完成后，应在相应位置加盖电子签章，使其电 子投标文件具备法律效力。 </w:t>
            </w:r>
          </w:p>
          <w:p>
            <w:pPr>
              <w:pStyle w:val="2"/>
              <w:ind w:left="0"/>
            </w:pPr>
            <w:r>
              <w:rPr>
                <w:rFonts w:hint="eastAsia"/>
              </w:rPr>
              <w:t>（5）电子投标文件制作完成后，应使用投标人的企业 CA 数字证书对投 标文件进行加密。</w:t>
            </w:r>
          </w:p>
          <w:p>
            <w:pPr>
              <w:pStyle w:val="2"/>
              <w:ind w:left="0"/>
            </w:pPr>
            <w:r>
              <w:rPr>
                <w:rFonts w:hint="eastAsia"/>
              </w:rPr>
              <w:t>（6）招标文件所述“复印件”等内容，均可理解为采用对应电子方式的资料形式。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5" w:type="dxa"/>
          <w:jc w:val="center"/>
        </w:trPr>
        <w:tc>
          <w:tcPr>
            <w:tcW w:w="11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12</w:t>
            </w:r>
          </w:p>
        </w:tc>
        <w:tc>
          <w:tcPr>
            <w:tcW w:w="150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特别注意</w:t>
            </w:r>
          </w:p>
        </w:tc>
        <w:tc>
          <w:tcPr>
            <w:tcW w:w="719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Arial"/>
                <w:b/>
                <w:szCs w:val="21"/>
              </w:rPr>
            </w:pPr>
            <w:r>
              <w:rPr>
                <w:rFonts w:hint="eastAsia" w:ascii="宋体" w:hAnsi="宋体" w:cs="Arial"/>
                <w:b/>
                <w:szCs w:val="21"/>
              </w:rPr>
              <w:t>按照《成都市发展和改革委员会等8部门关于启动成都市公共资源电子交易云平台工程建设项目招标投标系统（2017版）试运行的通知》（成发改招投标〔2017〕1098号）</w:t>
            </w:r>
            <w:r>
              <w:rPr>
                <w:rFonts w:hint="eastAsia" w:hAnsi="宋体"/>
                <w:sz w:val="24"/>
                <w:szCs w:val="21"/>
              </w:rPr>
              <w:t>、</w:t>
            </w:r>
            <w:r>
              <w:rPr>
                <w:rFonts w:hint="eastAsia" w:ascii="宋体" w:hAnsi="宋体" w:cs="Arial"/>
                <w:b/>
                <w:sz w:val="24"/>
                <w:szCs w:val="21"/>
              </w:rPr>
              <w:t>《</w:t>
            </w:r>
            <w:r>
              <w:rPr>
                <w:rFonts w:hint="eastAsia" w:ascii="宋体" w:hAnsi="宋体" w:cs="Arial"/>
                <w:b/>
                <w:szCs w:val="21"/>
              </w:rPr>
              <w:t>成都市国家投资工程建设项目电子化招标投标技术导则》和《关于印发&lt;成都市工程建设项目不见面开标交易工作规程（试行）&gt;和&lt;成都市工程建设项目异地远程评标工作规程（试行）&gt;的通知》(成发改法规〔2020〕49号)相关规定友情提醒：</w:t>
            </w:r>
          </w:p>
          <w:p>
            <w:pPr>
              <w:rPr>
                <w:rFonts w:ascii="宋体" w:hAnsi="宋体" w:cs="Arial"/>
                <w:b/>
                <w:szCs w:val="21"/>
              </w:rPr>
            </w:pPr>
            <w:r>
              <w:rPr>
                <w:rFonts w:hint="eastAsia" w:ascii="宋体" w:hAnsi="宋体" w:cs="Arial"/>
                <w:b/>
                <w:szCs w:val="21"/>
              </w:rPr>
              <w:t>一、其他事项：</w:t>
            </w:r>
          </w:p>
          <w:p>
            <w:pPr>
              <w:rPr>
                <w:rFonts w:ascii="宋体" w:hAnsi="宋体" w:cs="Arial"/>
                <w:b/>
                <w:szCs w:val="21"/>
              </w:rPr>
            </w:pPr>
            <w:r>
              <w:rPr>
                <w:rFonts w:hint="eastAsia" w:ascii="宋体" w:hAnsi="宋体" w:cs="Arial"/>
                <w:b/>
                <w:szCs w:val="21"/>
              </w:rPr>
              <w:t>（1）评标结束之前，投标人应随时关注系统提示，及时通过本单位CA数字证书对评标委员会发出的质疑函进行澄清，并确认提交成功。逾时回复将不能提交。</w:t>
            </w:r>
          </w:p>
          <w:p>
            <w:pPr>
              <w:rPr>
                <w:rFonts w:ascii="宋体" w:hAnsi="宋体" w:cs="Arial"/>
                <w:b/>
                <w:szCs w:val="21"/>
              </w:rPr>
            </w:pPr>
            <w:r>
              <w:rPr>
                <w:rFonts w:hint="eastAsia" w:ascii="宋体" w:hAnsi="宋体" w:cs="Arial"/>
                <w:b/>
                <w:szCs w:val="21"/>
              </w:rPr>
              <w:t>（2）投标人出现以下情形之一的，该次投标的有关业务办理将被系统拒绝，并自行承担责任：</w:t>
            </w:r>
          </w:p>
          <w:p>
            <w:pPr>
              <w:rPr>
                <w:rFonts w:ascii="宋体" w:hAnsi="宋体" w:cs="Arial"/>
                <w:b/>
                <w:szCs w:val="21"/>
              </w:rPr>
            </w:pPr>
            <w:r>
              <w:rPr>
                <w:rFonts w:hint="eastAsia" w:ascii="宋体" w:hAnsi="宋体" w:cs="Arial"/>
                <w:b/>
                <w:szCs w:val="21"/>
              </w:rPr>
              <w:t>1投标人在获得“拟投标项目回执”成功后至评标结束期间，更换CA数字证书的，或投标人使用的CA数字证书不在有效期内的；</w:t>
            </w:r>
          </w:p>
          <w:p>
            <w:pPr>
              <w:rPr>
                <w:rFonts w:ascii="宋体" w:hAnsi="宋体" w:cs="Arial"/>
                <w:b/>
                <w:szCs w:val="21"/>
              </w:rPr>
            </w:pPr>
            <w:r>
              <w:rPr>
                <w:rFonts w:hint="eastAsia" w:ascii="宋体" w:hAnsi="宋体" w:cs="Arial"/>
                <w:b/>
                <w:szCs w:val="21"/>
              </w:rPr>
              <w:t>2投标人在开标时，未携带加密投标文件时使用的CA数字证书的；</w:t>
            </w:r>
          </w:p>
          <w:p>
            <w:pPr>
              <w:rPr>
                <w:rFonts w:ascii="宋体" w:hAnsi="宋体" w:cs="Arial"/>
                <w:b/>
                <w:szCs w:val="21"/>
              </w:rPr>
            </w:pPr>
            <w:r>
              <w:rPr>
                <w:rFonts w:hint="eastAsia" w:ascii="宋体" w:hAnsi="宋体" w:cs="Arial"/>
                <w:b/>
                <w:szCs w:val="21"/>
              </w:rPr>
              <w:t>3提交的电子投标文件使用格式错误、文件损坏或自身存在计算机病毒等缺陷的；</w:t>
            </w:r>
          </w:p>
          <w:p>
            <w:pPr>
              <w:rPr>
                <w:rFonts w:ascii="宋体" w:hAnsi="宋体" w:cs="Arial"/>
                <w:b/>
                <w:szCs w:val="21"/>
              </w:rPr>
            </w:pPr>
            <w:r>
              <w:rPr>
                <w:rFonts w:hint="eastAsia" w:ascii="宋体" w:hAnsi="宋体" w:cs="Arial"/>
                <w:b/>
                <w:szCs w:val="21"/>
              </w:rPr>
              <w:t>4电子投标文件不是使用专用的“成都市电子投标文件制作系统（2017版）”制作生成CDT格式文件的；</w:t>
            </w:r>
          </w:p>
          <w:p>
            <w:pPr>
              <w:rPr>
                <w:rFonts w:ascii="宋体" w:hAnsi="宋体" w:cs="Arial"/>
                <w:b/>
                <w:szCs w:val="21"/>
              </w:rPr>
            </w:pPr>
            <w:r>
              <w:rPr>
                <w:rFonts w:hint="eastAsia" w:ascii="宋体" w:hAnsi="宋体" w:cs="Arial"/>
                <w:b/>
                <w:szCs w:val="21"/>
              </w:rPr>
              <w:t>5其他不符合招标文件中有关要求的情形。</w:t>
            </w:r>
          </w:p>
          <w:p>
            <w:pPr>
              <w:rPr>
                <w:rFonts w:ascii="宋体" w:hAnsi="宋体" w:cs="Arial"/>
                <w:b/>
                <w:szCs w:val="21"/>
              </w:rPr>
            </w:pPr>
            <w:r>
              <w:rPr>
                <w:rFonts w:hint="eastAsia" w:ascii="宋体" w:hAnsi="宋体" w:cs="Arial"/>
                <w:b/>
                <w:szCs w:val="21"/>
              </w:rPr>
              <w:t>二、突发系统故障处理</w:t>
            </w:r>
          </w:p>
          <w:p>
            <w:pPr>
              <w:rPr>
                <w:rFonts w:ascii="宋体" w:hAnsi="宋体" w:cs="Arial"/>
                <w:b/>
                <w:szCs w:val="21"/>
              </w:rPr>
            </w:pPr>
            <w:r>
              <w:rPr>
                <w:rFonts w:hint="eastAsia" w:ascii="宋体" w:hAnsi="宋体" w:cs="Arial"/>
                <w:b/>
                <w:szCs w:val="21"/>
              </w:rPr>
              <w:t>（1）因非可控因素，导致系统不能正常运行的，由交易中心工作人员及时通知招标人和监督人，并进行处理，待系统恢复后再继续进行。如评标委员会成员已离场的，应重新抽取专家评标。</w:t>
            </w:r>
          </w:p>
          <w:p>
            <w:pPr>
              <w:rPr>
                <w:rFonts w:ascii="宋体" w:hAnsi="宋体" w:cs="Arial"/>
                <w:b/>
                <w:szCs w:val="21"/>
              </w:rPr>
            </w:pPr>
            <w:r>
              <w:rPr>
                <w:rFonts w:hint="eastAsia" w:ascii="宋体" w:hAnsi="宋体" w:cs="Arial"/>
                <w:b/>
                <w:szCs w:val="21"/>
              </w:rPr>
              <w:t>（2）非可控因素包括以下内容：</w:t>
            </w:r>
          </w:p>
          <w:p>
            <w:pPr>
              <w:rPr>
                <w:rFonts w:ascii="宋体" w:hAnsi="宋体" w:cs="Arial"/>
                <w:b/>
                <w:szCs w:val="21"/>
              </w:rPr>
            </w:pPr>
            <w:r>
              <w:rPr>
                <w:rFonts w:hint="eastAsia" w:ascii="宋体" w:hAnsi="宋体" w:cs="Arial"/>
                <w:b/>
                <w:szCs w:val="21"/>
              </w:rPr>
              <w:t>网络中断、停电等；</w:t>
            </w:r>
          </w:p>
          <w:p>
            <w:pPr>
              <w:rPr>
                <w:rFonts w:ascii="宋体" w:hAnsi="宋体" w:cs="Arial"/>
                <w:b/>
                <w:szCs w:val="21"/>
              </w:rPr>
            </w:pPr>
            <w:r>
              <w:rPr>
                <w:rFonts w:hint="eastAsia" w:ascii="宋体" w:hAnsi="宋体" w:cs="Arial"/>
                <w:b/>
                <w:szCs w:val="21"/>
              </w:rPr>
              <w:t>系统服务器发生故障而无法访问系统或无法使用系统；</w:t>
            </w:r>
          </w:p>
          <w:p>
            <w:pPr>
              <w:rPr>
                <w:rFonts w:ascii="宋体" w:hAnsi="宋体" w:cs="Arial"/>
                <w:b/>
                <w:szCs w:val="21"/>
              </w:rPr>
            </w:pPr>
            <w:r>
              <w:rPr>
                <w:rFonts w:hint="eastAsia" w:ascii="宋体" w:hAnsi="宋体" w:cs="Arial"/>
                <w:b/>
                <w:szCs w:val="21"/>
              </w:rPr>
              <w:t>系统的软件或数据库出现错误，不能进行正常操作；</w:t>
            </w:r>
          </w:p>
          <w:p>
            <w:pPr>
              <w:rPr>
                <w:rFonts w:ascii="宋体" w:hAnsi="宋体" w:cs="Arial"/>
                <w:b/>
                <w:szCs w:val="21"/>
              </w:rPr>
            </w:pPr>
            <w:r>
              <w:rPr>
                <w:rFonts w:hint="eastAsia" w:ascii="宋体" w:hAnsi="宋体" w:cs="Arial"/>
                <w:b/>
                <w:szCs w:val="21"/>
              </w:rPr>
              <w:t>系统或服务器受到网络攻击，或受到计算机病毒的攻击；</w:t>
            </w:r>
          </w:p>
          <w:p>
            <w:pPr>
              <w:rPr>
                <w:rFonts w:ascii="宋体" w:hAnsi="宋体" w:cs="Arial"/>
                <w:b/>
                <w:szCs w:val="21"/>
              </w:rPr>
            </w:pPr>
            <w:r>
              <w:rPr>
                <w:rFonts w:hint="eastAsia" w:ascii="宋体" w:hAnsi="宋体" w:cs="Arial"/>
                <w:b/>
                <w:szCs w:val="21"/>
              </w:rPr>
              <w:t>其他不可抗力等因素引起系统无法正常使用；</w:t>
            </w:r>
          </w:p>
          <w:p>
            <w:pPr>
              <w:rPr>
                <w:rFonts w:ascii="宋体" w:hAnsi="宋体" w:cs="Arial"/>
                <w:b/>
                <w:szCs w:val="21"/>
              </w:rPr>
            </w:pPr>
            <w:r>
              <w:rPr>
                <w:rFonts w:hint="eastAsia" w:ascii="宋体" w:hAnsi="宋体" w:cs="Arial"/>
                <w:b/>
                <w:szCs w:val="21"/>
              </w:rPr>
              <w:t>其他无法保证招标投标过程公平、公正和信息安全的意外情形。</w:t>
            </w:r>
          </w:p>
          <w:p>
            <w:pPr>
              <w:rPr>
                <w:rFonts w:ascii="宋体" w:hAnsi="宋体" w:cs="宋体"/>
                <w:b/>
                <w:szCs w:val="21"/>
              </w:rPr>
            </w:pPr>
            <w:r>
              <w:rPr>
                <w:rFonts w:hint="eastAsia" w:ascii="宋体" w:hAnsi="宋体" w:cs="宋体"/>
                <w:b/>
                <w:szCs w:val="21"/>
              </w:rPr>
              <w:t>如招标文件、投标文件自身错误的，评标不可中止或终止，后果由相应编制人员自行承担。</w:t>
            </w:r>
          </w:p>
          <w:p>
            <w:pPr>
              <w:widowControl/>
              <w:rPr>
                <w:rFonts w:ascii="宋体" w:hAnsi="宋体" w:cs="Arial"/>
                <w:b/>
                <w:szCs w:val="21"/>
              </w:rPr>
            </w:pPr>
            <w:r>
              <w:rPr>
                <w:rFonts w:hint="eastAsia" w:ascii="宋体" w:hAnsi="宋体" w:cs="Arial"/>
                <w:b/>
                <w:szCs w:val="21"/>
              </w:rPr>
              <w:t>（3）异地远程评标中，如遇停电、网络故障、电子设备、评标席位或者电子评标系统故障导致无法开展评标活动且短时间内无法修复的，由招标人和监督人确定是否暂停评标或解散当次评标委员会，并及时封标。</w:t>
            </w:r>
          </w:p>
          <w:p>
            <w:pPr>
              <w:pStyle w:val="2"/>
              <w:ind w:left="0"/>
            </w:pPr>
            <w:r>
              <w:rPr>
                <w:rFonts w:hint="eastAsia" w:cs="Arial"/>
                <w:b/>
              </w:rPr>
              <w:t>评标开始后，如因副场停电、网络故障、电子设备或者电子评标系统等故障导致无法继续进行评标且短时间s内无法修复的，经招标人和监督人同意，可取消副场评标，由主场补充抽取专家完成所有评标。取消副场评标的，原副场已进入评标流程的专家需等待补抽专家进场后方可离场,等待期间的费用按评标费标准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5" w:type="dxa"/>
          <w:jc w:val="center"/>
        </w:trPr>
        <w:tc>
          <w:tcPr>
            <w:tcW w:w="11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150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7194"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r>
    </w:tbl>
    <w:p>
      <w:pPr>
        <w:pStyle w:val="2"/>
        <w:ind w:left="0"/>
      </w:pPr>
    </w:p>
    <w:p>
      <w:pPr>
        <w:pStyle w:val="2"/>
        <w:ind w:left="0"/>
      </w:pPr>
      <w:r>
        <w:rPr>
          <w:rFonts w:hint="eastAsia"/>
        </w:rPr>
        <w:t>注：“投标人须知前附表”中内容仅能填空，如果因为招标项目的情况，需增加其他相关条款，应填入“投标人须知附表增加条款表”中，增加的条款不能与“投标人须知前附表”中内容相冲突。</w:t>
      </w:r>
    </w:p>
    <w:p>
      <w:pPr>
        <w:pStyle w:val="2"/>
        <w:ind w:left="0"/>
      </w:pPr>
    </w:p>
    <w:p>
      <w:pPr>
        <w:rPr>
          <w:b/>
          <w:bCs/>
        </w:rPr>
      </w:pPr>
      <w:r>
        <w:rPr>
          <w:rFonts w:hint="eastAsia"/>
          <w:b/>
          <w:bCs/>
        </w:rPr>
        <w:t>投标人须知前附表增加条款表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5032"/>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8" w:type="dxa"/>
            <w:vAlign w:val="center"/>
          </w:tcPr>
          <w:p>
            <w:pPr>
              <w:pStyle w:val="2"/>
              <w:ind w:left="0"/>
              <w:jc w:val="center"/>
            </w:pPr>
            <w:r>
              <w:rPr>
                <w:rFonts w:hint="eastAsia"/>
              </w:rPr>
              <w:t>条款号</w:t>
            </w:r>
          </w:p>
        </w:tc>
        <w:tc>
          <w:tcPr>
            <w:tcW w:w="5032" w:type="dxa"/>
            <w:vAlign w:val="center"/>
          </w:tcPr>
          <w:p>
            <w:pPr>
              <w:pStyle w:val="2"/>
              <w:ind w:left="0"/>
              <w:jc w:val="center"/>
            </w:pPr>
            <w:r>
              <w:rPr>
                <w:rFonts w:hint="eastAsia"/>
              </w:rPr>
              <w:t>条 款 名 称</w:t>
            </w:r>
          </w:p>
        </w:tc>
        <w:tc>
          <w:tcPr>
            <w:tcW w:w="3772" w:type="dxa"/>
            <w:vAlign w:val="center"/>
          </w:tcPr>
          <w:p>
            <w:pPr>
              <w:pStyle w:val="2"/>
              <w:ind w:left="0"/>
              <w:jc w:val="center"/>
            </w:pPr>
            <w:r>
              <w:rPr>
                <w:rFonts w:hint="eastAsia"/>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58" w:type="dxa"/>
          </w:tcPr>
          <w:p>
            <w:pPr>
              <w:pStyle w:val="2"/>
            </w:pPr>
          </w:p>
        </w:tc>
        <w:tc>
          <w:tcPr>
            <w:tcW w:w="5032" w:type="dxa"/>
          </w:tcPr>
          <w:p>
            <w:pPr>
              <w:pStyle w:val="2"/>
            </w:pPr>
          </w:p>
        </w:tc>
        <w:tc>
          <w:tcPr>
            <w:tcW w:w="3772" w:type="dxa"/>
          </w:tcPr>
          <w:p>
            <w:pPr>
              <w:pStyle w:val="2"/>
            </w:pPr>
          </w:p>
        </w:tc>
      </w:tr>
    </w:tbl>
    <w:p>
      <w:r>
        <w:rPr>
          <w:rFonts w:hint="eastAsia"/>
        </w:rPr>
        <w:br w:type="page"/>
      </w:r>
    </w:p>
    <w:p>
      <w:pPr>
        <w:pStyle w:val="5"/>
        <w:numPr>
          <w:ilvl w:val="0"/>
          <w:numId w:val="5"/>
        </w:numPr>
      </w:pPr>
      <w:r>
        <w:rPr>
          <w:rFonts w:hint="eastAsia"/>
        </w:rPr>
        <w:t>总则</w:t>
      </w:r>
    </w:p>
    <w:p>
      <w:pPr>
        <w:pStyle w:val="6"/>
        <w:numPr>
          <w:ilvl w:val="1"/>
          <w:numId w:val="5"/>
        </w:numPr>
      </w:pPr>
      <w:r>
        <w:rPr>
          <w:rFonts w:hint="eastAsia"/>
        </w:rPr>
        <w:t>项目概况</w:t>
      </w:r>
    </w:p>
    <w:p>
      <w:pPr>
        <w:pStyle w:val="2"/>
      </w:pPr>
      <w:r>
        <w:rPr>
          <w:rFonts w:hint="eastAsia"/>
        </w:rPr>
        <w:t>1.1.1 根据《中华人民共和国招标投标法》 等有关法律、法规和规章的规定，本招标项目已具备</w:t>
      </w:r>
    </w:p>
    <w:p>
      <w:pPr>
        <w:pStyle w:val="2"/>
        <w:ind w:left="0"/>
      </w:pPr>
      <w:r>
        <w:rPr>
          <w:rFonts w:hint="eastAsia"/>
        </w:rPr>
        <w:t>招标条件，现对本标段进行招标。</w:t>
      </w:r>
    </w:p>
    <w:p>
      <w:pPr>
        <w:pStyle w:val="2"/>
      </w:pPr>
      <w:r>
        <w:rPr>
          <w:rFonts w:hint="eastAsia"/>
        </w:rPr>
        <w:t>1.1.2 本招标项目招标人：见投标人须知前附表。</w:t>
      </w:r>
    </w:p>
    <w:p>
      <w:pPr>
        <w:pStyle w:val="2"/>
      </w:pPr>
      <w:r>
        <w:rPr>
          <w:rFonts w:hint="eastAsia"/>
        </w:rPr>
        <w:t>1.1.3 本标段招标代理机构：见投标人须知前附表。</w:t>
      </w:r>
    </w:p>
    <w:p>
      <w:pPr>
        <w:pStyle w:val="2"/>
      </w:pPr>
      <w:r>
        <w:rPr>
          <w:rFonts w:hint="eastAsia"/>
        </w:rPr>
        <w:t>1.1.4 本招标项目名称：见投标人须知前附表。</w:t>
      </w:r>
    </w:p>
    <w:p>
      <w:pPr>
        <w:pStyle w:val="2"/>
      </w:pPr>
      <w:r>
        <w:rPr>
          <w:rFonts w:hint="eastAsia"/>
        </w:rPr>
        <w:t>1.1.5 本标段建设地点：见投标人须知前附表。</w:t>
      </w:r>
    </w:p>
    <w:p>
      <w:pPr>
        <w:pStyle w:val="6"/>
        <w:numPr>
          <w:ilvl w:val="1"/>
          <w:numId w:val="5"/>
        </w:numPr>
      </w:pPr>
      <w:r>
        <w:rPr>
          <w:rFonts w:hint="eastAsia"/>
        </w:rPr>
        <w:t>资金来源和落实情况</w:t>
      </w:r>
    </w:p>
    <w:p>
      <w:pPr>
        <w:pStyle w:val="2"/>
      </w:pPr>
      <w:r>
        <w:rPr>
          <w:rFonts w:hint="eastAsia"/>
        </w:rPr>
        <w:t>1.2.1 本招标项目的资金来源：见投标人须知前附表。</w:t>
      </w:r>
    </w:p>
    <w:p>
      <w:pPr>
        <w:pStyle w:val="2"/>
      </w:pPr>
      <w:r>
        <w:rPr>
          <w:rFonts w:hint="eastAsia"/>
        </w:rPr>
        <w:t>1.2.2 本招标项目的出资比例：见投标人须知前附表。</w:t>
      </w:r>
    </w:p>
    <w:p>
      <w:pPr>
        <w:pStyle w:val="2"/>
      </w:pPr>
      <w:r>
        <w:rPr>
          <w:rFonts w:hint="eastAsia"/>
        </w:rPr>
        <w:t>1.2.3 本招标项目的资金落实情况：见投标人须知前附表。</w:t>
      </w:r>
    </w:p>
    <w:p>
      <w:pPr>
        <w:pStyle w:val="6"/>
        <w:numPr>
          <w:ilvl w:val="1"/>
          <w:numId w:val="5"/>
        </w:numPr>
      </w:pPr>
      <w:r>
        <w:rPr>
          <w:rFonts w:hint="eastAsia"/>
        </w:rPr>
        <w:t>招标范围、计划工期、质量要求</w:t>
      </w:r>
    </w:p>
    <w:p>
      <w:pPr>
        <w:pStyle w:val="2"/>
      </w:pPr>
      <w:r>
        <w:rPr>
          <w:rFonts w:hint="eastAsia"/>
        </w:rPr>
        <w:t>1.3.1 本次招标范围：见投标人须知前附表。</w:t>
      </w:r>
    </w:p>
    <w:p>
      <w:pPr>
        <w:pStyle w:val="2"/>
      </w:pPr>
      <w:r>
        <w:rPr>
          <w:rFonts w:hint="eastAsia"/>
        </w:rPr>
        <w:t>1.3.2 本标段的计划工期：见投标人须知前附表。</w:t>
      </w:r>
    </w:p>
    <w:p>
      <w:pPr>
        <w:pStyle w:val="2"/>
      </w:pPr>
      <w:r>
        <w:rPr>
          <w:rFonts w:hint="eastAsia"/>
        </w:rPr>
        <w:t>1.3.3 本标段的质量要求：见投标人须知前附表。</w:t>
      </w:r>
    </w:p>
    <w:p>
      <w:pPr>
        <w:pStyle w:val="6"/>
        <w:numPr>
          <w:ilvl w:val="1"/>
          <w:numId w:val="5"/>
        </w:numPr>
      </w:pPr>
      <w:r>
        <w:rPr>
          <w:rFonts w:hint="eastAsia"/>
        </w:rPr>
        <w:t>投标人资格要求（适用于未进行资格预审的）</w:t>
      </w:r>
    </w:p>
    <w:p>
      <w:pPr>
        <w:pStyle w:val="2"/>
      </w:pPr>
      <w:r>
        <w:rPr>
          <w:rFonts w:hint="eastAsia"/>
        </w:rPr>
        <w:t>1.4.1 投标人应具备承担本标段的资质条件、能力和信誉。</w:t>
      </w:r>
    </w:p>
    <w:p>
      <w:pPr>
        <w:pStyle w:val="2"/>
      </w:pPr>
      <w:r>
        <w:rPr>
          <w:rFonts w:hint="eastAsia"/>
        </w:rPr>
        <w:t>(l)资质条件：见投标人须知前附表；</w:t>
      </w:r>
    </w:p>
    <w:p>
      <w:pPr>
        <w:pStyle w:val="2"/>
      </w:pPr>
      <w:r>
        <w:rPr>
          <w:rFonts w:hint="eastAsia"/>
        </w:rPr>
        <w:t>(2)财务要求：见投标人须知前附表；</w:t>
      </w:r>
    </w:p>
    <w:p>
      <w:pPr>
        <w:pStyle w:val="2"/>
      </w:pPr>
      <w:r>
        <w:rPr>
          <w:rFonts w:hint="eastAsia"/>
        </w:rPr>
        <w:t>(3)类似工程业绩要求：见投标人须知前附表；</w:t>
      </w:r>
    </w:p>
    <w:p>
      <w:pPr>
        <w:pStyle w:val="2"/>
      </w:pPr>
      <w:r>
        <w:rPr>
          <w:rFonts w:hint="eastAsia"/>
        </w:rPr>
        <w:t>(4)信誉要求：见投标人须知前附表；</w:t>
      </w:r>
    </w:p>
    <w:p>
      <w:pPr>
        <w:pStyle w:val="2"/>
      </w:pPr>
      <w:r>
        <w:rPr>
          <w:rFonts w:hint="eastAsia"/>
        </w:rPr>
        <w:t>(5)项目经理资格要求：同招标公告或投标邀请书；</w:t>
      </w:r>
    </w:p>
    <w:p>
      <w:pPr>
        <w:pStyle w:val="2"/>
      </w:pPr>
      <w:r>
        <w:rPr>
          <w:rFonts w:hint="eastAsia"/>
        </w:rPr>
        <w:t>(6)设计负责人的资格要求：同招标公告或投标邀请书；</w:t>
      </w:r>
    </w:p>
    <w:p>
      <w:pPr>
        <w:pStyle w:val="2"/>
      </w:pPr>
      <w:r>
        <w:rPr>
          <w:rFonts w:hint="eastAsia"/>
        </w:rPr>
        <w:t>(7)施工负责人的资格要求：同招标公告或投标邀请书；</w:t>
      </w:r>
    </w:p>
    <w:p>
      <w:pPr>
        <w:pStyle w:val="2"/>
      </w:pPr>
      <w:r>
        <w:rPr>
          <w:rFonts w:hint="eastAsia"/>
        </w:rPr>
        <w:t>1.4.2 投标人须知前附表规定接受联合体投标的，除应符合本章第1.4.1项和投标人须知前附表的</w:t>
      </w:r>
    </w:p>
    <w:p>
      <w:pPr>
        <w:pStyle w:val="2"/>
        <w:ind w:left="0"/>
      </w:pPr>
      <w:r>
        <w:rPr>
          <w:rFonts w:hint="eastAsia"/>
        </w:rPr>
        <w:t>要求外，还应遵守以下规定：</w:t>
      </w:r>
    </w:p>
    <w:p>
      <w:pPr>
        <w:pStyle w:val="2"/>
      </w:pPr>
      <w:r>
        <w:rPr>
          <w:rFonts w:hint="eastAsia"/>
        </w:rPr>
        <w:t>(1)联合体各方应按招标文件提供的格式签订联合体协议书，明确联合体牵头人和各方权利义务；</w:t>
      </w:r>
    </w:p>
    <w:p>
      <w:pPr>
        <w:pStyle w:val="2"/>
      </w:pPr>
      <w:r>
        <w:rPr>
          <w:rFonts w:hint="eastAsia"/>
        </w:rPr>
        <w:t>(2)由同一专业的单位组成的联合体，按照资质等级较低的单位确定资质等级；</w:t>
      </w:r>
    </w:p>
    <w:p>
      <w:pPr>
        <w:pStyle w:val="2"/>
      </w:pPr>
      <w:r>
        <w:rPr>
          <w:rFonts w:hint="eastAsia"/>
        </w:rPr>
        <w:t>(3)联合体各方不得再以自己名义单独或参加其他联合体在同一标段中投标。</w:t>
      </w:r>
    </w:p>
    <w:p>
      <w:pPr>
        <w:pStyle w:val="2"/>
      </w:pPr>
      <w:r>
        <w:rPr>
          <w:rFonts w:hint="eastAsia"/>
        </w:rPr>
        <w:t>1.4.3 投标人不得存在下列情形之一：</w:t>
      </w:r>
    </w:p>
    <w:p>
      <w:pPr>
        <w:pStyle w:val="2"/>
      </w:pPr>
      <w:r>
        <w:rPr>
          <w:rFonts w:hint="eastAsia"/>
        </w:rPr>
        <w:t>（1）为招标人不具有独立法人资格的附属机构（单位）；</w:t>
      </w:r>
    </w:p>
    <w:p>
      <w:pPr>
        <w:pStyle w:val="2"/>
      </w:pPr>
      <w:r>
        <w:rPr>
          <w:rFonts w:hint="eastAsia"/>
        </w:rPr>
        <w:t>（2）为招标项目前期工作提供咨询服务的；</w:t>
      </w:r>
    </w:p>
    <w:p>
      <w:pPr>
        <w:pStyle w:val="2"/>
      </w:pPr>
      <w:r>
        <w:rPr>
          <w:rFonts w:hint="eastAsia"/>
        </w:rPr>
        <w:t>（3）为本招标项目的监理人；</w:t>
      </w:r>
    </w:p>
    <w:p>
      <w:pPr>
        <w:pStyle w:val="2"/>
      </w:pPr>
      <w:r>
        <w:rPr>
          <w:rFonts w:hint="eastAsia"/>
        </w:rPr>
        <w:t>（4）为本招标项目的代建人；</w:t>
      </w:r>
    </w:p>
    <w:p>
      <w:pPr>
        <w:pStyle w:val="2"/>
      </w:pPr>
      <w:r>
        <w:rPr>
          <w:rFonts w:hint="eastAsia"/>
        </w:rPr>
        <w:t>（5）为本招标项目提供招标代理服务的；</w:t>
      </w:r>
    </w:p>
    <w:p>
      <w:pPr>
        <w:pStyle w:val="2"/>
      </w:pPr>
      <w:r>
        <w:rPr>
          <w:rFonts w:hint="eastAsia"/>
        </w:rPr>
        <w:t>（6）被责令停业的；</w:t>
      </w:r>
    </w:p>
    <w:p>
      <w:pPr>
        <w:pStyle w:val="2"/>
      </w:pPr>
      <w:r>
        <w:rPr>
          <w:rFonts w:hint="eastAsia"/>
        </w:rPr>
        <w:t>（7）被暂停或取消投标资格的；</w:t>
      </w:r>
    </w:p>
    <w:p>
      <w:pPr>
        <w:pStyle w:val="2"/>
      </w:pPr>
      <w:r>
        <w:rPr>
          <w:rFonts w:hint="eastAsia"/>
        </w:rPr>
        <w:t>（8）进入清算程序，或被宣告破产，或其他丧失履约能力的情形；</w:t>
      </w:r>
    </w:p>
    <w:p>
      <w:pPr>
        <w:pStyle w:val="2"/>
      </w:pPr>
      <w:r>
        <w:rPr>
          <w:rFonts w:hint="eastAsia"/>
        </w:rPr>
        <w:t>（9）在最近三年内有骗取中标或严重违约或重大工程质量问题的；</w:t>
      </w:r>
    </w:p>
    <w:p>
      <w:pPr>
        <w:pStyle w:val="2"/>
      </w:pPr>
      <w:r>
        <w:rPr>
          <w:rFonts w:hint="eastAsia"/>
        </w:rPr>
        <w:t>（10）与本招标项目的监理人或代建人或招标代理机构同为一个法定代表人的；</w:t>
      </w:r>
    </w:p>
    <w:p>
      <w:pPr>
        <w:pStyle w:val="2"/>
      </w:pPr>
      <w:r>
        <w:rPr>
          <w:rFonts w:hint="eastAsia"/>
        </w:rPr>
        <w:t>（11）与本招标项目的监理人或代建人或招标代理机构相互控股或参股的；</w:t>
      </w:r>
    </w:p>
    <w:p>
      <w:pPr>
        <w:pStyle w:val="2"/>
      </w:pPr>
      <w:r>
        <w:rPr>
          <w:rFonts w:hint="eastAsia"/>
        </w:rPr>
        <w:t>（12）与本招标项目的监理人或代建人或招标代理机构相互任职或工作的。</w:t>
      </w:r>
    </w:p>
    <w:p>
      <w:pPr>
        <w:pStyle w:val="2"/>
      </w:pPr>
      <w:r>
        <w:rPr>
          <w:rFonts w:hint="eastAsia"/>
        </w:rPr>
        <w:t>（13）单位负责人为同一人或者存在控股、管理关系的不同单位，不得同时参加本招标项目投标。</w:t>
      </w:r>
    </w:p>
    <w:p>
      <w:pPr>
        <w:pStyle w:val="6"/>
        <w:numPr>
          <w:ilvl w:val="1"/>
          <w:numId w:val="5"/>
        </w:numPr>
      </w:pPr>
      <w:r>
        <w:rPr>
          <w:rFonts w:hint="eastAsia"/>
        </w:rPr>
        <w:t>费用承担和设计成果补偿</w:t>
      </w:r>
    </w:p>
    <w:p>
      <w:pPr>
        <w:pStyle w:val="2"/>
      </w:pPr>
      <w:r>
        <w:rPr>
          <w:rFonts w:hint="eastAsia"/>
        </w:rPr>
        <w:t>投标人准备和参加投标活动发生的费用自理，设计成果补偿见投标人须知前附表。</w:t>
      </w:r>
    </w:p>
    <w:p>
      <w:pPr>
        <w:pStyle w:val="6"/>
        <w:numPr>
          <w:ilvl w:val="1"/>
          <w:numId w:val="5"/>
        </w:numPr>
      </w:pPr>
      <w:r>
        <w:rPr>
          <w:rFonts w:hint="eastAsia"/>
        </w:rPr>
        <w:t>保密</w:t>
      </w:r>
    </w:p>
    <w:p>
      <w:pPr>
        <w:pStyle w:val="2"/>
        <w:ind w:left="0" w:firstLine="440" w:firstLineChars="200"/>
      </w:pPr>
      <w:r>
        <w:rPr>
          <w:rFonts w:hint="eastAsia"/>
        </w:rPr>
        <w:t>参与招标投标活动的各方应对招标文件和投标文件中的商业和技术等秘密保密，违者应对由此造成的后果承担法律责任。</w:t>
      </w:r>
    </w:p>
    <w:p>
      <w:pPr>
        <w:pStyle w:val="6"/>
        <w:numPr>
          <w:ilvl w:val="1"/>
          <w:numId w:val="5"/>
        </w:numPr>
      </w:pPr>
      <w:r>
        <w:rPr>
          <w:rFonts w:hint="eastAsia"/>
        </w:rPr>
        <w:t>语言文字</w:t>
      </w:r>
    </w:p>
    <w:p>
      <w:pPr>
        <w:pStyle w:val="2"/>
      </w:pPr>
      <w:r>
        <w:rPr>
          <w:rFonts w:hint="eastAsia"/>
        </w:rPr>
        <w:t>除专用术语外，与招标投标有关的语言均使用中文。必要时专用术语应附有中文注释。</w:t>
      </w:r>
    </w:p>
    <w:p>
      <w:pPr>
        <w:pStyle w:val="6"/>
        <w:numPr>
          <w:ilvl w:val="1"/>
          <w:numId w:val="5"/>
        </w:numPr>
      </w:pPr>
      <w:r>
        <w:rPr>
          <w:rFonts w:hint="eastAsia"/>
        </w:rPr>
        <w:t>计量单位</w:t>
      </w:r>
    </w:p>
    <w:p>
      <w:pPr>
        <w:pStyle w:val="2"/>
      </w:pPr>
      <w:r>
        <w:rPr>
          <w:rFonts w:hint="eastAsia"/>
        </w:rPr>
        <w:t>所有计量均采用中华人民共和国法定计量单位。</w:t>
      </w:r>
    </w:p>
    <w:p>
      <w:pPr>
        <w:pStyle w:val="6"/>
        <w:numPr>
          <w:ilvl w:val="1"/>
          <w:numId w:val="5"/>
        </w:numPr>
      </w:pPr>
      <w:r>
        <w:rPr>
          <w:rFonts w:hint="eastAsia"/>
        </w:rPr>
        <w:t>踏勘现场</w:t>
      </w:r>
    </w:p>
    <w:p>
      <w:pPr>
        <w:pStyle w:val="2"/>
      </w:pPr>
      <w:r>
        <w:rPr>
          <w:rFonts w:hint="eastAsia"/>
        </w:rPr>
        <w:t>1.9.1 投标人须知前附表规定组织踏勘现场的，招标人按投标人须知前附表规定的时间、地点组织</w:t>
      </w:r>
    </w:p>
    <w:p>
      <w:pPr>
        <w:pStyle w:val="2"/>
        <w:ind w:left="0"/>
      </w:pPr>
      <w:r>
        <w:rPr>
          <w:rFonts w:hint="eastAsia"/>
        </w:rPr>
        <w:t>投标人踏勘项目现场。</w:t>
      </w:r>
    </w:p>
    <w:p>
      <w:pPr>
        <w:pStyle w:val="2"/>
      </w:pPr>
      <w:r>
        <w:rPr>
          <w:rFonts w:hint="eastAsia"/>
        </w:rPr>
        <w:t>1.9.2 投标人踏勘现场发生的费用自理。</w:t>
      </w:r>
    </w:p>
    <w:p>
      <w:pPr>
        <w:pStyle w:val="2"/>
      </w:pPr>
      <w:r>
        <w:rPr>
          <w:rFonts w:hint="eastAsia"/>
        </w:rPr>
        <w:t>1.9.3 除招标人的原因外，投标人自行负责在踏勘现场中所发生的人员伤亡和财产损失。</w:t>
      </w:r>
    </w:p>
    <w:p>
      <w:pPr>
        <w:pStyle w:val="2"/>
      </w:pPr>
      <w:r>
        <w:rPr>
          <w:rFonts w:hint="eastAsia"/>
        </w:rPr>
        <w:t>1.9.4 招标人在踏勘现场中介绍的工程场地和相关的周边环境情况，供投标人在编制投标文件时参</w:t>
      </w:r>
    </w:p>
    <w:p>
      <w:pPr>
        <w:pStyle w:val="2"/>
        <w:ind w:left="0"/>
      </w:pPr>
      <w:r>
        <w:rPr>
          <w:rFonts w:hint="eastAsia"/>
        </w:rPr>
        <w:t>考，招标人不对投标人据此作出的判断和决策负责。</w:t>
      </w:r>
    </w:p>
    <w:p>
      <w:pPr>
        <w:pStyle w:val="6"/>
        <w:numPr>
          <w:ilvl w:val="1"/>
          <w:numId w:val="5"/>
        </w:numPr>
      </w:pPr>
      <w:r>
        <w:rPr>
          <w:rFonts w:hint="eastAsia"/>
        </w:rPr>
        <w:t>投标预备会</w:t>
      </w:r>
    </w:p>
    <w:p>
      <w:pPr>
        <w:pStyle w:val="2"/>
        <w:ind w:left="0" w:firstLine="440" w:firstLineChars="200"/>
      </w:pPr>
      <w:r>
        <w:rPr>
          <w:rFonts w:hint="eastAsia"/>
        </w:rPr>
        <w:t>1.10.1 投标人须知前附表规定召开投标预备会的，招标人按投标人须知前附表规定的时间和地点召开投标预备会，澄清投标人提出的问题。</w:t>
      </w:r>
    </w:p>
    <w:p>
      <w:pPr>
        <w:pStyle w:val="2"/>
        <w:ind w:left="0" w:firstLine="440" w:firstLineChars="200"/>
      </w:pPr>
      <w:r>
        <w:rPr>
          <w:rFonts w:hint="eastAsia"/>
        </w:rPr>
        <w:t>1.10.2 投标人应在投标人须知前附表规定的时间前，以书面形式将提出的问题送达招标人，以便招标人在会议期间澄清。</w:t>
      </w:r>
    </w:p>
    <w:p>
      <w:pPr>
        <w:pStyle w:val="2"/>
        <w:ind w:left="0" w:firstLine="440" w:firstLineChars="200"/>
      </w:pPr>
      <w:r>
        <w:rPr>
          <w:rFonts w:hint="eastAsia"/>
        </w:rPr>
        <w:t>1.10.3 投标预备会后，招标人在投标人须知前附表规定的时间内，将对投标人所提问题的澄清，以书面方式通知所有购买招标文件的投标人。该澄清内容为招标文件的组成部分。</w:t>
      </w:r>
    </w:p>
    <w:p>
      <w:pPr>
        <w:pStyle w:val="6"/>
        <w:numPr>
          <w:ilvl w:val="1"/>
          <w:numId w:val="5"/>
        </w:numPr>
      </w:pPr>
      <w:r>
        <w:rPr>
          <w:rFonts w:hint="eastAsia"/>
        </w:rPr>
        <w:t>分包</w:t>
      </w:r>
    </w:p>
    <w:p>
      <w:pPr>
        <w:pStyle w:val="2"/>
        <w:ind w:left="0" w:firstLine="440" w:firstLineChars="200"/>
      </w:pPr>
      <w:r>
        <w:rPr>
          <w:rFonts w:hint="eastAsia"/>
        </w:rPr>
        <w:t>投标人拟在中标后将中标项目的部分非主体、非关键性工作进行分包的，应符合投标人须知前附表规定的分包内容、分包金额和接受分包的第三人资质要求等限制性条件。</w:t>
      </w:r>
    </w:p>
    <w:p>
      <w:pPr>
        <w:pStyle w:val="6"/>
        <w:numPr>
          <w:ilvl w:val="1"/>
          <w:numId w:val="5"/>
        </w:numPr>
      </w:pPr>
      <w:r>
        <w:rPr>
          <w:rFonts w:hint="eastAsia"/>
        </w:rPr>
        <w:t>偏离</w:t>
      </w:r>
    </w:p>
    <w:p>
      <w:pPr>
        <w:pStyle w:val="2"/>
        <w:ind w:left="0" w:firstLine="440" w:firstLineChars="200"/>
      </w:pPr>
      <w:r>
        <w:rPr>
          <w:rFonts w:hint="eastAsia"/>
        </w:rPr>
        <w:t>投标人须知前附表允许投标文件偏离招标文件某些要求的，偏离应当符合招标文件规定的偏离范围和幅度。</w:t>
      </w:r>
    </w:p>
    <w:p>
      <w:pPr>
        <w:pStyle w:val="5"/>
        <w:numPr>
          <w:ilvl w:val="0"/>
          <w:numId w:val="5"/>
        </w:numPr>
      </w:pPr>
      <w:r>
        <w:rPr>
          <w:rFonts w:hint="eastAsia"/>
        </w:rPr>
        <w:t>招标文件</w:t>
      </w:r>
    </w:p>
    <w:p>
      <w:pPr>
        <w:pStyle w:val="6"/>
        <w:numPr>
          <w:ilvl w:val="1"/>
          <w:numId w:val="5"/>
        </w:numPr>
      </w:pPr>
      <w:r>
        <w:rPr>
          <w:rFonts w:hint="eastAsia"/>
        </w:rPr>
        <w:t>招标文件的组成</w:t>
      </w:r>
    </w:p>
    <w:p>
      <w:pPr>
        <w:pStyle w:val="2"/>
      </w:pPr>
      <w:r>
        <w:rPr>
          <w:rFonts w:hint="eastAsia"/>
        </w:rPr>
        <w:t>本招标文件包括：</w:t>
      </w:r>
    </w:p>
    <w:p>
      <w:pPr>
        <w:pStyle w:val="2"/>
      </w:pPr>
      <w:r>
        <w:rPr>
          <w:rFonts w:hint="eastAsia"/>
        </w:rPr>
        <w:t>（1）招标公告；</w:t>
      </w:r>
    </w:p>
    <w:p>
      <w:pPr>
        <w:pStyle w:val="2"/>
      </w:pPr>
      <w:r>
        <w:rPr>
          <w:rFonts w:hint="eastAsia"/>
        </w:rPr>
        <w:t>（2）投标人须知；</w:t>
      </w:r>
    </w:p>
    <w:p>
      <w:pPr>
        <w:pStyle w:val="2"/>
      </w:pPr>
      <w:r>
        <w:rPr>
          <w:rFonts w:hint="eastAsia"/>
        </w:rPr>
        <w:t>（3）评标办法；</w:t>
      </w:r>
    </w:p>
    <w:p>
      <w:pPr>
        <w:pStyle w:val="2"/>
      </w:pPr>
      <w:r>
        <w:rPr>
          <w:rFonts w:hint="eastAsia"/>
        </w:rPr>
        <w:t>（4）合同条款及格式；</w:t>
      </w:r>
    </w:p>
    <w:p>
      <w:pPr>
        <w:pStyle w:val="2"/>
      </w:pPr>
      <w:r>
        <w:rPr>
          <w:rFonts w:hint="eastAsia"/>
        </w:rPr>
        <w:t xml:space="preserve">（5）招标工程量清单； </w:t>
      </w:r>
    </w:p>
    <w:p>
      <w:pPr>
        <w:pStyle w:val="2"/>
      </w:pPr>
      <w:r>
        <w:rPr>
          <w:rFonts w:hint="eastAsia"/>
        </w:rPr>
        <w:t xml:space="preserve">（6）图纸； </w:t>
      </w:r>
    </w:p>
    <w:p>
      <w:pPr>
        <w:pStyle w:val="2"/>
      </w:pPr>
      <w:r>
        <w:rPr>
          <w:rFonts w:hint="eastAsia"/>
        </w:rPr>
        <w:t xml:space="preserve">（7）技术标准和要求； </w:t>
      </w:r>
    </w:p>
    <w:p>
      <w:pPr>
        <w:pStyle w:val="2"/>
      </w:pPr>
      <w:r>
        <w:rPr>
          <w:rFonts w:hint="eastAsia"/>
        </w:rPr>
        <w:t>（8）投标文件格式；</w:t>
      </w:r>
    </w:p>
    <w:p>
      <w:pPr>
        <w:pStyle w:val="2"/>
      </w:pPr>
      <w:r>
        <w:rPr>
          <w:rFonts w:hint="eastAsia"/>
        </w:rPr>
        <w:t>（9）投标人须知前附表规定的其他材料。</w:t>
      </w:r>
    </w:p>
    <w:p>
      <w:pPr>
        <w:pStyle w:val="2"/>
      </w:pPr>
      <w:r>
        <w:rPr>
          <w:rFonts w:hint="eastAsia"/>
        </w:rPr>
        <w:t>2.1.2 根据本章第2.2 款和第2.3 款对招标文件所作的澄清、修改，构成招标文件的组成部分。</w:t>
      </w:r>
    </w:p>
    <w:p>
      <w:pPr>
        <w:pStyle w:val="2"/>
      </w:pPr>
      <w:r>
        <w:rPr>
          <w:rFonts w:hint="eastAsia"/>
        </w:rPr>
        <w:t>2.1.3 电子招标文件为扩展名为CDZ的文件，其中包含招标文件（PDF格式）、招标项目（XML格式）、</w:t>
      </w:r>
    </w:p>
    <w:p>
      <w:pPr>
        <w:pStyle w:val="2"/>
        <w:ind w:left="0"/>
      </w:pPr>
      <w:r>
        <w:rPr>
          <w:rFonts w:hint="eastAsia"/>
        </w:rPr>
        <w:t>工程量清单（PDF格式，如必要）等。工程量清单PDF格式文件由招标人、招标代理机构依据国家标准、招标文件、设计文件以及施工现场实际情况编制后导入“成都市电子招标文件编制系统”后生成。答疑或者补遗文件也是由电子招标文件编制系统制作生成。</w:t>
      </w:r>
    </w:p>
    <w:p>
      <w:pPr>
        <w:pStyle w:val="6"/>
        <w:numPr>
          <w:ilvl w:val="1"/>
          <w:numId w:val="5"/>
        </w:numPr>
      </w:pPr>
      <w:r>
        <w:rPr>
          <w:rFonts w:hint="eastAsia"/>
        </w:rPr>
        <w:t>招标文件的澄清</w:t>
      </w:r>
    </w:p>
    <w:p>
      <w:pPr>
        <w:ind w:firstLine="440" w:firstLineChars="200"/>
        <w:rPr>
          <w:rFonts w:ascii="宋体" w:hAnsi="宋体"/>
          <w:szCs w:val="21"/>
        </w:rPr>
      </w:pPr>
      <w:r>
        <w:rPr>
          <w:rFonts w:hint="eastAsia" w:ascii="宋体" w:hAnsi="宋体"/>
          <w:szCs w:val="21"/>
        </w:rPr>
        <w:t>详见投标人须知前附表。</w:t>
      </w:r>
    </w:p>
    <w:p>
      <w:pPr>
        <w:pStyle w:val="6"/>
        <w:numPr>
          <w:ilvl w:val="1"/>
          <w:numId w:val="5"/>
        </w:numPr>
      </w:pPr>
      <w:r>
        <w:rPr>
          <w:rFonts w:hint="eastAsia"/>
        </w:rPr>
        <w:t>招标文件的修改</w:t>
      </w:r>
    </w:p>
    <w:p>
      <w:pPr>
        <w:pStyle w:val="2"/>
      </w:pPr>
      <w:r>
        <w:rPr>
          <w:rFonts w:hint="eastAsia"/>
        </w:rPr>
        <w:t>详见投标人须知前附表。</w:t>
      </w:r>
    </w:p>
    <w:p>
      <w:pPr>
        <w:pStyle w:val="5"/>
        <w:numPr>
          <w:ilvl w:val="0"/>
          <w:numId w:val="5"/>
        </w:numPr>
      </w:pPr>
      <w:r>
        <w:rPr>
          <w:rFonts w:hint="eastAsia"/>
        </w:rPr>
        <w:t>投标文件</w:t>
      </w:r>
    </w:p>
    <w:p>
      <w:pPr>
        <w:pStyle w:val="6"/>
        <w:numPr>
          <w:ilvl w:val="1"/>
          <w:numId w:val="5"/>
        </w:numPr>
      </w:pPr>
      <w:r>
        <w:rPr>
          <w:rFonts w:hint="eastAsia"/>
        </w:rPr>
        <w:t>投标文件的组成</w:t>
      </w:r>
    </w:p>
    <w:p>
      <w:pPr>
        <w:pStyle w:val="2"/>
      </w:pPr>
      <w:r>
        <w:rPr>
          <w:rFonts w:hint="eastAsia"/>
        </w:rPr>
        <w:t>3.1.1 投标文件应包括的内容见“第八章 投标文件格式”。</w:t>
      </w:r>
    </w:p>
    <w:p>
      <w:pPr>
        <w:pStyle w:val="2"/>
      </w:pPr>
      <w:r>
        <w:rPr>
          <w:rFonts w:hint="eastAsia"/>
        </w:rPr>
        <w:t>3.1.2 投标人须知前附表规定不接受联合体投标的，或投标人没有组成联合体的，投标文件无须提供联合体协议书。</w:t>
      </w:r>
    </w:p>
    <w:p>
      <w:pPr>
        <w:pStyle w:val="6"/>
        <w:numPr>
          <w:ilvl w:val="1"/>
          <w:numId w:val="5"/>
        </w:numPr>
      </w:pPr>
      <w:r>
        <w:rPr>
          <w:rFonts w:hint="eastAsia"/>
        </w:rPr>
        <w:t>投标报价</w:t>
      </w:r>
    </w:p>
    <w:p>
      <w:pPr>
        <w:pStyle w:val="2"/>
      </w:pPr>
      <w:r>
        <w:rPr>
          <w:rFonts w:hint="eastAsia"/>
        </w:rPr>
        <w:t>3.2.1 投标人应按第五章的要求填写相应表格。</w:t>
      </w:r>
    </w:p>
    <w:p>
      <w:pPr>
        <w:pStyle w:val="2"/>
      </w:pPr>
      <w:r>
        <w:rPr>
          <w:rFonts w:hint="eastAsia"/>
        </w:rPr>
        <w:t>3.2.2 投标人在投标截止时间前修改投标函中的投标总报价，应同时修改相应报价。此修改须符合</w:t>
      </w:r>
    </w:p>
    <w:p>
      <w:pPr>
        <w:pStyle w:val="2"/>
        <w:ind w:left="0"/>
      </w:pPr>
      <w:r>
        <w:rPr>
          <w:rFonts w:hint="eastAsia"/>
        </w:rPr>
        <w:t>本章第4.3 款的有关要求。</w:t>
      </w:r>
    </w:p>
    <w:p>
      <w:pPr>
        <w:pStyle w:val="6"/>
        <w:numPr>
          <w:ilvl w:val="1"/>
          <w:numId w:val="5"/>
        </w:numPr>
      </w:pPr>
      <w:r>
        <w:rPr>
          <w:rFonts w:hint="eastAsia"/>
        </w:rPr>
        <w:t>投标有效期</w:t>
      </w:r>
    </w:p>
    <w:p>
      <w:pPr>
        <w:pStyle w:val="2"/>
      </w:pPr>
      <w:r>
        <w:rPr>
          <w:rFonts w:hint="eastAsia"/>
        </w:rPr>
        <w:t>3.3.1 在投标人须知前附表规定的投标有效期内，投标人不得要求撤销或修改其投标文件。</w:t>
      </w:r>
    </w:p>
    <w:p>
      <w:pPr>
        <w:pStyle w:val="2"/>
      </w:pPr>
      <w:r>
        <w:rPr>
          <w:rFonts w:hint="eastAsia"/>
        </w:rPr>
        <w:t>3.3.2 出现特殊情况需要延长投标有效期的，招标人以书面形式通知所有投标人延长投标有效期。</w:t>
      </w:r>
    </w:p>
    <w:p>
      <w:pPr>
        <w:pStyle w:val="2"/>
        <w:ind w:left="0"/>
      </w:pPr>
      <w:r>
        <w:rPr>
          <w:rFonts w:hint="eastAsia"/>
        </w:rPr>
        <w:t>投标人同意延长的，应相应延长其投标保证金的有效期，但不得要求或被允许修改或撤销其投标文件；投标人拒绝延长的，其投标失效，但投标人有权收回其投标保证金。</w:t>
      </w:r>
    </w:p>
    <w:p>
      <w:pPr>
        <w:pStyle w:val="6"/>
        <w:numPr>
          <w:ilvl w:val="1"/>
          <w:numId w:val="5"/>
        </w:numPr>
      </w:pPr>
      <w:r>
        <w:rPr>
          <w:rFonts w:hint="eastAsia"/>
        </w:rPr>
        <w:t>投标保证金</w:t>
      </w:r>
    </w:p>
    <w:p>
      <w:pPr>
        <w:pStyle w:val="2"/>
      </w:pPr>
      <w:r>
        <w:rPr>
          <w:rFonts w:hint="eastAsia"/>
        </w:rPr>
        <w:t>3.4.1 投标人在递交投标文件的同时，应按投标人须知前附表规定的金额、担保形式递交投标保证</w:t>
      </w:r>
    </w:p>
    <w:p>
      <w:pPr>
        <w:pStyle w:val="2"/>
        <w:ind w:left="0"/>
      </w:pPr>
      <w:r>
        <w:rPr>
          <w:rFonts w:hint="eastAsia"/>
        </w:rPr>
        <w:t>金。联合体投标的，其投标保证金由牵头人递交，并应符合投标人须知前附表的规定。</w:t>
      </w:r>
    </w:p>
    <w:p>
      <w:pPr>
        <w:pStyle w:val="2"/>
      </w:pPr>
      <w:r>
        <w:rPr>
          <w:rFonts w:hint="eastAsia"/>
        </w:rPr>
        <w:t>3.4.2 投标人不按本章第3.4.1 项要求提交投标保证金的，其投标文件作否决投标处理。</w:t>
      </w:r>
    </w:p>
    <w:p>
      <w:pPr>
        <w:pStyle w:val="2"/>
      </w:pPr>
      <w:r>
        <w:rPr>
          <w:rFonts w:hint="eastAsia"/>
        </w:rPr>
        <w:t>3.4.3 投标保证金的退还：详见投标人须知前附表。</w:t>
      </w:r>
    </w:p>
    <w:p>
      <w:pPr>
        <w:pStyle w:val="2"/>
      </w:pPr>
      <w:r>
        <w:rPr>
          <w:rFonts w:hint="eastAsia"/>
        </w:rPr>
        <w:t xml:space="preserve">3.4.4 有下列情形之一的，投标保证金将不予退还： </w:t>
      </w:r>
    </w:p>
    <w:p>
      <w:pPr>
        <w:pStyle w:val="2"/>
      </w:pPr>
      <w:r>
        <w:rPr>
          <w:rFonts w:hint="eastAsia"/>
        </w:rPr>
        <w:t>（1）投标人在规定的投标有效期内撤销或修改其投标文件；</w:t>
      </w:r>
    </w:p>
    <w:p>
      <w:pPr>
        <w:pStyle w:val="2"/>
      </w:pPr>
      <w:r>
        <w:rPr>
          <w:rFonts w:hint="eastAsia"/>
        </w:rPr>
        <w:t>（2）中标人在收到中标通知书后，无正当理由拒签合同协议书或未按招标文件规定提交履约担保。</w:t>
      </w:r>
    </w:p>
    <w:p>
      <w:pPr>
        <w:pStyle w:val="6"/>
        <w:numPr>
          <w:ilvl w:val="1"/>
          <w:numId w:val="5"/>
        </w:numPr>
      </w:pPr>
      <w:r>
        <w:rPr>
          <w:rFonts w:hint="eastAsia"/>
        </w:rPr>
        <w:t>资格审查资料（适用于已进行资格预审的）</w:t>
      </w:r>
    </w:p>
    <w:p>
      <w:pPr>
        <w:pStyle w:val="2"/>
      </w:pPr>
      <w:r>
        <w:rPr>
          <w:rFonts w:hint="eastAsia"/>
        </w:rPr>
        <w:t>投标人在编制投标文件时，应按新情况更新或补充其在申请资格预审时提供的资料，以证实其各项</w:t>
      </w:r>
    </w:p>
    <w:p>
      <w:pPr>
        <w:pStyle w:val="2"/>
        <w:ind w:left="0"/>
      </w:pPr>
      <w:r>
        <w:rPr>
          <w:rFonts w:hint="eastAsia"/>
        </w:rPr>
        <w:t>资格条件仍能继续满足资格预审文件的要求，具备承担本标段的资质条件、能力和信誉。</w:t>
      </w:r>
    </w:p>
    <w:p>
      <w:pPr>
        <w:pStyle w:val="6"/>
      </w:pPr>
      <w:r>
        <w:rPr>
          <w:rFonts w:hint="eastAsia"/>
        </w:rPr>
        <w:t>3.5 资格审查资料（适用于未进行资格预审的）</w:t>
      </w:r>
    </w:p>
    <w:p>
      <w:pPr>
        <w:pStyle w:val="2"/>
      </w:pPr>
      <w:r>
        <w:rPr>
          <w:rFonts w:hint="eastAsia"/>
        </w:rPr>
        <w:t>3.5.1 “投标人基本情况表”应附投标人有效的营业执照副本、资质证书副本和安全生产许可证副</w:t>
      </w:r>
    </w:p>
    <w:p>
      <w:pPr>
        <w:pStyle w:val="2"/>
        <w:ind w:left="0"/>
      </w:pPr>
      <w:r>
        <w:rPr>
          <w:rFonts w:hint="eastAsia"/>
        </w:rPr>
        <w:t>本（依法不需要提供的除外）等材料的复印件或扫描件。</w:t>
      </w:r>
    </w:p>
    <w:p>
      <w:pPr>
        <w:pStyle w:val="2"/>
      </w:pPr>
      <w:r>
        <w:rPr>
          <w:rFonts w:hint="eastAsia"/>
        </w:rPr>
        <w:t>3.5.2 “近年财务状况表”：应附经会计师事务所或审计机构出具的财务会计报表，包括资产负债</w:t>
      </w:r>
    </w:p>
    <w:p>
      <w:pPr>
        <w:pStyle w:val="2"/>
        <w:ind w:left="0"/>
      </w:pPr>
      <w:r>
        <w:rPr>
          <w:rFonts w:hint="eastAsia"/>
        </w:rPr>
        <w:t>表、现金流量表、利润表的复印件或扫描件，具体年份要求见投标人须知前附表 。</w:t>
      </w:r>
    </w:p>
    <w:p>
      <w:pPr>
        <w:pStyle w:val="2"/>
      </w:pPr>
      <w:r>
        <w:rPr>
          <w:rFonts w:hint="eastAsia"/>
        </w:rPr>
        <w:t>3.5.3 “近年完成的类似设计施工总承包项目/设计采购施工总承包项目”应附合同协议书、工程</w:t>
      </w:r>
    </w:p>
    <w:p>
      <w:pPr>
        <w:pStyle w:val="2"/>
        <w:ind w:left="0"/>
      </w:pPr>
      <w:r>
        <w:rPr>
          <w:rFonts w:hint="eastAsia"/>
        </w:rPr>
        <w:t>接收证书（工程竣工验收证书）扫描件；或“近年完成的类似工程设计项目”应附合同协议书、发包人出具的证明文件扫描件；或“近年完成的类似施工项目”应附合同协议书、工程接收证书（工程竣工验收证书）扫描件。具体年份要求见投标人须知前附表，每张表格只填写一个项目，并标明序号。</w:t>
      </w:r>
    </w:p>
    <w:p>
      <w:pPr>
        <w:pStyle w:val="2"/>
      </w:pPr>
      <w:r>
        <w:rPr>
          <w:rFonts w:hint="eastAsia"/>
        </w:rPr>
        <w:t>3.5.4 “正在施工（设计）和新承接的项目”应附合同协议书扫描件。每张表格只填写一个项目，</w:t>
      </w:r>
    </w:p>
    <w:p>
      <w:pPr>
        <w:pStyle w:val="2"/>
        <w:ind w:left="0"/>
      </w:pPr>
      <w:r>
        <w:rPr>
          <w:rFonts w:hint="eastAsia"/>
        </w:rPr>
        <w:t>并标明序号。</w:t>
      </w:r>
    </w:p>
    <w:p>
      <w:pPr>
        <w:pStyle w:val="2"/>
      </w:pPr>
      <w:r>
        <w:rPr>
          <w:rFonts w:hint="eastAsia"/>
        </w:rPr>
        <w:t>3.5.5 “近年发生的诉讼及仲裁情况”：详见投标人须知前附表。</w:t>
      </w:r>
    </w:p>
    <w:p>
      <w:pPr>
        <w:pStyle w:val="2"/>
      </w:pPr>
      <w:r>
        <w:rPr>
          <w:rFonts w:hint="eastAsia"/>
        </w:rPr>
        <w:t>3.5.6 投标人须知前附表规定接受联合体投标的，本章第3.5.1 项至第3.5.5 项规定的表格和资</w:t>
      </w:r>
    </w:p>
    <w:p>
      <w:pPr>
        <w:pStyle w:val="2"/>
        <w:ind w:left="0"/>
      </w:pPr>
      <w:r>
        <w:rPr>
          <w:rFonts w:hint="eastAsia"/>
        </w:rPr>
        <w:t>料应包括联合体各方相关情况</w:t>
      </w:r>
    </w:p>
    <w:p>
      <w:pPr>
        <w:pStyle w:val="6"/>
        <w:numPr>
          <w:ilvl w:val="1"/>
          <w:numId w:val="5"/>
        </w:numPr>
      </w:pPr>
      <w:r>
        <w:rPr>
          <w:rFonts w:hint="eastAsia"/>
        </w:rPr>
        <w:t>备选投标方案</w:t>
      </w:r>
    </w:p>
    <w:p>
      <w:pPr>
        <w:pStyle w:val="2"/>
      </w:pPr>
      <w:r>
        <w:rPr>
          <w:rFonts w:hint="eastAsia"/>
        </w:rPr>
        <w:t>除投标人须知前附表另有规定外，投标人不得递交备选投标方案。允许投标人递交备选投标方案的，</w:t>
      </w:r>
    </w:p>
    <w:p>
      <w:pPr>
        <w:pStyle w:val="2"/>
        <w:ind w:left="0"/>
      </w:pPr>
      <w:r>
        <w:rPr>
          <w:rFonts w:hint="eastAsia"/>
        </w:rPr>
        <w:t>只有中标人所递交的备选投标方案方可予以考虑。评标委员会认为中标人的备选投标方案优于其按照招标文件要求编制的投标方案的，招标人可以接受该备选投标方案。</w:t>
      </w:r>
    </w:p>
    <w:p>
      <w:pPr>
        <w:pStyle w:val="6"/>
        <w:numPr>
          <w:ilvl w:val="1"/>
          <w:numId w:val="5"/>
        </w:numPr>
      </w:pPr>
      <w:r>
        <w:rPr>
          <w:rFonts w:hint="eastAsia"/>
        </w:rPr>
        <w:t>投标文件的编制</w:t>
      </w:r>
    </w:p>
    <w:p>
      <w:pPr>
        <w:pStyle w:val="2"/>
        <w:ind w:left="0" w:firstLine="440" w:firstLineChars="200"/>
      </w:pPr>
      <w:r>
        <w:rPr>
          <w:rFonts w:hint="eastAsia"/>
        </w:rPr>
        <w:t>3.7.1 投标文件应按第八章“投标文件格式”进行编写，如有必要，可以增加附页，作为投标文件的组成部分。其中，投标函附录在满足招标文件实质性要求的基础上，可以提出比招标文件要求更有利于招标人的承诺。</w:t>
      </w:r>
    </w:p>
    <w:p>
      <w:pPr>
        <w:pStyle w:val="2"/>
        <w:ind w:left="0" w:firstLine="440" w:firstLineChars="200"/>
      </w:pPr>
      <w:r>
        <w:rPr>
          <w:rFonts w:hint="eastAsia"/>
        </w:rPr>
        <w:t>3.7.2 投标文件应当对招标文件有关工期、投标有效期、质量要求、技术标准和要求、招标范围等实质性内容作出响应。</w:t>
      </w:r>
    </w:p>
    <w:p>
      <w:pPr>
        <w:pStyle w:val="2"/>
        <w:ind w:left="0" w:firstLine="440" w:firstLineChars="200"/>
      </w:pPr>
      <w:r>
        <w:rPr>
          <w:rFonts w:hint="eastAsia"/>
        </w:rPr>
        <w:t>3.7.3 盖章的具体要求见投标人须知前附表。</w:t>
      </w:r>
    </w:p>
    <w:p>
      <w:pPr>
        <w:pStyle w:val="2"/>
        <w:ind w:left="0" w:firstLine="440" w:firstLineChars="200"/>
      </w:pPr>
      <w:r>
        <w:rPr>
          <w:rFonts w:hint="eastAsia"/>
        </w:rPr>
        <w:t>3.7.4 投标人应提供一份格式正确、内容完整、加密的电子投标文件。电子投标文件应使用“成都市电子投标文件制作系统（2017版）”制作，并通过CA数字证书进行加密，存储为扩展名为CDT的文件。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文件截止时间后，概不补交。</w:t>
      </w:r>
    </w:p>
    <w:p>
      <w:pPr>
        <w:pStyle w:val="5"/>
        <w:numPr>
          <w:ilvl w:val="0"/>
          <w:numId w:val="5"/>
        </w:numPr>
      </w:pPr>
      <w:r>
        <w:rPr>
          <w:rFonts w:hint="eastAsia"/>
        </w:rPr>
        <w:t>投标</w:t>
      </w:r>
    </w:p>
    <w:p>
      <w:pPr>
        <w:pStyle w:val="6"/>
        <w:numPr>
          <w:ilvl w:val="1"/>
          <w:numId w:val="5"/>
        </w:numPr>
      </w:pPr>
      <w:r>
        <w:rPr>
          <w:rFonts w:hint="eastAsia"/>
        </w:rPr>
        <w:t>投标文件的密封和标记</w:t>
      </w:r>
    </w:p>
    <w:p>
      <w:pPr>
        <w:pStyle w:val="2"/>
      </w:pPr>
      <w:r>
        <w:rPr>
          <w:rFonts w:hint="eastAsia"/>
        </w:rPr>
        <w:t>4.1.1 电子投标文件未使用CA数字证书进行加密的，将无法上传至云平台。若投标人投标文件因</w:t>
      </w:r>
    </w:p>
    <w:p>
      <w:pPr>
        <w:pStyle w:val="2"/>
        <w:ind w:left="0"/>
      </w:pPr>
      <w:r>
        <w:rPr>
          <w:rFonts w:hint="eastAsia"/>
        </w:rPr>
        <w:t>密封不严、标志不明、未加密而造成过早启封、失密等情况，招标人及招标代理机构概不负责。投标人自愿提交一张包含相同内容的投标文件光盘以备CA解密失败时使用，光盘应密封完好（包装及密封形式不限）。</w:t>
      </w:r>
    </w:p>
    <w:p>
      <w:pPr>
        <w:pStyle w:val="2"/>
      </w:pPr>
      <w:r>
        <w:rPr>
          <w:rFonts w:hint="eastAsia"/>
        </w:rPr>
        <w:t>4.1.2 投标文件的封套上应写明的内容见投标人须知前附表。</w:t>
      </w:r>
    </w:p>
    <w:p>
      <w:pPr>
        <w:pStyle w:val="6"/>
        <w:numPr>
          <w:ilvl w:val="1"/>
          <w:numId w:val="5"/>
        </w:numPr>
      </w:pPr>
      <w:r>
        <w:rPr>
          <w:rFonts w:hint="eastAsia"/>
        </w:rPr>
        <w:t>投标文件的递交</w:t>
      </w:r>
    </w:p>
    <w:p>
      <w:pPr>
        <w:pStyle w:val="2"/>
      </w:pPr>
      <w:r>
        <w:rPr>
          <w:rFonts w:hint="eastAsia"/>
        </w:rPr>
        <w:t>4.2.1 投标人应在本章第2.2.2 项规定的投标截止时间前递交投标文件。</w:t>
      </w:r>
    </w:p>
    <w:p>
      <w:pPr>
        <w:pStyle w:val="2"/>
      </w:pPr>
      <w:r>
        <w:rPr>
          <w:rFonts w:hint="eastAsia"/>
        </w:rPr>
        <w:t>4.2.2 投标人递交投标文件的地点：见投标人须知前附表。</w:t>
      </w:r>
    </w:p>
    <w:p>
      <w:pPr>
        <w:pStyle w:val="2"/>
      </w:pPr>
      <w:r>
        <w:rPr>
          <w:rFonts w:hint="eastAsia"/>
        </w:rPr>
        <w:t>4.2.3 除投标人须知前附表另有规定外，投标人所递交的投标文件不予退还。</w:t>
      </w:r>
    </w:p>
    <w:p>
      <w:pPr>
        <w:pStyle w:val="2"/>
      </w:pPr>
      <w:r>
        <w:rPr>
          <w:rFonts w:hint="eastAsia"/>
        </w:rPr>
        <w:t>4.2.4 逾期送达的或者未送达指定地点的投标文件，招标人不予受理。</w:t>
      </w:r>
    </w:p>
    <w:p>
      <w:pPr>
        <w:pStyle w:val="6"/>
        <w:numPr>
          <w:ilvl w:val="1"/>
          <w:numId w:val="5"/>
        </w:numPr>
      </w:pPr>
      <w:r>
        <w:rPr>
          <w:rFonts w:hint="eastAsia"/>
        </w:rPr>
        <w:t>投标文件的修改与撤回</w:t>
      </w:r>
    </w:p>
    <w:p>
      <w:pPr>
        <w:pStyle w:val="2"/>
      </w:pPr>
      <w:r>
        <w:rPr>
          <w:rFonts w:hint="eastAsia"/>
        </w:rPr>
        <w:t>4.3.1 在本章第2.2.2项规定的投标截止时间前，投标人可以修改或撤回已递交的投标文件，投标</w:t>
      </w:r>
    </w:p>
    <w:p>
      <w:pPr>
        <w:pStyle w:val="2"/>
        <w:ind w:left="0"/>
      </w:pPr>
      <w:r>
        <w:rPr>
          <w:rFonts w:hint="eastAsia"/>
        </w:rPr>
        <w:t>人投标文件进行撤回的，应在“成都市公共资源电子交易云平台”直接进行撤回操作；投标人对投标文件进行修改的，应在投标文件截止时间前在“成都市公共资源电子交易云平台”撤回原文件后，重新上传修改后并加密的投标文件。</w:t>
      </w:r>
    </w:p>
    <w:p>
      <w:pPr>
        <w:pStyle w:val="2"/>
      </w:pPr>
      <w:r>
        <w:rPr>
          <w:rFonts w:hint="eastAsia"/>
        </w:rPr>
        <w:t>4.3.2 投标人修改或撤回已递交投标文件的书面通知应按照本章第3.7.3项的要求盖章。</w:t>
      </w:r>
    </w:p>
    <w:p>
      <w:pPr>
        <w:pStyle w:val="5"/>
        <w:numPr>
          <w:ilvl w:val="0"/>
          <w:numId w:val="5"/>
        </w:numPr>
      </w:pPr>
      <w:r>
        <w:rPr>
          <w:rFonts w:hint="eastAsia"/>
        </w:rPr>
        <w:t>开标</w:t>
      </w:r>
    </w:p>
    <w:p>
      <w:pPr>
        <w:pStyle w:val="6"/>
        <w:numPr>
          <w:ilvl w:val="1"/>
          <w:numId w:val="5"/>
        </w:numPr>
      </w:pPr>
      <w:r>
        <w:rPr>
          <w:rFonts w:hint="eastAsia"/>
        </w:rPr>
        <w:t>开标时间和地点</w:t>
      </w:r>
    </w:p>
    <w:p>
      <w:pPr>
        <w:pStyle w:val="2"/>
      </w:pPr>
      <w:r>
        <w:rPr>
          <w:rFonts w:hint="eastAsia"/>
        </w:rPr>
        <w:t>招标人在本章第2.2.2 项规定的投标截止时间(开标时间)和投标人须知前附表规定的地点公开开</w:t>
      </w:r>
    </w:p>
    <w:p>
      <w:pPr>
        <w:pStyle w:val="2"/>
        <w:ind w:left="0"/>
      </w:pPr>
      <w:r>
        <w:rPr>
          <w:rFonts w:hint="eastAsia"/>
        </w:rPr>
        <w:t>标，并邀请所有投标人的法定代表人或其委托代理人准时参加。</w:t>
      </w:r>
    </w:p>
    <w:p>
      <w:pPr>
        <w:pStyle w:val="6"/>
        <w:numPr>
          <w:ilvl w:val="1"/>
          <w:numId w:val="5"/>
        </w:numPr>
      </w:pPr>
      <w:bookmarkStart w:id="15" w:name="_Toc179632579"/>
      <w:bookmarkStart w:id="16" w:name="_Toc152042337"/>
      <w:bookmarkStart w:id="17" w:name="_Toc152045561"/>
      <w:bookmarkStart w:id="18" w:name="_Toc144974529"/>
      <w:r>
        <w:rPr>
          <w:rFonts w:hint="eastAsia"/>
        </w:rPr>
        <w:t>开标程序</w:t>
      </w:r>
      <w:bookmarkEnd w:id="15"/>
      <w:bookmarkEnd w:id="16"/>
      <w:bookmarkEnd w:id="17"/>
      <w:bookmarkEnd w:id="18"/>
    </w:p>
    <w:p>
      <w:pPr>
        <w:pStyle w:val="2"/>
      </w:pPr>
      <w:r>
        <w:rPr>
          <w:rFonts w:hint="eastAsia"/>
        </w:rPr>
        <w:t>主持人按下列程序进行开标：</w:t>
      </w:r>
    </w:p>
    <w:p>
      <w:pPr>
        <w:pStyle w:val="2"/>
      </w:pPr>
      <w:r>
        <w:rPr>
          <w:rFonts w:hint="eastAsia"/>
        </w:rPr>
        <w:t>密封情况检查：未按招标文件投标人须知前附表 4.1.1 条要求密封的投 标文件招标人或招标代理</w:t>
      </w:r>
    </w:p>
    <w:p>
      <w:pPr>
        <w:pStyle w:val="2"/>
        <w:ind w:left="0"/>
      </w:pPr>
      <w:r>
        <w:rPr>
          <w:rFonts w:hint="eastAsia"/>
        </w:rPr>
        <w:t xml:space="preserve">机构将予以拒收,开标时各投标人不再对密封 情况进行检查。 </w:t>
      </w:r>
    </w:p>
    <w:p>
      <w:pPr>
        <w:pStyle w:val="2"/>
      </w:pPr>
      <w:r>
        <w:rPr>
          <w:rFonts w:hint="eastAsia"/>
        </w:rPr>
        <w:t>开标程序：</w:t>
      </w:r>
    </w:p>
    <w:p>
      <w:pPr>
        <w:pStyle w:val="2"/>
        <w:numPr>
          <w:ilvl w:val="0"/>
          <w:numId w:val="6"/>
        </w:numPr>
      </w:pPr>
      <w:r>
        <w:rPr>
          <w:rFonts w:hint="eastAsia"/>
        </w:rPr>
        <w:t>从业单位信用等级（得分）评价结果，以云平台当日9时后从成都市工程建设项目招标投标行</w:t>
      </w:r>
    </w:p>
    <w:p>
      <w:pPr>
        <w:pStyle w:val="2"/>
        <w:ind w:left="0"/>
      </w:pPr>
      <w:r>
        <w:rPr>
          <w:rFonts w:hint="eastAsia"/>
        </w:rPr>
        <w:t>政监督平台上获取的结果为准并自动关联到《投标情况公示表》。</w:t>
      </w:r>
    </w:p>
    <w:p>
      <w:pPr>
        <w:pStyle w:val="2"/>
      </w:pPr>
      <w:r>
        <w:rPr>
          <w:rFonts w:hint="eastAsia"/>
        </w:rPr>
        <w:t xml:space="preserve">（2）公示投标人投标情况，招标人确定是否接收标书。 </w:t>
      </w:r>
    </w:p>
    <w:p>
      <w:pPr>
        <w:pStyle w:val="2"/>
      </w:pPr>
      <w:r>
        <w:rPr>
          <w:rFonts w:hint="eastAsia"/>
        </w:rPr>
        <w:t xml:space="preserve">（3）宣布并记录招标人、唱标人、记录人、监督人等有关人员姓名、 单位等信息。 </w:t>
      </w:r>
    </w:p>
    <w:p>
      <w:pPr>
        <w:pStyle w:val="2"/>
      </w:pPr>
      <w:r>
        <w:rPr>
          <w:rFonts w:hint="eastAsia"/>
        </w:rPr>
        <w:t xml:space="preserve">（4）招标人组织投标人代表在现场使用投标人的企业 CA 数字证书解密 投标文件。 </w:t>
      </w:r>
    </w:p>
    <w:p>
      <w:pPr>
        <w:pStyle w:val="2"/>
      </w:pPr>
      <w:r>
        <w:rPr>
          <w:rFonts w:hint="eastAsia"/>
        </w:rPr>
        <w:t>（5）招标人唱标或进行电声唱标完成后，确认开标记录表信息。</w:t>
      </w:r>
    </w:p>
    <w:p>
      <w:pPr>
        <w:pStyle w:val="2"/>
      </w:pPr>
      <w:r>
        <w:rPr>
          <w:rFonts w:hint="eastAsia"/>
        </w:rPr>
        <w:t>（6）招标人打印开标记录表，组织有关人员在开标记录表上签字确认（如投标人未对开标记录表</w:t>
      </w:r>
    </w:p>
    <w:p>
      <w:pPr>
        <w:pStyle w:val="2"/>
        <w:ind w:left="0"/>
      </w:pPr>
      <w:r>
        <w:rPr>
          <w:rFonts w:hint="eastAsia"/>
        </w:rPr>
        <w:t>进行签字确认，则视为对开标程序和结果无 异议）。 注：投标人对开标有异议的，应当在开标现场提出，招标人当场作出答复，并制作记录。</w:t>
      </w:r>
    </w:p>
    <w:p>
      <w:pPr>
        <w:pStyle w:val="2"/>
      </w:pPr>
      <w:r>
        <w:rPr>
          <w:rFonts w:hint="eastAsia"/>
        </w:rPr>
        <w:t>注：解密失败的投标人在投标截止时间以前递交的光盘中的投标文件为准。</w:t>
      </w:r>
    </w:p>
    <w:p>
      <w:pPr>
        <w:pStyle w:val="6"/>
        <w:numPr>
          <w:ilvl w:val="1"/>
          <w:numId w:val="5"/>
        </w:numPr>
      </w:pPr>
      <w:r>
        <w:rPr>
          <w:rFonts w:hint="eastAsia"/>
        </w:rPr>
        <w:t>开标异议</w:t>
      </w:r>
    </w:p>
    <w:p>
      <w:pPr>
        <w:pStyle w:val="2"/>
      </w:pPr>
      <w:r>
        <w:rPr>
          <w:rFonts w:hint="eastAsia"/>
        </w:rPr>
        <w:t>投标人对开标有异议的，应当在开标现场提出，招标人当场作出答复，并制作记录。</w:t>
      </w:r>
    </w:p>
    <w:p>
      <w:pPr>
        <w:pStyle w:val="5"/>
        <w:numPr>
          <w:ilvl w:val="0"/>
          <w:numId w:val="5"/>
        </w:numPr>
      </w:pPr>
      <w:r>
        <w:rPr>
          <w:rFonts w:hint="eastAsia"/>
        </w:rPr>
        <w:t>评标</w:t>
      </w:r>
    </w:p>
    <w:p>
      <w:pPr>
        <w:pStyle w:val="6"/>
        <w:numPr>
          <w:ilvl w:val="1"/>
          <w:numId w:val="5"/>
        </w:numPr>
      </w:pPr>
      <w:r>
        <w:rPr>
          <w:rFonts w:hint="eastAsia"/>
        </w:rPr>
        <w:t>评标委员会</w:t>
      </w:r>
    </w:p>
    <w:p>
      <w:pPr>
        <w:pStyle w:val="2"/>
      </w:pPr>
      <w:r>
        <w:rPr>
          <w:rFonts w:hint="eastAsia"/>
        </w:rPr>
        <w:t>6.1.1 评标由招标人依法组建的评标委员会负责。评标委员会由招标人或其委托的招标代理机构熟</w:t>
      </w:r>
    </w:p>
    <w:p>
      <w:pPr>
        <w:pStyle w:val="2"/>
        <w:ind w:left="0"/>
      </w:pPr>
      <w:r>
        <w:rPr>
          <w:rFonts w:hint="eastAsia"/>
        </w:rPr>
        <w:t>悉相关业务的代表，以及有关技术、经济等方面的专家组成。评标委员会成员人数以及技术、经济等方面专家的确定方式见投标人须知前附表。</w:t>
      </w:r>
    </w:p>
    <w:p>
      <w:pPr>
        <w:pStyle w:val="2"/>
      </w:pPr>
      <w:r>
        <w:rPr>
          <w:rFonts w:hint="eastAsia"/>
        </w:rPr>
        <w:t>6.1.2 评标委员会成员有下列情形之一的，应当回避：</w:t>
      </w:r>
    </w:p>
    <w:p>
      <w:pPr>
        <w:pStyle w:val="2"/>
      </w:pPr>
      <w:r>
        <w:rPr>
          <w:rFonts w:hint="eastAsia"/>
        </w:rPr>
        <w:t>(1)招标人或投标人的主要负责人的近亲属；</w:t>
      </w:r>
    </w:p>
    <w:p>
      <w:pPr>
        <w:pStyle w:val="2"/>
      </w:pPr>
      <w:r>
        <w:rPr>
          <w:rFonts w:hint="eastAsia"/>
        </w:rPr>
        <w:t>(2)项目主管部门或者行政监督部门的人员：</w:t>
      </w:r>
    </w:p>
    <w:p>
      <w:pPr>
        <w:pStyle w:val="2"/>
      </w:pPr>
      <w:r>
        <w:rPr>
          <w:rFonts w:hint="eastAsia"/>
        </w:rPr>
        <w:t>(3)与投标人有经济利益关系，可能影响对投标公正评审的；</w:t>
      </w:r>
    </w:p>
    <w:p>
      <w:pPr>
        <w:pStyle w:val="2"/>
      </w:pPr>
      <w:r>
        <w:rPr>
          <w:rFonts w:hint="eastAsia"/>
        </w:rPr>
        <w:t>(4)曾因在招标、评标以及其他与招标投标有关活动中从事违法行为而受过行政处罚或刑事处罚的。</w:t>
      </w:r>
    </w:p>
    <w:p>
      <w:pPr>
        <w:pStyle w:val="6"/>
        <w:numPr>
          <w:ilvl w:val="1"/>
          <w:numId w:val="5"/>
        </w:numPr>
      </w:pPr>
      <w:r>
        <w:rPr>
          <w:rFonts w:hint="eastAsia"/>
        </w:rPr>
        <w:t>评标原则</w:t>
      </w:r>
    </w:p>
    <w:p>
      <w:pPr>
        <w:pStyle w:val="2"/>
      </w:pPr>
      <w:r>
        <w:rPr>
          <w:rFonts w:hint="eastAsia"/>
        </w:rPr>
        <w:t>评标活动遵循公平、公正、科学和择优的原则</w:t>
      </w:r>
    </w:p>
    <w:p>
      <w:pPr>
        <w:pStyle w:val="6"/>
        <w:numPr>
          <w:ilvl w:val="1"/>
          <w:numId w:val="5"/>
        </w:numPr>
      </w:pPr>
      <w:r>
        <w:rPr>
          <w:rFonts w:hint="eastAsia"/>
        </w:rPr>
        <w:t>评标</w:t>
      </w:r>
    </w:p>
    <w:p>
      <w:pPr>
        <w:pStyle w:val="2"/>
      </w:pPr>
      <w:r>
        <w:rPr>
          <w:rFonts w:hint="eastAsia"/>
        </w:rPr>
        <w:t>评标委员会按照第三章“评标办法”规定的方法、评审因素、标准和程序对投标文件进行评审。第</w:t>
      </w:r>
    </w:p>
    <w:p>
      <w:pPr>
        <w:pStyle w:val="2"/>
        <w:ind w:left="0"/>
      </w:pPr>
      <w:r>
        <w:rPr>
          <w:rFonts w:hint="eastAsia"/>
        </w:rPr>
        <w:t>三章“评标办法”没有规定的方法、评审因素和标准，不作为评标依据。</w:t>
      </w:r>
    </w:p>
    <w:p>
      <w:pPr>
        <w:pStyle w:val="5"/>
        <w:numPr>
          <w:ilvl w:val="0"/>
          <w:numId w:val="5"/>
        </w:numPr>
      </w:pPr>
      <w:bookmarkStart w:id="19" w:name="_Toc18183"/>
      <w:r>
        <w:rPr>
          <w:rFonts w:hint="eastAsia"/>
        </w:rPr>
        <w:t>合同授予</w:t>
      </w:r>
      <w:bookmarkEnd w:id="19"/>
    </w:p>
    <w:p>
      <w:pPr>
        <w:pStyle w:val="6"/>
        <w:numPr>
          <w:ilvl w:val="1"/>
          <w:numId w:val="5"/>
        </w:numPr>
      </w:pPr>
      <w:r>
        <w:rPr>
          <w:rFonts w:hint="eastAsia"/>
        </w:rPr>
        <w:t>定标方式</w:t>
      </w:r>
    </w:p>
    <w:p>
      <w:pPr>
        <w:pStyle w:val="2"/>
      </w:pPr>
      <w:r>
        <w:rPr>
          <w:rFonts w:hint="eastAsia"/>
        </w:rPr>
        <w:t>除投标人须知前附表规定评标委员会直接确定中标人外，招标人依据评标委员会推荐的中标候选人</w:t>
      </w:r>
    </w:p>
    <w:p>
      <w:pPr>
        <w:pStyle w:val="2"/>
        <w:ind w:left="0"/>
      </w:pPr>
      <w:r>
        <w:rPr>
          <w:rFonts w:hint="eastAsia"/>
        </w:rPr>
        <w:t>确定中标人，评标委员会推荐中标候选人的人数见投标人须知前附表。</w:t>
      </w:r>
    </w:p>
    <w:p>
      <w:pPr>
        <w:pStyle w:val="6"/>
        <w:numPr>
          <w:ilvl w:val="1"/>
          <w:numId w:val="5"/>
        </w:numPr>
      </w:pPr>
      <w:r>
        <w:rPr>
          <w:rFonts w:hint="eastAsia"/>
        </w:rPr>
        <w:t>中标候选人公示</w:t>
      </w:r>
    </w:p>
    <w:p>
      <w:pPr>
        <w:pStyle w:val="2"/>
      </w:pPr>
      <w:r>
        <w:rPr>
          <w:rFonts w:hint="eastAsia"/>
        </w:rPr>
        <w:t>招标人在投标人须知前附表规定的媒介公示中标候选人。</w:t>
      </w:r>
    </w:p>
    <w:p>
      <w:pPr>
        <w:pStyle w:val="6"/>
        <w:numPr>
          <w:ilvl w:val="1"/>
          <w:numId w:val="5"/>
        </w:numPr>
      </w:pPr>
      <w:r>
        <w:rPr>
          <w:rFonts w:hint="eastAsia"/>
        </w:rPr>
        <w:t>中标通知</w:t>
      </w:r>
    </w:p>
    <w:p>
      <w:pPr>
        <w:pStyle w:val="2"/>
      </w:pPr>
      <w:r>
        <w:rPr>
          <w:rFonts w:hint="eastAsia"/>
        </w:rPr>
        <w:t>在本章第3.3 款规定的投标有效期内，招标人以书面形式向中标人发出中标通知书，同时将中标结</w:t>
      </w:r>
    </w:p>
    <w:p>
      <w:pPr>
        <w:pStyle w:val="2"/>
        <w:ind w:left="0"/>
      </w:pPr>
      <w:r>
        <w:rPr>
          <w:rFonts w:hint="eastAsia"/>
        </w:rPr>
        <w:t>果通知未中标的投标人。</w:t>
      </w:r>
    </w:p>
    <w:p>
      <w:pPr>
        <w:pStyle w:val="6"/>
        <w:numPr>
          <w:ilvl w:val="1"/>
          <w:numId w:val="5"/>
        </w:numPr>
      </w:pPr>
      <w:r>
        <w:rPr>
          <w:rFonts w:hint="eastAsia"/>
        </w:rPr>
        <w:t>履约担保</w:t>
      </w:r>
    </w:p>
    <w:p>
      <w:pPr>
        <w:pStyle w:val="2"/>
      </w:pPr>
      <w:r>
        <w:rPr>
          <w:rFonts w:hint="eastAsia"/>
        </w:rPr>
        <w:t>7.4.1 在签订合同前，中标人应按投标人须知前附表规定的金额、担保形式和招标文件第四章“合</w:t>
      </w:r>
    </w:p>
    <w:p>
      <w:pPr>
        <w:pStyle w:val="2"/>
        <w:ind w:left="0"/>
      </w:pPr>
      <w:r>
        <w:rPr>
          <w:rFonts w:hint="eastAsia"/>
        </w:rPr>
        <w:t>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pPr>
        <w:pStyle w:val="2"/>
      </w:pPr>
      <w:r>
        <w:rPr>
          <w:rFonts w:hint="eastAsia"/>
        </w:rPr>
        <w:t>7.4.2 中标人不能按本章第7.4.1 项要求提交履约担保的，视为放弃中标，其投标保证金不予退还，</w:t>
      </w:r>
    </w:p>
    <w:p>
      <w:pPr>
        <w:pStyle w:val="2"/>
        <w:ind w:left="0"/>
      </w:pPr>
      <w:r>
        <w:rPr>
          <w:rFonts w:hint="eastAsia"/>
        </w:rPr>
        <w:t>给招标人造成的损失超过投标保证金数额的，中标人还应当对超过部分予以赔偿。</w:t>
      </w:r>
    </w:p>
    <w:p>
      <w:pPr>
        <w:pStyle w:val="6"/>
        <w:numPr>
          <w:ilvl w:val="1"/>
          <w:numId w:val="5"/>
        </w:numPr>
      </w:pPr>
      <w:r>
        <w:rPr>
          <w:rFonts w:hint="eastAsia"/>
        </w:rPr>
        <w:t>签订合同</w:t>
      </w:r>
    </w:p>
    <w:p>
      <w:pPr>
        <w:pStyle w:val="2"/>
      </w:pPr>
      <w:r>
        <w:rPr>
          <w:rFonts w:hint="eastAsia"/>
        </w:rPr>
        <w:t>7.5.1 招标人和中标人应当自中标通知书发出之日起30天内，根据招标文件和中标人的投标文件</w:t>
      </w:r>
    </w:p>
    <w:p>
      <w:pPr>
        <w:pStyle w:val="2"/>
        <w:ind w:left="0"/>
      </w:pPr>
      <w:r>
        <w:rPr>
          <w:rFonts w:hint="eastAsia"/>
        </w:rPr>
        <w:t>订立书面合同。中标人无正当理由拒签合同的，招标人取消其中标资格，其投标保证金不予退还；给招标人造成的损失超过投标保证金数额的，中标人还应当对超过部分予以赔偿。</w:t>
      </w:r>
    </w:p>
    <w:p>
      <w:pPr>
        <w:pStyle w:val="2"/>
      </w:pPr>
      <w:r>
        <w:rPr>
          <w:rFonts w:hint="eastAsia"/>
        </w:rPr>
        <w:t>7.5.2 发出中标通知书后，招标人无正当理由拒签合同的，招标人向中标人退还投标保证金；给中</w:t>
      </w:r>
    </w:p>
    <w:p>
      <w:pPr>
        <w:pStyle w:val="2"/>
        <w:ind w:left="0"/>
      </w:pPr>
      <w:r>
        <w:rPr>
          <w:rFonts w:hint="eastAsia"/>
        </w:rPr>
        <w:t>标人造成损失的，还应当赔偿损失。</w:t>
      </w:r>
    </w:p>
    <w:p>
      <w:pPr>
        <w:pStyle w:val="5"/>
        <w:numPr>
          <w:ilvl w:val="0"/>
          <w:numId w:val="5"/>
        </w:numPr>
      </w:pPr>
      <w:bookmarkStart w:id="20" w:name="_Toc152042347"/>
      <w:bookmarkStart w:id="21" w:name="_Toc179632589"/>
      <w:bookmarkStart w:id="22" w:name="_Toc144974539"/>
      <w:bookmarkStart w:id="23" w:name="_Toc152045571"/>
      <w:r>
        <w:rPr>
          <w:rFonts w:hint="eastAsia"/>
        </w:rPr>
        <w:t>重新招标和不再招标</w:t>
      </w:r>
      <w:bookmarkEnd w:id="20"/>
      <w:bookmarkEnd w:id="21"/>
      <w:bookmarkEnd w:id="22"/>
      <w:bookmarkEnd w:id="23"/>
    </w:p>
    <w:p>
      <w:pPr>
        <w:pStyle w:val="6"/>
        <w:numPr>
          <w:ilvl w:val="1"/>
          <w:numId w:val="5"/>
        </w:numPr>
      </w:pPr>
      <w:bookmarkStart w:id="24" w:name="_Toc152042348"/>
      <w:bookmarkStart w:id="25" w:name="_Toc152045572"/>
      <w:bookmarkStart w:id="26" w:name="_Toc179632590"/>
      <w:bookmarkStart w:id="27" w:name="_Toc144974540"/>
      <w:r>
        <w:rPr>
          <w:rFonts w:hint="eastAsia"/>
        </w:rPr>
        <w:t>重新招标</w:t>
      </w:r>
      <w:bookmarkEnd w:id="24"/>
      <w:bookmarkEnd w:id="25"/>
      <w:bookmarkEnd w:id="26"/>
      <w:bookmarkEnd w:id="27"/>
    </w:p>
    <w:p>
      <w:pPr>
        <w:pStyle w:val="2"/>
      </w:pPr>
      <w:r>
        <w:rPr>
          <w:rFonts w:hint="eastAsia"/>
        </w:rPr>
        <w:t>有下列情形之一的，招标人将重新招标：</w:t>
      </w:r>
    </w:p>
    <w:p>
      <w:pPr>
        <w:pStyle w:val="2"/>
      </w:pPr>
      <w:r>
        <w:rPr>
          <w:rFonts w:hint="eastAsia"/>
        </w:rPr>
        <w:t>（1）投标截止时间止，投标人少于3个的；</w:t>
      </w:r>
    </w:p>
    <w:p>
      <w:pPr>
        <w:pStyle w:val="2"/>
      </w:pPr>
      <w:r>
        <w:rPr>
          <w:rFonts w:hint="eastAsia"/>
        </w:rPr>
        <w:t>（2）经评标委员会评审后否决所有投标的。</w:t>
      </w:r>
    </w:p>
    <w:p>
      <w:pPr>
        <w:pStyle w:val="6"/>
        <w:numPr>
          <w:ilvl w:val="1"/>
          <w:numId w:val="5"/>
        </w:numPr>
      </w:pPr>
      <w:bookmarkStart w:id="28" w:name="_Toc152042349"/>
      <w:bookmarkStart w:id="29" w:name="_Toc179632591"/>
      <w:bookmarkStart w:id="30" w:name="_Toc152045573"/>
      <w:bookmarkStart w:id="31" w:name="_Toc144974541"/>
      <w:r>
        <w:rPr>
          <w:rFonts w:hint="eastAsia"/>
        </w:rPr>
        <w:t>不再招标</w:t>
      </w:r>
      <w:bookmarkEnd w:id="28"/>
      <w:bookmarkEnd w:id="29"/>
      <w:bookmarkEnd w:id="30"/>
      <w:bookmarkEnd w:id="31"/>
    </w:p>
    <w:p>
      <w:pPr>
        <w:pStyle w:val="2"/>
      </w:pPr>
      <w:r>
        <w:rPr>
          <w:rFonts w:hint="eastAsia"/>
        </w:rPr>
        <w:t>重新招标后投标人仍少于3 个或者所有投标被否决的，属于必须审批或核准的工程建设项目，经原</w:t>
      </w:r>
    </w:p>
    <w:p>
      <w:pPr>
        <w:pStyle w:val="2"/>
        <w:ind w:left="0"/>
      </w:pPr>
      <w:r>
        <w:rPr>
          <w:rFonts w:hint="eastAsia"/>
        </w:rPr>
        <w:t>审批或核准部门批准后不再进行招标。</w:t>
      </w:r>
    </w:p>
    <w:p>
      <w:pPr>
        <w:pStyle w:val="5"/>
        <w:numPr>
          <w:ilvl w:val="0"/>
          <w:numId w:val="5"/>
        </w:numPr>
      </w:pPr>
      <w:bookmarkStart w:id="32" w:name="_Toc10091"/>
      <w:r>
        <w:rPr>
          <w:rFonts w:hint="eastAsia"/>
        </w:rPr>
        <w:t>纪律和监督</w:t>
      </w:r>
      <w:bookmarkEnd w:id="32"/>
    </w:p>
    <w:p>
      <w:pPr>
        <w:pStyle w:val="6"/>
        <w:numPr>
          <w:ilvl w:val="1"/>
          <w:numId w:val="5"/>
        </w:numPr>
      </w:pPr>
      <w:r>
        <w:rPr>
          <w:rFonts w:hint="eastAsia"/>
        </w:rPr>
        <w:t>对招标人的纪律要求</w:t>
      </w:r>
    </w:p>
    <w:p>
      <w:pPr>
        <w:pStyle w:val="2"/>
      </w:pPr>
      <w:r>
        <w:rPr>
          <w:rFonts w:hint="eastAsia"/>
        </w:rPr>
        <w:t>招标人不得泄漏招标投标活动中应当保密的情况和资料，不得与投标人串通损害国家利益、社会公</w:t>
      </w:r>
    </w:p>
    <w:p>
      <w:pPr>
        <w:pStyle w:val="2"/>
        <w:ind w:left="0"/>
      </w:pPr>
      <w:r>
        <w:rPr>
          <w:rFonts w:hint="eastAsia"/>
        </w:rPr>
        <w:t>共利益或者他人合法权益。</w:t>
      </w:r>
    </w:p>
    <w:p>
      <w:pPr>
        <w:pStyle w:val="6"/>
        <w:numPr>
          <w:ilvl w:val="1"/>
          <w:numId w:val="5"/>
        </w:numPr>
      </w:pPr>
      <w:r>
        <w:rPr>
          <w:rFonts w:hint="eastAsia"/>
        </w:rPr>
        <w:t>对投标人的纪律要求</w:t>
      </w:r>
    </w:p>
    <w:p>
      <w:pPr>
        <w:pStyle w:val="2"/>
      </w:pPr>
      <w:r>
        <w:rPr>
          <w:rFonts w:hint="eastAsia"/>
        </w:rPr>
        <w:t>投标人不得相互串通投标或者与招标人串通投标，不得向招标人或者评标委员会成员行贿谋取中标，</w:t>
      </w:r>
    </w:p>
    <w:p>
      <w:pPr>
        <w:pStyle w:val="2"/>
        <w:ind w:left="0"/>
      </w:pPr>
      <w:r>
        <w:rPr>
          <w:rFonts w:hint="eastAsia"/>
        </w:rPr>
        <w:t>不得以他人名义投标或者以其他方式弄虚作假骗取中标；投标人不得以任何方式干扰、影响评标工作。</w:t>
      </w:r>
    </w:p>
    <w:p>
      <w:pPr>
        <w:pStyle w:val="6"/>
        <w:numPr>
          <w:ilvl w:val="1"/>
          <w:numId w:val="5"/>
        </w:numPr>
      </w:pPr>
      <w:r>
        <w:rPr>
          <w:rFonts w:hint="eastAsia"/>
        </w:rPr>
        <w:t>对评标委员会成员的纪律要求</w:t>
      </w:r>
    </w:p>
    <w:p>
      <w:pPr>
        <w:pStyle w:val="2"/>
      </w:pPr>
      <w:r>
        <w:rPr>
          <w:rFonts w:hint="eastAsia"/>
        </w:rPr>
        <w:t>评标委员会成员不得收受他人的财物或者其他好处，不得向他人透漏对投标文件的评审和比较、中</w:t>
      </w:r>
    </w:p>
    <w:p>
      <w:pPr>
        <w:pStyle w:val="2"/>
        <w:ind w:left="0"/>
      </w:pPr>
      <w:r>
        <w:rPr>
          <w:rFonts w:hint="eastAsia"/>
        </w:rPr>
        <w:t>标候选人的推荐情况以及评标有关的其他情况。在评标活动中，评标委员会成员不得擅离职守，影响评标程序正常进行，不得使用第三章“评标办法”没有规定的评审因素和标准进行评标。</w:t>
      </w:r>
    </w:p>
    <w:p>
      <w:pPr>
        <w:pStyle w:val="6"/>
        <w:numPr>
          <w:ilvl w:val="1"/>
          <w:numId w:val="5"/>
        </w:numPr>
      </w:pPr>
      <w:r>
        <w:rPr>
          <w:rFonts w:hint="eastAsia"/>
        </w:rPr>
        <w:t>对与评标活动有关的工作人员的纪律要求</w:t>
      </w:r>
    </w:p>
    <w:p>
      <w:pPr>
        <w:pStyle w:val="2"/>
      </w:pPr>
      <w:r>
        <w:rPr>
          <w:rFonts w:hint="eastAsia"/>
        </w:rPr>
        <w:t>与评标活动有关的工作人员不得收受他人的财物或者其他好处，不得向他人透漏对投标文件的评审</w:t>
      </w:r>
    </w:p>
    <w:p>
      <w:pPr>
        <w:pStyle w:val="2"/>
        <w:ind w:left="0"/>
      </w:pPr>
      <w:r>
        <w:rPr>
          <w:rFonts w:hint="eastAsia"/>
        </w:rPr>
        <w:t>和比较、中标候选人的推荐情况以及评标有关的其他情况。在评标活动中，与评标活动有关的工作人员不得擅离职守，影响评标程序正常进行。</w:t>
      </w:r>
    </w:p>
    <w:p>
      <w:pPr>
        <w:pStyle w:val="6"/>
        <w:numPr>
          <w:ilvl w:val="1"/>
          <w:numId w:val="5"/>
        </w:numPr>
      </w:pPr>
      <w:r>
        <w:rPr>
          <w:rFonts w:hint="eastAsia"/>
        </w:rPr>
        <w:t>投诉</w:t>
      </w:r>
    </w:p>
    <w:p>
      <w:pPr>
        <w:pStyle w:val="2"/>
      </w:pPr>
      <w:r>
        <w:rPr>
          <w:rFonts w:hint="eastAsia"/>
        </w:rPr>
        <w:t>投标人和其他利害关系人认为本次招标活动违反法律、法规和规章规定的，有权向有关行政监督部</w:t>
      </w:r>
    </w:p>
    <w:p>
      <w:pPr>
        <w:pStyle w:val="2"/>
        <w:ind w:left="0"/>
      </w:pPr>
      <w:r>
        <w:rPr>
          <w:rFonts w:hint="eastAsia"/>
        </w:rPr>
        <w:t>门投诉。</w:t>
      </w:r>
    </w:p>
    <w:p>
      <w:pPr>
        <w:pStyle w:val="5"/>
        <w:numPr>
          <w:ilvl w:val="0"/>
          <w:numId w:val="5"/>
        </w:numPr>
      </w:pPr>
      <w:bookmarkStart w:id="33" w:name="_Toc31106"/>
      <w:r>
        <w:rPr>
          <w:rFonts w:hint="eastAsia"/>
        </w:rPr>
        <w:t>需要补充的其他内容</w:t>
      </w:r>
      <w:bookmarkEnd w:id="33"/>
    </w:p>
    <w:p>
      <w:pPr>
        <w:pStyle w:val="2"/>
      </w:pPr>
      <w:r>
        <w:rPr>
          <w:rFonts w:hint="eastAsia"/>
        </w:rPr>
        <w:t>需要补充的其他内容：见投标人须知前附表。</w:t>
      </w:r>
      <w:r>
        <w:rPr>
          <w:rFonts w:hint="eastAsia"/>
        </w:rPr>
        <w:br w:type="page"/>
      </w:r>
    </w:p>
    <w:p>
      <w:pPr>
        <w:pStyle w:val="5"/>
      </w:pPr>
      <w:r>
        <w:rPr>
          <w:rFonts w:hint="eastAsia"/>
        </w:rPr>
        <w:t>附表一：串通投标行为认定表</w:t>
      </w:r>
    </w:p>
    <w:p>
      <w:pPr>
        <w:pStyle w:val="2"/>
        <w:ind w:left="0"/>
        <w:jc w:val="center"/>
        <w:rPr>
          <w:b/>
          <w:bCs/>
          <w:sz w:val="30"/>
          <w:szCs w:val="30"/>
        </w:rPr>
      </w:pPr>
      <w:r>
        <w:rPr>
          <w:rFonts w:hint="eastAsia"/>
          <w:b/>
          <w:bCs/>
          <w:sz w:val="30"/>
          <w:szCs w:val="30"/>
        </w:rPr>
        <w:t>串通投标行为认定表</w:t>
      </w:r>
    </w:p>
    <w:p>
      <w:pPr>
        <w:pStyle w:val="2"/>
      </w:pPr>
    </w:p>
    <w:p>
      <w:pPr>
        <w:pStyle w:val="2"/>
      </w:pPr>
      <w:r>
        <w:rPr>
          <w:rFonts w:hint="eastAsia"/>
        </w:rPr>
        <w:t>在评标过程中，是否发现有投标人存在以下情形：</w:t>
      </w:r>
    </w:p>
    <w:p>
      <w:pPr>
        <w:pStyle w:val="2"/>
        <w:numPr>
          <w:ilvl w:val="0"/>
          <w:numId w:val="7"/>
        </w:numPr>
      </w:pPr>
      <w:r>
        <w:rPr>
          <w:rFonts w:hint="eastAsia"/>
        </w:rPr>
        <w:t>不同投标人的投标文件内容存在非正常一致；</w:t>
      </w:r>
    </w:p>
    <w:p>
      <w:pPr>
        <w:pStyle w:val="2"/>
        <w:numPr>
          <w:ilvl w:val="0"/>
          <w:numId w:val="7"/>
        </w:numPr>
      </w:pPr>
      <w:r>
        <w:rPr>
          <w:rFonts w:hint="eastAsia"/>
        </w:rPr>
        <w:t>不同投标人的投标文件错漏之处一致；</w:t>
      </w:r>
    </w:p>
    <w:p>
      <w:pPr>
        <w:pStyle w:val="2"/>
        <w:numPr>
          <w:ilvl w:val="0"/>
          <w:numId w:val="7"/>
        </w:numPr>
      </w:pPr>
      <w:r>
        <w:rPr>
          <w:rFonts w:hint="eastAsia"/>
        </w:rPr>
        <w:t>不同投标人的投标文件异常一致或者投标报价呈规律性差异；</w:t>
      </w:r>
    </w:p>
    <w:p>
      <w:pPr>
        <w:pStyle w:val="2"/>
        <w:numPr>
          <w:ilvl w:val="0"/>
          <w:numId w:val="7"/>
        </w:numPr>
      </w:pPr>
      <w:r>
        <w:rPr>
          <w:rFonts w:hint="eastAsia"/>
        </w:rPr>
        <w:t>不同投标人的投标文件由同一单位或者同一个人编制；</w:t>
      </w:r>
    </w:p>
    <w:p>
      <w:pPr>
        <w:pStyle w:val="2"/>
        <w:numPr>
          <w:ilvl w:val="0"/>
          <w:numId w:val="7"/>
        </w:numPr>
      </w:pPr>
      <w:r>
        <w:rPr>
          <w:rFonts w:hint="eastAsia"/>
        </w:rPr>
        <w:t>不同投标人的投标文件载明的项目管理班子成员出现同一人；</w:t>
      </w:r>
    </w:p>
    <w:p>
      <w:pPr>
        <w:pStyle w:val="2"/>
        <w:numPr>
          <w:ilvl w:val="0"/>
          <w:numId w:val="7"/>
        </w:numPr>
      </w:pPr>
      <w:r>
        <w:rPr>
          <w:rFonts w:hint="eastAsia"/>
        </w:rPr>
        <w:t>不同投标人的投标文件相互混装；</w:t>
      </w:r>
    </w:p>
    <w:p>
      <w:pPr>
        <w:pStyle w:val="2"/>
        <w:numPr>
          <w:ilvl w:val="0"/>
          <w:numId w:val="7"/>
        </w:numPr>
      </w:pPr>
      <w:r>
        <w:rPr>
          <w:rFonts w:hint="eastAsia"/>
        </w:rPr>
        <w:t>不同投标人的投标文件由同一台电脑编制(即机器码相同)；</w:t>
      </w:r>
    </w:p>
    <w:p>
      <w:pPr>
        <w:pStyle w:val="2"/>
        <w:numPr>
          <w:ilvl w:val="0"/>
          <w:numId w:val="7"/>
        </w:numPr>
      </w:pPr>
      <w:r>
        <w:rPr>
          <w:rFonts w:hint="eastAsia"/>
        </w:rPr>
        <w:t>不同投标人委托同一单位或者个人办理投标事宜；</w:t>
      </w:r>
    </w:p>
    <w:p>
      <w:pPr>
        <w:pStyle w:val="2"/>
        <w:numPr>
          <w:ilvl w:val="0"/>
          <w:numId w:val="7"/>
        </w:numPr>
      </w:pPr>
      <w:r>
        <w:rPr>
          <w:rFonts w:hint="eastAsia"/>
        </w:rPr>
        <w:t>不同投标人的投标保证金从同一单位或者个人的账户转出；</w:t>
      </w:r>
    </w:p>
    <w:p>
      <w:pPr>
        <w:pStyle w:val="2"/>
        <w:numPr>
          <w:ilvl w:val="3"/>
          <w:numId w:val="0"/>
        </w:numPr>
        <w:ind w:left="440" w:leftChars="200"/>
      </w:pPr>
      <w:r>
        <w:rPr>
          <w:rFonts w:hint="eastAsia"/>
        </w:rPr>
        <w:t>10. 不同投标人聘请同一人为其投标提供技术或者经济咨询服务，但招投标项目本身要求采用专有技术的除外；</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pStyle w:val="2"/>
              <w:ind w:left="0"/>
              <w:jc w:val="center"/>
            </w:pPr>
            <w:r>
              <w:rPr>
                <w:rFonts w:hint="eastAsia"/>
              </w:rPr>
              <w:t>有</w:t>
            </w:r>
          </w:p>
        </w:tc>
        <w:tc>
          <w:tcPr>
            <w:tcW w:w="4261" w:type="dxa"/>
            <w:shd w:val="clear" w:color="auto" w:fill="auto"/>
          </w:tcPr>
          <w:p>
            <w:pPr>
              <w:pStyle w:val="2"/>
              <w:ind w:left="0"/>
              <w:jc w:val="center"/>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spacing w:line="400" w:lineRule="exact"/>
              <w:rPr>
                <w:rFonts w:asciiTheme="minorEastAsia" w:hAnsiTheme="minorEastAsia"/>
                <w:sz w:val="28"/>
                <w:szCs w:val="28"/>
              </w:rPr>
            </w:pPr>
          </w:p>
        </w:tc>
        <w:tc>
          <w:tcPr>
            <w:tcW w:w="4261" w:type="dxa"/>
            <w:shd w:val="clear" w:color="auto" w:fill="auto"/>
          </w:tcPr>
          <w:p>
            <w:pPr>
              <w:spacing w:line="400" w:lineRule="exact"/>
              <w:rPr>
                <w:rFonts w:asciiTheme="minorEastAsia" w:hAnsiTheme="minorEastAsia"/>
                <w:sz w:val="28"/>
                <w:szCs w:val="28"/>
              </w:rPr>
            </w:pPr>
          </w:p>
        </w:tc>
      </w:tr>
    </w:tbl>
    <w:p>
      <w:pPr>
        <w:pStyle w:val="2"/>
      </w:pPr>
    </w:p>
    <w:p>
      <w:pPr>
        <w:pStyle w:val="2"/>
        <w:rPr>
          <w:rFonts w:asciiTheme="minorEastAsia" w:hAnsiTheme="minorEastAsia" w:eastAsiaTheme="minorEastAsia"/>
        </w:rPr>
      </w:pPr>
      <w:r>
        <w:rPr>
          <w:rFonts w:hint="eastAsia" w:asciiTheme="minorEastAsia" w:hAnsiTheme="minorEastAsia" w:eastAsiaTheme="minorEastAsia"/>
        </w:rPr>
        <w:t>评标专家签字：</w:t>
      </w:r>
    </w:p>
    <w:p>
      <w:pPr>
        <w:pStyle w:val="2"/>
        <w:rPr>
          <w:rFonts w:asciiTheme="minorEastAsia" w:hAnsiTheme="minorEastAsia" w:eastAsiaTheme="minorEastAsia"/>
        </w:rPr>
      </w:pPr>
    </w:p>
    <w:p>
      <w:pPr>
        <w:pStyle w:val="2"/>
        <w:rPr>
          <w:rFonts w:asciiTheme="minorEastAsia" w:hAnsiTheme="minorEastAsia" w:eastAsiaTheme="minorEastAsia"/>
        </w:rPr>
      </w:pPr>
      <w:r>
        <w:rPr>
          <w:rFonts w:hint="eastAsia" w:asciiTheme="minorEastAsia" w:hAnsiTheme="minorEastAsia" w:eastAsiaTheme="minorEastAsia"/>
        </w:rPr>
        <w:t>说明：本认定书为评标报告组成部分，请评标委员会根据投标文件如实在 “无”或“有”处打“√”，并签字确认，作为评标报告一部分。如“有”请填写附表二说明具体情况并附在评标报告中，如“无”则无需填写附表二。有以上情形之一的，应认定为串通投标。若评标委员会发现投标人在投标过程中有串标、围标行为的，应及时以书面形式向行政监管部门报告。</w:t>
      </w:r>
    </w:p>
    <w:p>
      <w:pPr>
        <w:rPr>
          <w:rFonts w:asciiTheme="minorEastAsia" w:hAnsiTheme="minorEastAsia" w:eastAsiaTheme="minorEastAsia"/>
        </w:rPr>
      </w:pPr>
      <w:r>
        <w:rPr>
          <w:rFonts w:hint="eastAsia" w:asciiTheme="minorEastAsia" w:hAnsiTheme="minorEastAsia" w:eastAsiaTheme="minorEastAsia"/>
        </w:rPr>
        <w:br w:type="page"/>
      </w:r>
    </w:p>
    <w:p>
      <w:pPr>
        <w:pStyle w:val="5"/>
      </w:pPr>
      <w:r>
        <w:rPr>
          <w:rFonts w:hint="eastAsia"/>
        </w:rPr>
        <w:t>附表二：串通投标行为认定表</w:t>
      </w:r>
    </w:p>
    <w:p>
      <w:pPr>
        <w:pStyle w:val="2"/>
        <w:ind w:left="0"/>
        <w:jc w:val="center"/>
        <w:rPr>
          <w:b/>
          <w:bCs/>
          <w:sz w:val="30"/>
          <w:szCs w:val="30"/>
        </w:rPr>
      </w:pPr>
      <w:r>
        <w:rPr>
          <w:rFonts w:hint="eastAsia"/>
          <w:b/>
          <w:bCs/>
          <w:sz w:val="30"/>
          <w:szCs w:val="30"/>
        </w:rPr>
        <w:t>串通投标行为认定表</w:t>
      </w:r>
    </w:p>
    <w:p>
      <w:pPr>
        <w:pStyle w:val="2"/>
        <w:ind w:left="0"/>
        <w:jc w:val="center"/>
        <w:rPr>
          <w:rFonts w:asciiTheme="minorEastAsia" w:hAnsiTheme="minorEastAsia" w:eastAsiaTheme="minorEastAsia"/>
          <w:b/>
          <w:bCs/>
        </w:rPr>
      </w:pPr>
    </w:p>
    <w:tbl>
      <w:tblPr>
        <w:tblStyle w:val="15"/>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1"/>
        <w:gridCol w:w="7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标段名称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投标人名称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4" w:hRule="atLeast"/>
          <w:jc w:val="center"/>
        </w:trPr>
        <w:tc>
          <w:tcPr>
            <w:tcW w:w="2351" w:type="dxa"/>
            <w:shd w:val="clear" w:color="auto" w:fill="auto"/>
            <w:vAlign w:val="center"/>
          </w:tcPr>
          <w:p>
            <w:pPr>
              <w:pStyle w:val="2"/>
              <w:ind w:left="0"/>
              <w:jc w:val="center"/>
            </w:pPr>
            <w:r>
              <w:rPr>
                <w:rFonts w:hint="eastAsia"/>
              </w:rPr>
              <w:t>对串通投标行为的具体描述</w:t>
            </w:r>
          </w:p>
        </w:tc>
        <w:tc>
          <w:tcPr>
            <w:tcW w:w="7554" w:type="dxa"/>
            <w:shd w:val="clear" w:color="auto" w:fill="auto"/>
            <w:vAlign w:val="center"/>
          </w:tcPr>
          <w:p>
            <w:pPr>
              <w:jc w:val="center"/>
              <w:rPr>
                <w:rFonts w:asciiTheme="minorEastAsia" w:hAnsiTheme="minorEastAsia"/>
                <w:szCs w:val="21"/>
              </w:rPr>
            </w:pPr>
          </w:p>
        </w:tc>
      </w:tr>
    </w:tbl>
    <w:p>
      <w:pPr>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440" w:leftChars="200"/>
        <w:jc w:val="both"/>
        <w:rPr>
          <w:rFonts w:asciiTheme="minorEastAsia" w:hAnsiTheme="minorEastAsia" w:eastAsiaTheme="minorEastAsia"/>
        </w:rPr>
      </w:pPr>
      <w:r>
        <w:rPr>
          <w:rFonts w:hint="eastAsia" w:asciiTheme="minorEastAsia" w:hAnsiTheme="minorEastAsia" w:eastAsiaTheme="minorEastAsia"/>
        </w:rPr>
        <w:t>评标专家签字：</w:t>
      </w:r>
    </w:p>
    <w:p>
      <w:pPr>
        <w:rPr>
          <w:rFonts w:asciiTheme="minorEastAsia" w:hAnsiTheme="minorEastAsia" w:eastAsiaTheme="minorEastAsia"/>
        </w:rPr>
      </w:pPr>
      <w:r>
        <w:rPr>
          <w:rFonts w:hint="eastAsia" w:asciiTheme="minorEastAsia" w:hAnsiTheme="minorEastAsia" w:eastAsiaTheme="minorEastAsia"/>
        </w:rPr>
        <w:br w:type="page"/>
      </w:r>
    </w:p>
    <w:p>
      <w:pPr>
        <w:pStyle w:val="5"/>
      </w:pPr>
      <w:r>
        <w:rPr>
          <w:rFonts w:hint="eastAsia"/>
        </w:rPr>
        <w:t>附表三：否决投标通知书</w:t>
      </w:r>
    </w:p>
    <w:p>
      <w:pPr>
        <w:pStyle w:val="2"/>
        <w:ind w:left="0"/>
        <w:jc w:val="center"/>
        <w:rPr>
          <w:b/>
          <w:bCs/>
          <w:sz w:val="30"/>
          <w:szCs w:val="30"/>
        </w:rPr>
      </w:pPr>
      <w:r>
        <w:rPr>
          <w:rFonts w:hint="eastAsia"/>
          <w:b/>
          <w:bCs/>
          <w:sz w:val="30"/>
          <w:szCs w:val="30"/>
        </w:rPr>
        <w:t>否决投标通知书</w:t>
      </w:r>
    </w:p>
    <w:p>
      <w:pPr>
        <w:pStyle w:val="2"/>
        <w:ind w:left="0"/>
        <w:jc w:val="center"/>
        <w:rPr>
          <w:b/>
          <w:bCs/>
        </w:rPr>
      </w:pPr>
    </w:p>
    <w:p>
      <w:pPr>
        <w:pStyle w:val="2"/>
        <w:ind w:left="0"/>
        <w:jc w:val="both"/>
      </w:pPr>
      <w:r>
        <w:rPr>
          <w:rFonts w:hint="eastAsia"/>
        </w:rPr>
        <w:t>标段名称：</w:t>
      </w:r>
    </w:p>
    <w:tbl>
      <w:tblPr>
        <w:tblStyle w:val="15"/>
        <w:tblW w:w="9858" w:type="dxa"/>
        <w:jc w:val="center"/>
        <w:tblLayout w:type="fixed"/>
        <w:tblCellMar>
          <w:top w:w="0" w:type="dxa"/>
          <w:left w:w="108" w:type="dxa"/>
          <w:bottom w:w="0" w:type="dxa"/>
          <w:right w:w="108" w:type="dxa"/>
        </w:tblCellMar>
      </w:tblPr>
      <w:tblGrid>
        <w:gridCol w:w="2012"/>
        <w:gridCol w:w="7846"/>
      </w:tblGrid>
      <w:tr>
        <w:tblPrEx>
          <w:tblCellMar>
            <w:top w:w="0" w:type="dxa"/>
            <w:left w:w="108" w:type="dxa"/>
            <w:bottom w:w="0" w:type="dxa"/>
            <w:right w:w="108" w:type="dxa"/>
          </w:tblCellMar>
        </w:tblPrEx>
        <w:trPr>
          <w:trHeight w:val="529" w:hRule="atLeast"/>
          <w:jc w:val="center"/>
        </w:trPr>
        <w:tc>
          <w:tcPr>
            <w:tcW w:w="9858"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pStyle w:val="2"/>
              <w:ind w:left="0"/>
            </w:pPr>
            <w:r>
              <w:rPr>
                <w:rFonts w:hint="eastAsia"/>
              </w:rPr>
              <w:t>投标人：</w:t>
            </w:r>
          </w:p>
        </w:tc>
      </w:tr>
      <w:tr>
        <w:trPr>
          <w:trHeight w:val="5007" w:hRule="atLeast"/>
          <w:jc w:val="center"/>
        </w:trPr>
        <w:tc>
          <w:tcPr>
            <w:tcW w:w="2012" w:type="dxa"/>
            <w:tcBorders>
              <w:top w:val="single" w:color="auto" w:sz="4" w:space="0"/>
              <w:left w:val="single" w:color="auto" w:sz="4" w:space="0"/>
              <w:bottom w:val="single" w:color="000000" w:sz="4" w:space="0"/>
              <w:right w:val="single" w:color="auto" w:sz="4" w:space="0"/>
            </w:tcBorders>
            <w:shd w:val="clear" w:color="auto" w:fill="auto"/>
            <w:noWrap/>
            <w:textDirection w:val="tbRlV"/>
            <w:vAlign w:val="center"/>
          </w:tcPr>
          <w:p>
            <w:pPr>
              <w:pStyle w:val="2"/>
              <w:ind w:left="0"/>
              <w:jc w:val="center"/>
            </w:pPr>
            <w:r>
              <w:rPr>
                <w:rFonts w:hint="eastAsia"/>
              </w:rPr>
              <w:t>否决原因</w:t>
            </w:r>
          </w:p>
        </w:tc>
        <w:tc>
          <w:tcPr>
            <w:tcW w:w="7846" w:type="dxa"/>
            <w:tcBorders>
              <w:top w:val="single" w:color="auto" w:sz="4" w:space="0"/>
              <w:left w:val="nil"/>
              <w:right w:val="single" w:color="auto" w:sz="4" w:space="0"/>
            </w:tcBorders>
            <w:shd w:val="clear" w:color="auto" w:fill="auto"/>
            <w:noWrap/>
            <w:vAlign w:val="bottom"/>
          </w:tcPr>
          <w:p>
            <w:pPr>
              <w:pStyle w:val="2"/>
              <w:ind w:left="0"/>
              <w:jc w:val="center"/>
            </w:pPr>
          </w:p>
        </w:tc>
      </w:tr>
      <w:tr>
        <w:tblPrEx>
          <w:tblCellMar>
            <w:top w:w="0" w:type="dxa"/>
            <w:left w:w="108" w:type="dxa"/>
            <w:bottom w:w="0" w:type="dxa"/>
            <w:right w:w="108" w:type="dxa"/>
          </w:tblCellMar>
        </w:tblPrEx>
        <w:trPr>
          <w:trHeight w:val="1123" w:hRule="atLeast"/>
          <w:jc w:val="center"/>
        </w:trPr>
        <w:tc>
          <w:tcPr>
            <w:tcW w:w="2012"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
              <w:ind w:left="0"/>
              <w:jc w:val="center"/>
            </w:pPr>
            <w:r>
              <w:rPr>
                <w:rFonts w:hint="eastAsia"/>
              </w:rPr>
              <w:t>评标专家签字：</w:t>
            </w:r>
          </w:p>
        </w:tc>
        <w:tc>
          <w:tcPr>
            <w:tcW w:w="784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ind w:left="0"/>
              <w:jc w:val="center"/>
            </w:pPr>
          </w:p>
        </w:tc>
      </w:tr>
    </w:tbl>
    <w:p>
      <w:r>
        <w:rPr>
          <w:rFonts w:hint="eastAsia"/>
        </w:rPr>
        <w:br w:type="page"/>
      </w:r>
    </w:p>
    <w:p>
      <w:pPr>
        <w:pStyle w:val="5"/>
      </w:pPr>
      <w:r>
        <w:rPr>
          <w:rFonts w:hint="eastAsia"/>
        </w:rPr>
        <w:t>附件四：中标通知书</w:t>
      </w:r>
    </w:p>
    <w:p>
      <w:pPr>
        <w:pStyle w:val="2"/>
        <w:ind w:left="0"/>
        <w:jc w:val="center"/>
        <w:rPr>
          <w:b/>
          <w:bCs/>
          <w:sz w:val="30"/>
          <w:szCs w:val="30"/>
        </w:rPr>
      </w:pPr>
      <w:r>
        <w:rPr>
          <w:rFonts w:hint="eastAsia"/>
          <w:b/>
          <w:bCs/>
          <w:sz w:val="30"/>
          <w:szCs w:val="30"/>
        </w:rPr>
        <w:t>中标通知书</w:t>
      </w:r>
    </w:p>
    <w:p>
      <w:pPr>
        <w:spacing w:before="12"/>
        <w:rPr>
          <w:rFonts w:cs="宋体" w:asciiTheme="minorEastAsia" w:hAnsiTheme="minorEastAsia"/>
          <w:sz w:val="41"/>
          <w:szCs w:val="41"/>
        </w:rPr>
      </w:pPr>
    </w:p>
    <w:p>
      <w:pPr>
        <w:pStyle w:val="2"/>
      </w:pPr>
      <w:r>
        <w:rPr>
          <w:rFonts w:hint="eastAsia"/>
          <w:u w:val="single"/>
        </w:rPr>
        <w:t xml:space="preserve">                   </w:t>
      </w:r>
      <w:r>
        <w:rPr>
          <w:rFonts w:hint="eastAsia"/>
        </w:rPr>
        <w:t>（中标人名称）：</w:t>
      </w:r>
    </w:p>
    <w:p>
      <w:pPr>
        <w:pStyle w:val="2"/>
      </w:pPr>
      <w:r>
        <w:rPr>
          <w:rFonts w:hint="eastAsia"/>
        </w:rPr>
        <w:t>你方于</w:t>
      </w:r>
      <w:r>
        <w:rPr>
          <w:rFonts w:hint="eastAsia"/>
          <w:u w:val="single"/>
        </w:rPr>
        <w:t xml:space="preserve">         </w:t>
      </w:r>
      <w:r>
        <w:rPr>
          <w:rFonts w:hint="eastAsia"/>
        </w:rPr>
        <w:t>（投标日期）所递交的</w:t>
      </w:r>
      <w:r>
        <w:rPr>
          <w:rFonts w:hint="eastAsia"/>
          <w:u w:val="single"/>
        </w:rPr>
        <w:t xml:space="preserve">         </w:t>
      </w:r>
      <w:r>
        <w:rPr>
          <w:rFonts w:hint="eastAsia"/>
        </w:rPr>
        <w:t>（项目名称）设计-施工总承包</w:t>
      </w:r>
      <w:r>
        <w:rPr>
          <w:rFonts w:hint="eastAsia"/>
          <w:u w:val="single"/>
        </w:rPr>
        <w:t xml:space="preserve">        </w:t>
      </w:r>
      <w:r>
        <w:rPr>
          <w:rFonts w:hint="eastAsia"/>
        </w:rPr>
        <w:t>标段投</w:t>
      </w:r>
    </w:p>
    <w:p>
      <w:pPr>
        <w:pStyle w:val="2"/>
        <w:ind w:left="0"/>
      </w:pPr>
      <w:r>
        <w:rPr>
          <w:rFonts w:hint="eastAsia"/>
        </w:rPr>
        <w:t>标文件已被我方接受，被确定为中标人。</w:t>
      </w:r>
    </w:p>
    <w:p>
      <w:pPr>
        <w:pStyle w:val="2"/>
      </w:pPr>
      <w:r>
        <w:rPr>
          <w:rFonts w:hint="eastAsia"/>
        </w:rPr>
        <w:t>中标价：人民币（大写）</w:t>
      </w:r>
      <w:r>
        <w:rPr>
          <w:rFonts w:hint="eastAsia"/>
          <w:u w:val="single"/>
        </w:rPr>
        <w:t xml:space="preserve">           </w:t>
      </w:r>
      <w:r>
        <w:rPr>
          <w:rFonts w:hint="eastAsia"/>
        </w:rPr>
        <w:t>（￥</w:t>
      </w:r>
      <w:r>
        <w:rPr>
          <w:rFonts w:hint="eastAsia"/>
          <w:u w:val="single"/>
        </w:rPr>
        <w:t xml:space="preserve">       </w:t>
      </w:r>
      <w:r>
        <w:rPr>
          <w:rFonts w:hint="eastAsia"/>
        </w:rPr>
        <w:t>）</w:t>
      </w:r>
    </w:p>
    <w:p>
      <w:pPr>
        <w:pStyle w:val="2"/>
      </w:pPr>
      <w:r>
        <w:rPr>
          <w:rFonts w:hint="eastAsia"/>
        </w:rPr>
        <w:t>工期：</w:t>
      </w:r>
      <w:r>
        <w:rPr>
          <w:rFonts w:hint="eastAsia"/>
          <w:u w:val="single"/>
        </w:rPr>
        <w:t xml:space="preserve">      </w:t>
      </w:r>
      <w:r>
        <w:rPr>
          <w:rFonts w:hint="eastAsia"/>
        </w:rPr>
        <w:t>日历天。</w:t>
      </w:r>
    </w:p>
    <w:p>
      <w:pPr>
        <w:pStyle w:val="2"/>
        <w:rPr>
          <w:u w:val="single"/>
        </w:rPr>
      </w:pPr>
      <w:r>
        <w:rPr>
          <w:rFonts w:hint="eastAsia"/>
        </w:rPr>
        <w:t>工程质量：</w:t>
      </w:r>
      <w:r>
        <w:rPr>
          <w:rFonts w:hint="eastAsia"/>
          <w:u w:val="single"/>
        </w:rPr>
        <w:t xml:space="preserve">                                             </w:t>
      </w:r>
    </w:p>
    <w:p>
      <w:pPr>
        <w:pStyle w:val="2"/>
      </w:pPr>
      <w:r>
        <w:rPr>
          <w:rFonts w:hint="eastAsia"/>
        </w:rPr>
        <w:t>项目总负责人：</w:t>
      </w:r>
      <w:r>
        <w:rPr>
          <w:rFonts w:hint="eastAsia"/>
          <w:u w:val="single"/>
        </w:rPr>
        <w:t xml:space="preserve">               </w:t>
      </w:r>
      <w:r>
        <w:rPr>
          <w:rFonts w:hint="eastAsia"/>
        </w:rPr>
        <w:t>。</w:t>
      </w:r>
    </w:p>
    <w:p>
      <w:pPr>
        <w:pStyle w:val="2"/>
      </w:pPr>
      <w:r>
        <w:rPr>
          <w:rFonts w:hint="eastAsia"/>
        </w:rPr>
        <w:t>其他人员：</w:t>
      </w:r>
      <w:r>
        <w:rPr>
          <w:rFonts w:hint="eastAsia"/>
          <w:u w:val="single"/>
        </w:rPr>
        <w:t xml:space="preserve">                 </w:t>
      </w:r>
      <w:r>
        <w:rPr>
          <w:rFonts w:hint="eastAsia"/>
        </w:rPr>
        <w:t xml:space="preserve"> 。</w:t>
      </w:r>
    </w:p>
    <w:p>
      <w:pPr>
        <w:pStyle w:val="2"/>
      </w:pPr>
      <w:r>
        <w:rPr>
          <w:rFonts w:hint="eastAsia"/>
        </w:rPr>
        <w:t>履行地点：</w:t>
      </w:r>
      <w:r>
        <w:rPr>
          <w:rFonts w:hint="eastAsia"/>
          <w:u w:val="single"/>
        </w:rPr>
        <w:t xml:space="preserve">                                              </w:t>
      </w:r>
      <w:r>
        <w:rPr>
          <w:rFonts w:hint="eastAsia"/>
        </w:rPr>
        <w:t xml:space="preserve">                                            </w:t>
      </w:r>
    </w:p>
    <w:p>
      <w:pPr>
        <w:pStyle w:val="2"/>
      </w:pPr>
      <w:r>
        <w:rPr>
          <w:rFonts w:hint="eastAsia"/>
        </w:rPr>
        <w:t>请你方在本通知书后的</w:t>
      </w:r>
      <w:r>
        <w:rPr>
          <w:rFonts w:hint="eastAsia"/>
          <w:u w:val="single"/>
        </w:rPr>
        <w:t xml:space="preserve">     </w:t>
      </w:r>
      <w:r>
        <w:rPr>
          <w:rFonts w:hint="eastAsia"/>
        </w:rPr>
        <w:t>日内，根据招标文件要求与我方签订施工承包合同，在此之前按招标</w:t>
      </w:r>
    </w:p>
    <w:p>
      <w:pPr>
        <w:pStyle w:val="2"/>
        <w:ind w:left="0"/>
      </w:pPr>
      <w:r>
        <w:rPr>
          <w:rFonts w:hint="eastAsia"/>
        </w:rPr>
        <w:t>文件规定向我方提交履约担保。</w:t>
      </w:r>
    </w:p>
    <w:p>
      <w:pPr>
        <w:pStyle w:val="2"/>
      </w:pPr>
      <w:r>
        <w:rPr>
          <w:rFonts w:hint="eastAsia"/>
        </w:rPr>
        <w:t>特此通知</w:t>
      </w:r>
      <w:r>
        <w:t>。</w:t>
      </w:r>
    </w:p>
    <w:p>
      <w:pPr>
        <w:ind w:firstLine="440" w:firstLineChars="200"/>
        <w:rPr>
          <w:rFonts w:asciiTheme="minorEastAsia" w:hAnsiTheme="minorEastAsia"/>
          <w:szCs w:val="21"/>
        </w:rPr>
      </w:pPr>
    </w:p>
    <w:p>
      <w:pPr>
        <w:rPr>
          <w:rFonts w:asciiTheme="minorEastAsia" w:hAnsiTheme="minorEastAsia"/>
          <w:sz w:val="24"/>
        </w:rPr>
      </w:pPr>
    </w:p>
    <w:p>
      <w:pPr>
        <w:rPr>
          <w:rFonts w:asciiTheme="minorEastAsia" w:hAnsiTheme="minorEastAsia"/>
          <w:sz w:val="24"/>
        </w:rPr>
      </w:pPr>
    </w:p>
    <w:p>
      <w:pPr>
        <w:ind w:firstLine="3700" w:firstLineChars="1542"/>
        <w:jc w:val="right"/>
        <w:rPr>
          <w:rFonts w:asciiTheme="minorEastAsia" w:hAnsiTheme="minorEastAsia"/>
          <w:sz w:val="24"/>
        </w:rPr>
      </w:pPr>
      <w:r>
        <w:rPr>
          <w:rFonts w:asciiTheme="minorEastAsia" w:hAnsiTheme="minorEastAsia"/>
          <w:sz w:val="24"/>
        </w:rPr>
        <w:t>招标人：</w:t>
      </w:r>
      <w:r>
        <w:rPr>
          <w:rFonts w:asciiTheme="minorEastAsia" w:hAnsiTheme="minorEastAsia"/>
          <w:sz w:val="24"/>
          <w:u w:val="single"/>
        </w:rPr>
        <w:t xml:space="preserve">              </w:t>
      </w:r>
      <w:r>
        <w:rPr>
          <w:rFonts w:asciiTheme="minorEastAsia" w:hAnsiTheme="minorEastAsia"/>
          <w:sz w:val="24"/>
        </w:rPr>
        <w:t>（盖单位章）</w:t>
      </w:r>
    </w:p>
    <w:p>
      <w:pPr>
        <w:ind w:firstLine="3700" w:firstLineChars="1542"/>
        <w:jc w:val="right"/>
        <w:rPr>
          <w:rFonts w:asciiTheme="minorEastAsia" w:hAnsiTheme="minorEastAsia"/>
          <w:sz w:val="24"/>
        </w:rPr>
      </w:pPr>
      <w:r>
        <w:rPr>
          <w:rFonts w:asciiTheme="minorEastAsia" w:hAnsiTheme="minorEastAsia"/>
          <w:sz w:val="24"/>
        </w:rPr>
        <w:t>法定代表人：</w:t>
      </w:r>
      <w:r>
        <w:rPr>
          <w:rFonts w:asciiTheme="minorEastAsia" w:hAnsiTheme="minorEastAsia"/>
          <w:sz w:val="24"/>
          <w:u w:val="single"/>
        </w:rPr>
        <w:t xml:space="preserve">            </w:t>
      </w:r>
      <w:r>
        <w:rPr>
          <w:rFonts w:asciiTheme="minorEastAsia" w:hAnsiTheme="minorEastAsia"/>
          <w:sz w:val="24"/>
        </w:rPr>
        <w:t>（签字</w:t>
      </w:r>
      <w:r>
        <w:rPr>
          <w:rFonts w:hint="eastAsia" w:asciiTheme="minorEastAsia" w:hAnsiTheme="minorEastAsia"/>
          <w:sz w:val="24"/>
        </w:rPr>
        <w:t>或盖章</w:t>
      </w:r>
      <w:r>
        <w:rPr>
          <w:rFonts w:asciiTheme="minorEastAsia" w:hAnsiTheme="minorEastAsia"/>
          <w:sz w:val="24"/>
        </w:rPr>
        <w:t>）</w:t>
      </w:r>
    </w:p>
    <w:p>
      <w:pPr>
        <w:jc w:val="right"/>
        <w:rPr>
          <w:rFonts w:asciiTheme="minorEastAsia" w:hAnsiTheme="minorEastAsia"/>
        </w:rPr>
        <w:sectPr>
          <w:pgSz w:w="12240" w:h="15840"/>
          <w:pgMar w:top="1134" w:right="1134" w:bottom="1134" w:left="1134" w:header="0" w:footer="921" w:gutter="0"/>
          <w:cols w:space="720" w:num="1"/>
        </w:sectPr>
      </w:pPr>
      <w:r>
        <w:rPr>
          <w:rFonts w:asciiTheme="minorEastAsia" w:hAnsiTheme="minorEastAsia"/>
          <w:sz w:val="24"/>
        </w:rPr>
        <w:t xml:space="preserve"> </w:t>
      </w:r>
      <w:r>
        <w:rPr>
          <w:rFonts w:asciiTheme="minorEastAsia" w:hAnsiTheme="minorEastAsia"/>
          <w:sz w:val="24"/>
          <w:u w:val="single"/>
        </w:rPr>
        <w:t xml:space="preserve">        </w:t>
      </w:r>
      <w:r>
        <w:rPr>
          <w:rFonts w:asciiTheme="minorEastAsia" w:hAnsiTheme="minorEastAsia"/>
          <w:sz w:val="24"/>
        </w:rPr>
        <w:t>年</w:t>
      </w:r>
      <w:r>
        <w:rPr>
          <w:rFonts w:asciiTheme="minorEastAsia" w:hAnsiTheme="minorEastAsia"/>
          <w:sz w:val="24"/>
          <w:u w:val="single"/>
        </w:rPr>
        <w:t xml:space="preserve">        </w:t>
      </w:r>
      <w:r>
        <w:rPr>
          <w:rFonts w:asciiTheme="minorEastAsia" w:hAnsiTheme="minorEastAsia"/>
          <w:sz w:val="24"/>
        </w:rPr>
        <w:t>月</w:t>
      </w:r>
      <w:r>
        <w:rPr>
          <w:rFonts w:asciiTheme="minorEastAsia" w:hAnsiTheme="minorEastAsia"/>
          <w:sz w:val="24"/>
          <w:u w:val="single"/>
        </w:rPr>
        <w:t xml:space="preserve">        </w:t>
      </w:r>
      <w:r>
        <w:rPr>
          <w:rFonts w:asciiTheme="minorEastAsia" w:hAnsiTheme="minorEastAsia"/>
          <w:sz w:val="24"/>
        </w:rPr>
        <w:t>日</w:t>
      </w:r>
    </w:p>
    <w:p>
      <w:pPr>
        <w:pStyle w:val="4"/>
      </w:pPr>
      <w:bookmarkStart w:id="34" w:name="_Toc5504"/>
      <w:r>
        <w:rPr>
          <w:rFonts w:hint="eastAsia"/>
        </w:rPr>
        <w:t>第三章 评标办法（综合评估法）</w:t>
      </w:r>
      <w:bookmarkEnd w:id="34"/>
    </w:p>
    <w:p>
      <w:pPr>
        <w:pStyle w:val="5"/>
        <w:jc w:val="center"/>
      </w:pPr>
      <w:r>
        <w:rPr>
          <w:rFonts w:hint="eastAsia"/>
        </w:rPr>
        <w:t>评标办法前附表</w:t>
      </w:r>
    </w:p>
    <w:tbl>
      <w:tblPr>
        <w:tblStyle w:val="15"/>
        <w:tblW w:w="9905" w:type="dxa"/>
        <w:jc w:val="center"/>
        <w:tblLayout w:type="fixed"/>
        <w:tblCellMar>
          <w:top w:w="0" w:type="dxa"/>
          <w:left w:w="108" w:type="dxa"/>
          <w:bottom w:w="0" w:type="dxa"/>
          <w:right w:w="108" w:type="dxa"/>
        </w:tblCellMar>
      </w:tblPr>
      <w:tblGrid>
        <w:gridCol w:w="955"/>
        <w:gridCol w:w="750"/>
        <w:gridCol w:w="709"/>
        <w:gridCol w:w="2275"/>
        <w:gridCol w:w="236"/>
        <w:gridCol w:w="4980"/>
      </w:tblGrid>
      <w:tr>
        <w:tblPrEx>
          <w:tblCellMar>
            <w:top w:w="0" w:type="dxa"/>
            <w:left w:w="108" w:type="dxa"/>
            <w:bottom w:w="0" w:type="dxa"/>
            <w:right w:w="108" w:type="dxa"/>
          </w:tblCellMar>
        </w:tblPrEx>
        <w:trPr>
          <w:trHeight w:val="499" w:hRule="atLeast"/>
          <w:jc w:val="center"/>
        </w:trPr>
        <w:tc>
          <w:tcPr>
            <w:tcW w:w="2414" w:type="dxa"/>
            <w:gridSpan w:val="3"/>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rFonts w:hint="eastAsia"/>
                <w:b/>
                <w:bCs/>
              </w:rPr>
              <w:t>条款号</w:t>
            </w: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rPr>
                <w:b/>
                <w:bCs/>
              </w:rPr>
            </w:pPr>
            <w:r>
              <w:rPr>
                <w:rFonts w:hint="eastAsia"/>
                <w:b/>
                <w:bCs/>
              </w:rPr>
              <w:t>评审因素</w:t>
            </w:r>
          </w:p>
        </w:tc>
        <w:tc>
          <w:tcPr>
            <w:tcW w:w="4980" w:type="dxa"/>
            <w:tcBorders>
              <w:top w:val="single" w:color="000000" w:sz="4" w:space="0"/>
              <w:left w:val="nil"/>
              <w:bottom w:val="single" w:color="000000" w:sz="4" w:space="0"/>
              <w:right w:val="single" w:color="000000" w:sz="4" w:space="0"/>
            </w:tcBorders>
            <w:vAlign w:val="center"/>
          </w:tcPr>
          <w:p>
            <w:pPr>
              <w:pStyle w:val="2"/>
              <w:ind w:left="0"/>
              <w:jc w:val="center"/>
              <w:rPr>
                <w:b/>
                <w:bCs/>
              </w:rPr>
            </w:pPr>
            <w:r>
              <w:rPr>
                <w:rFonts w:hint="eastAsia"/>
                <w:b/>
                <w:bCs/>
              </w:rPr>
              <w:t>评审标准</w:t>
            </w:r>
          </w:p>
        </w:tc>
      </w:tr>
      <w:tr>
        <w:tblPrEx>
          <w:tblCellMar>
            <w:top w:w="0" w:type="dxa"/>
            <w:left w:w="108" w:type="dxa"/>
            <w:bottom w:w="0" w:type="dxa"/>
            <w:right w:w="108" w:type="dxa"/>
          </w:tblCellMar>
        </w:tblPrEx>
        <w:trPr>
          <w:trHeight w:val="499" w:hRule="atLeast"/>
          <w:jc w:val="center"/>
        </w:trPr>
        <w:tc>
          <w:tcPr>
            <w:tcW w:w="2414" w:type="dxa"/>
            <w:gridSpan w:val="3"/>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2.1</w:t>
            </w:r>
          </w:p>
        </w:tc>
        <w:tc>
          <w:tcPr>
            <w:tcW w:w="7491" w:type="dxa"/>
            <w:gridSpan w:val="3"/>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初步评审标准</w:t>
            </w:r>
          </w:p>
        </w:tc>
      </w:tr>
      <w:tr>
        <w:tblPrEx>
          <w:tblCellMar>
            <w:top w:w="0" w:type="dxa"/>
            <w:left w:w="108" w:type="dxa"/>
            <w:bottom w:w="0" w:type="dxa"/>
            <w:right w:w="108" w:type="dxa"/>
          </w:tblCellMar>
        </w:tblPrEx>
        <w:trPr>
          <w:trHeight w:val="393" w:hRule="atLeast"/>
          <w:jc w:val="center"/>
        </w:trPr>
        <w:tc>
          <w:tcPr>
            <w:tcW w:w="955" w:type="dxa"/>
            <w:vMerge w:val="restart"/>
            <w:tcBorders>
              <w:top w:val="nil"/>
              <w:left w:val="single" w:color="000000" w:sz="4" w:space="0"/>
              <w:right w:val="single" w:color="000000" w:sz="4" w:space="0"/>
            </w:tcBorders>
            <w:vAlign w:val="center"/>
          </w:tcPr>
          <w:p>
            <w:pPr>
              <w:pStyle w:val="2"/>
              <w:ind w:left="0"/>
              <w:jc w:val="center"/>
            </w:pPr>
            <w:r>
              <w:rPr>
                <w:rFonts w:hint="eastAsia"/>
              </w:rPr>
              <w:t>2</w:t>
            </w:r>
            <w:r>
              <w:t>.1.1</w:t>
            </w:r>
          </w:p>
        </w:tc>
        <w:tc>
          <w:tcPr>
            <w:tcW w:w="1459" w:type="dxa"/>
            <w:gridSpan w:val="2"/>
            <w:vMerge w:val="restart"/>
            <w:tcBorders>
              <w:top w:val="nil"/>
              <w:left w:val="nil"/>
              <w:right w:val="single" w:color="000000" w:sz="4" w:space="0"/>
            </w:tcBorders>
            <w:vAlign w:val="center"/>
          </w:tcPr>
          <w:p>
            <w:pPr>
              <w:pStyle w:val="2"/>
              <w:ind w:left="0"/>
              <w:jc w:val="center"/>
            </w:pPr>
            <w:r>
              <w:rPr>
                <w:rFonts w:hint="eastAsia"/>
              </w:rPr>
              <w:t>形</w:t>
            </w:r>
          </w:p>
          <w:p>
            <w:pPr>
              <w:pStyle w:val="2"/>
              <w:ind w:left="0"/>
              <w:jc w:val="center"/>
            </w:pPr>
            <w:r>
              <w:rPr>
                <w:rFonts w:hint="eastAsia"/>
              </w:rPr>
              <w:t>式</w:t>
            </w:r>
          </w:p>
          <w:p>
            <w:pPr>
              <w:pStyle w:val="2"/>
              <w:ind w:left="0"/>
              <w:jc w:val="center"/>
            </w:pPr>
            <w:r>
              <w:rPr>
                <w:rFonts w:hint="eastAsia"/>
              </w:rPr>
              <w:t>评</w:t>
            </w:r>
          </w:p>
          <w:p>
            <w:pPr>
              <w:pStyle w:val="2"/>
              <w:ind w:left="0"/>
              <w:jc w:val="center"/>
            </w:pPr>
            <w:r>
              <w:rPr>
                <w:rFonts w:hint="eastAsia"/>
              </w:rPr>
              <w:t>审</w:t>
            </w:r>
          </w:p>
          <w:p>
            <w:pPr>
              <w:pStyle w:val="2"/>
              <w:ind w:left="0"/>
              <w:jc w:val="center"/>
            </w:pPr>
            <w:r>
              <w:rPr>
                <w:rFonts w:hint="eastAsia"/>
              </w:rPr>
              <w:t>标</w:t>
            </w:r>
          </w:p>
          <w:p>
            <w:pPr>
              <w:pStyle w:val="2"/>
              <w:ind w:left="0"/>
              <w:jc w:val="center"/>
            </w:pPr>
            <w:r>
              <w:rPr>
                <w:rFonts w:hint="eastAsia"/>
              </w:rPr>
              <w:t>准</w:t>
            </w: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投标人名称</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与营业执照、资质证书、安全生产许可证（□施工单位提供，但依法不需要提供的除外）一致，如为联合体，则联合体各方均须满足。</w:t>
            </w:r>
          </w:p>
        </w:tc>
      </w:tr>
      <w:tr>
        <w:tblPrEx>
          <w:tblCellMar>
            <w:top w:w="0" w:type="dxa"/>
            <w:left w:w="108" w:type="dxa"/>
            <w:bottom w:w="0" w:type="dxa"/>
            <w:right w:w="108" w:type="dxa"/>
          </w:tblCellMar>
        </w:tblPrEx>
        <w:trPr>
          <w:trHeight w:val="651" w:hRule="atLeast"/>
          <w:jc w:val="center"/>
        </w:trPr>
        <w:tc>
          <w:tcPr>
            <w:tcW w:w="955" w:type="dxa"/>
            <w:vMerge w:val="continue"/>
            <w:tcBorders>
              <w:left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签字、盖章要求</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符合第二章“投标人须知前附表”第</w:t>
            </w:r>
            <w:r>
              <w:t>3.7.3</w:t>
            </w:r>
            <w:r>
              <w:rPr>
                <w:rFonts w:hint="eastAsia"/>
              </w:rPr>
              <w:t>项规定</w:t>
            </w:r>
          </w:p>
        </w:tc>
      </w:tr>
      <w:tr>
        <w:tblPrEx>
          <w:tblCellMar>
            <w:top w:w="0" w:type="dxa"/>
            <w:left w:w="108" w:type="dxa"/>
            <w:bottom w:w="0" w:type="dxa"/>
            <w:right w:w="108" w:type="dxa"/>
          </w:tblCellMar>
        </w:tblPrEx>
        <w:trPr>
          <w:trHeight w:val="994" w:hRule="atLeast"/>
          <w:jc w:val="center"/>
        </w:trPr>
        <w:tc>
          <w:tcPr>
            <w:tcW w:w="955" w:type="dxa"/>
            <w:vMerge w:val="continue"/>
            <w:tcBorders>
              <w:left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投标文件格式</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符合第八章“投标文件格式的要求和第二章“投标人须知前附表”第</w:t>
            </w:r>
            <w:r>
              <w:t>3.7.1</w:t>
            </w:r>
            <w:r>
              <w:rPr>
                <w:rFonts w:hint="eastAsia"/>
              </w:rPr>
              <w:t>项规定</w:t>
            </w:r>
          </w:p>
        </w:tc>
      </w:tr>
      <w:tr>
        <w:tblPrEx>
          <w:tblCellMar>
            <w:top w:w="0" w:type="dxa"/>
            <w:left w:w="108" w:type="dxa"/>
            <w:bottom w:w="0" w:type="dxa"/>
            <w:right w:w="108" w:type="dxa"/>
          </w:tblCellMar>
        </w:tblPrEx>
        <w:trPr>
          <w:trHeight w:val="538" w:hRule="atLeast"/>
          <w:jc w:val="center"/>
        </w:trPr>
        <w:tc>
          <w:tcPr>
            <w:tcW w:w="955" w:type="dxa"/>
            <w:vMerge w:val="continue"/>
            <w:tcBorders>
              <w:left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报价唯一</w:t>
            </w:r>
          </w:p>
        </w:tc>
        <w:tc>
          <w:tcPr>
            <w:tcW w:w="4980" w:type="dxa"/>
            <w:tcBorders>
              <w:top w:val="single" w:color="000000" w:sz="4" w:space="0"/>
              <w:left w:val="nil"/>
              <w:bottom w:val="single" w:color="000000" w:sz="4" w:space="0"/>
              <w:right w:val="single" w:color="000000" w:sz="4" w:space="0"/>
            </w:tcBorders>
          </w:tcPr>
          <w:p>
            <w:pPr>
              <w:pStyle w:val="2"/>
              <w:ind w:left="0"/>
            </w:pPr>
            <w:r>
              <w:rPr>
                <w:rFonts w:hint="eastAsia"/>
              </w:rPr>
              <w:t>只能有一个有效报价，即符合第二章“投标人须知前附表”第</w:t>
            </w:r>
            <w:r>
              <w:t>10.</w:t>
            </w:r>
            <w:r>
              <w:rPr>
                <w:rFonts w:hint="eastAsia"/>
              </w:rPr>
              <w:t>4款要求</w:t>
            </w:r>
          </w:p>
        </w:tc>
      </w:tr>
      <w:tr>
        <w:tblPrEx>
          <w:tblCellMar>
            <w:top w:w="0" w:type="dxa"/>
            <w:left w:w="108" w:type="dxa"/>
            <w:bottom w:w="0" w:type="dxa"/>
            <w:right w:w="108" w:type="dxa"/>
          </w:tblCellMar>
        </w:tblPrEx>
        <w:trPr>
          <w:trHeight w:val="538" w:hRule="atLeast"/>
          <w:jc w:val="center"/>
        </w:trPr>
        <w:tc>
          <w:tcPr>
            <w:tcW w:w="955" w:type="dxa"/>
            <w:vMerge w:val="continue"/>
            <w:tcBorders>
              <w:left w:val="single" w:color="000000" w:sz="4" w:space="0"/>
              <w:bottom w:val="single" w:color="auto" w:sz="4" w:space="0"/>
              <w:right w:val="single" w:color="000000" w:sz="4" w:space="0"/>
            </w:tcBorders>
            <w:vAlign w:val="center"/>
          </w:tcPr>
          <w:p>
            <w:pPr>
              <w:pStyle w:val="2"/>
              <w:ind w:left="0"/>
              <w:jc w:val="center"/>
            </w:pPr>
          </w:p>
        </w:tc>
        <w:tc>
          <w:tcPr>
            <w:tcW w:w="1459" w:type="dxa"/>
            <w:gridSpan w:val="2"/>
            <w:vMerge w:val="continue"/>
            <w:tcBorders>
              <w:left w:val="nil"/>
              <w:bottom w:val="single" w:color="auto" w:sz="4" w:space="0"/>
              <w:right w:val="single" w:color="000000" w:sz="4" w:space="0"/>
            </w:tcBorders>
            <w:vAlign w:val="center"/>
          </w:tcPr>
          <w:p>
            <w:pPr>
              <w:pStyle w:val="2"/>
              <w:ind w:left="0"/>
              <w:jc w:val="center"/>
            </w:pPr>
          </w:p>
        </w:tc>
        <w:tc>
          <w:tcPr>
            <w:tcW w:w="7491" w:type="dxa"/>
            <w:gridSpan w:val="3"/>
            <w:tcBorders>
              <w:top w:val="single" w:color="000000" w:sz="4" w:space="0"/>
              <w:left w:val="nil"/>
              <w:bottom w:val="single" w:color="auto" w:sz="4" w:space="0"/>
              <w:right w:val="single" w:color="000000" w:sz="4" w:space="0"/>
            </w:tcBorders>
            <w:vAlign w:val="center"/>
          </w:tcPr>
          <w:p>
            <w:pPr>
              <w:pStyle w:val="2"/>
              <w:ind w:left="0"/>
            </w:pPr>
            <w:r>
              <w:rPr>
                <w:rFonts w:hint="eastAsia"/>
              </w:rPr>
              <w:t>以上评审有一条不通过，则视为形式评审标准不通过，不进入下一步评审，应当否决其投标。</w:t>
            </w:r>
          </w:p>
        </w:tc>
      </w:tr>
      <w:tr>
        <w:tblPrEx>
          <w:tblCellMar>
            <w:top w:w="0" w:type="dxa"/>
            <w:left w:w="108" w:type="dxa"/>
            <w:bottom w:w="0" w:type="dxa"/>
            <w:right w:w="108" w:type="dxa"/>
          </w:tblCellMar>
        </w:tblPrEx>
        <w:trPr>
          <w:trHeight w:val="785" w:hRule="atLeast"/>
          <w:jc w:val="center"/>
        </w:trPr>
        <w:tc>
          <w:tcPr>
            <w:tcW w:w="955" w:type="dxa"/>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2</w:t>
            </w:r>
            <w:r>
              <w:t>.1.2</w:t>
            </w:r>
          </w:p>
        </w:tc>
        <w:tc>
          <w:tcPr>
            <w:tcW w:w="1459"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511"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营业执照</w:t>
            </w:r>
          </w:p>
        </w:tc>
        <w:tc>
          <w:tcPr>
            <w:tcW w:w="4980"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具备有效的营业执照，联合体投标的联合体各方均须提供营业执照。</w:t>
            </w:r>
          </w:p>
        </w:tc>
      </w:tr>
      <w:tr>
        <w:tblPrEx>
          <w:tblCellMar>
            <w:top w:w="0" w:type="dxa"/>
            <w:left w:w="108" w:type="dxa"/>
            <w:bottom w:w="0" w:type="dxa"/>
            <w:right w:w="108" w:type="dxa"/>
          </w:tblCellMar>
        </w:tblPrEx>
        <w:trPr>
          <w:trHeight w:val="663" w:hRule="atLeast"/>
          <w:jc w:val="center"/>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459" w:type="dxa"/>
            <w:gridSpan w:val="2"/>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资</w:t>
            </w:r>
          </w:p>
          <w:p>
            <w:pPr>
              <w:pStyle w:val="2"/>
              <w:ind w:left="0"/>
              <w:jc w:val="center"/>
            </w:pPr>
            <w:r>
              <w:rPr>
                <w:rFonts w:hint="eastAsia"/>
              </w:rPr>
              <w:t>格</w:t>
            </w:r>
          </w:p>
          <w:p>
            <w:pPr>
              <w:pStyle w:val="2"/>
              <w:ind w:left="0"/>
              <w:jc w:val="center"/>
            </w:pPr>
            <w:r>
              <w:rPr>
                <w:rFonts w:hint="eastAsia"/>
              </w:rPr>
              <w:t>评</w:t>
            </w:r>
          </w:p>
          <w:p>
            <w:pPr>
              <w:pStyle w:val="2"/>
              <w:ind w:left="0"/>
              <w:jc w:val="center"/>
            </w:pPr>
            <w:r>
              <w:rPr>
                <w:rFonts w:hint="eastAsia"/>
              </w:rPr>
              <w:t>审</w:t>
            </w:r>
          </w:p>
          <w:p>
            <w:pPr>
              <w:pStyle w:val="2"/>
              <w:ind w:left="0"/>
              <w:jc w:val="center"/>
            </w:pPr>
            <w:r>
              <w:rPr>
                <w:rFonts w:hint="eastAsia"/>
              </w:rPr>
              <w:t>标</w:t>
            </w:r>
          </w:p>
          <w:p>
            <w:pPr>
              <w:pStyle w:val="2"/>
              <w:ind w:left="0"/>
              <w:jc w:val="center"/>
            </w:pPr>
            <w:r>
              <w:rPr>
                <w:rFonts w:hint="eastAsia"/>
              </w:rPr>
              <w:t>准</w:t>
            </w:r>
          </w:p>
        </w:tc>
        <w:tc>
          <w:tcPr>
            <w:tcW w:w="2511"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资质等级</w:t>
            </w:r>
          </w:p>
        </w:tc>
        <w:tc>
          <w:tcPr>
            <w:tcW w:w="4980"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符合第二章“投标人须知前附表”第1.4.1项规定</w:t>
            </w:r>
          </w:p>
        </w:tc>
      </w:tr>
      <w:tr>
        <w:tblPrEx>
          <w:tblCellMar>
            <w:top w:w="0" w:type="dxa"/>
            <w:left w:w="108" w:type="dxa"/>
            <w:bottom w:w="0" w:type="dxa"/>
            <w:right w:w="108" w:type="dxa"/>
          </w:tblCellMar>
        </w:tblPrEx>
        <w:trPr>
          <w:trHeight w:val="559" w:hRule="atLeast"/>
          <w:jc w:val="center"/>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511"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□类似工程业绩要求</w:t>
            </w:r>
          </w:p>
        </w:tc>
        <w:tc>
          <w:tcPr>
            <w:tcW w:w="4980"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符合第二章“投标人须知前附表”第1.4.1项规定</w:t>
            </w:r>
          </w:p>
        </w:tc>
      </w:tr>
      <w:tr>
        <w:tblPrEx>
          <w:tblCellMar>
            <w:top w:w="0" w:type="dxa"/>
            <w:left w:w="108" w:type="dxa"/>
            <w:bottom w:w="0" w:type="dxa"/>
            <w:right w:w="108" w:type="dxa"/>
          </w:tblCellMar>
        </w:tblPrEx>
        <w:trPr>
          <w:trHeight w:val="553" w:hRule="atLeast"/>
          <w:jc w:val="center"/>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511"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□财务要求</w:t>
            </w:r>
          </w:p>
        </w:tc>
        <w:tc>
          <w:tcPr>
            <w:tcW w:w="4980"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符合第二章“投标人须知前附表”第1.4.1项规定</w:t>
            </w:r>
          </w:p>
        </w:tc>
      </w:tr>
      <w:tr>
        <w:tblPrEx>
          <w:tblCellMar>
            <w:top w:w="0" w:type="dxa"/>
            <w:left w:w="108" w:type="dxa"/>
            <w:bottom w:w="0" w:type="dxa"/>
            <w:right w:w="108" w:type="dxa"/>
          </w:tblCellMar>
        </w:tblPrEx>
        <w:trPr>
          <w:trHeight w:val="561" w:hRule="atLeast"/>
          <w:jc w:val="center"/>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511"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负责人要求</w:t>
            </w:r>
          </w:p>
        </w:tc>
        <w:tc>
          <w:tcPr>
            <w:tcW w:w="4980"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符合第二章“投标人须知前附表”第</w:t>
            </w:r>
            <w:r>
              <w:t>1.4.1</w:t>
            </w:r>
            <w:r>
              <w:rPr>
                <w:rFonts w:hint="eastAsia"/>
              </w:rPr>
              <w:t>项规定</w:t>
            </w:r>
          </w:p>
        </w:tc>
      </w:tr>
      <w:tr>
        <w:tblPrEx>
          <w:tblCellMar>
            <w:top w:w="0" w:type="dxa"/>
            <w:left w:w="108" w:type="dxa"/>
            <w:bottom w:w="0" w:type="dxa"/>
            <w:right w:w="108" w:type="dxa"/>
          </w:tblCellMar>
        </w:tblPrEx>
        <w:trPr>
          <w:trHeight w:val="555" w:hRule="atLeast"/>
          <w:jc w:val="center"/>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511"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信誉要求</w:t>
            </w:r>
          </w:p>
        </w:tc>
        <w:tc>
          <w:tcPr>
            <w:tcW w:w="4980"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符合第二章“投标人须知前附表”第</w:t>
            </w:r>
            <w:r>
              <w:t>1.4.1</w:t>
            </w:r>
            <w:r>
              <w:rPr>
                <w:rFonts w:hint="eastAsia"/>
              </w:rPr>
              <w:t>项规定</w:t>
            </w:r>
          </w:p>
        </w:tc>
      </w:tr>
      <w:tr>
        <w:tblPrEx>
          <w:tblCellMar>
            <w:top w:w="0" w:type="dxa"/>
            <w:left w:w="108" w:type="dxa"/>
            <w:bottom w:w="0" w:type="dxa"/>
            <w:right w:w="108" w:type="dxa"/>
          </w:tblCellMar>
        </w:tblPrEx>
        <w:trPr>
          <w:trHeight w:val="705" w:hRule="atLeast"/>
          <w:jc w:val="center"/>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511"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其他要求</w:t>
            </w:r>
          </w:p>
        </w:tc>
        <w:tc>
          <w:tcPr>
            <w:tcW w:w="4980"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符合第二章“投标人须知前附表”第</w:t>
            </w:r>
            <w:r>
              <w:t>1.4.1项规定</w:t>
            </w:r>
          </w:p>
        </w:tc>
      </w:tr>
      <w:tr>
        <w:tblPrEx>
          <w:tblCellMar>
            <w:top w:w="0" w:type="dxa"/>
            <w:left w:w="108" w:type="dxa"/>
            <w:bottom w:w="0" w:type="dxa"/>
            <w:right w:w="108" w:type="dxa"/>
          </w:tblCellMar>
        </w:tblPrEx>
        <w:trPr>
          <w:trHeight w:val="687" w:hRule="atLeast"/>
          <w:jc w:val="center"/>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511"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□联合体投标人</w:t>
            </w:r>
          </w:p>
        </w:tc>
        <w:tc>
          <w:tcPr>
            <w:tcW w:w="4980"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符合第二章“投标人须知前附表”第</w:t>
            </w:r>
            <w:r>
              <w:t>1.4.</w:t>
            </w:r>
            <w:r>
              <w:rPr>
                <w:rFonts w:hint="eastAsia"/>
              </w:rPr>
              <w:t>2项规定</w:t>
            </w:r>
          </w:p>
        </w:tc>
      </w:tr>
      <w:tr>
        <w:tblPrEx>
          <w:tblCellMar>
            <w:top w:w="0" w:type="dxa"/>
            <w:left w:w="108" w:type="dxa"/>
            <w:bottom w:w="0" w:type="dxa"/>
            <w:right w:w="108" w:type="dxa"/>
          </w:tblCellMar>
        </w:tblPrEx>
        <w:trPr>
          <w:trHeight w:val="982" w:hRule="atLeast"/>
          <w:jc w:val="center"/>
        </w:trPr>
        <w:tc>
          <w:tcPr>
            <w:tcW w:w="955" w:type="dxa"/>
            <w:vMerge w:val="continue"/>
            <w:tcBorders>
              <w:top w:val="single" w:color="auto" w:sz="4" w:space="0"/>
              <w:left w:val="single" w:color="auto"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top w:val="single" w:color="auto" w:sz="4" w:space="0"/>
              <w:left w:val="nil"/>
              <w:bottom w:val="single" w:color="000000" w:sz="4" w:space="0"/>
              <w:right w:val="single" w:color="000000" w:sz="4" w:space="0"/>
            </w:tcBorders>
            <w:vAlign w:val="center"/>
          </w:tcPr>
          <w:p>
            <w:pPr>
              <w:pStyle w:val="2"/>
              <w:ind w:left="0"/>
              <w:jc w:val="center"/>
            </w:pPr>
          </w:p>
        </w:tc>
        <w:tc>
          <w:tcPr>
            <w:tcW w:w="7491" w:type="dxa"/>
            <w:gridSpan w:val="3"/>
            <w:tcBorders>
              <w:top w:val="single" w:color="auto" w:sz="4" w:space="0"/>
              <w:left w:val="nil"/>
              <w:bottom w:val="single" w:color="000000" w:sz="4" w:space="0"/>
              <w:right w:val="single" w:color="000000" w:sz="4" w:space="0"/>
            </w:tcBorders>
            <w:vAlign w:val="center"/>
          </w:tcPr>
          <w:p>
            <w:pPr>
              <w:pStyle w:val="2"/>
              <w:ind w:left="0"/>
            </w:pPr>
            <w:r>
              <w:rPr>
                <w:rFonts w:hint="eastAsia"/>
              </w:rPr>
              <w:t>以上评审有一条不通过，则视为资格评审标准不通过，不进入下一步评审，应当否决其投标。</w:t>
            </w:r>
          </w:p>
        </w:tc>
      </w:tr>
      <w:tr>
        <w:tblPrEx>
          <w:tblCellMar>
            <w:top w:w="0" w:type="dxa"/>
            <w:left w:w="108" w:type="dxa"/>
            <w:bottom w:w="0" w:type="dxa"/>
            <w:right w:w="108" w:type="dxa"/>
          </w:tblCellMar>
        </w:tblPrEx>
        <w:trPr>
          <w:trHeight w:val="467" w:hRule="atLeast"/>
          <w:jc w:val="center"/>
        </w:trPr>
        <w:tc>
          <w:tcPr>
            <w:tcW w:w="955" w:type="dxa"/>
            <w:vMerge w:val="restart"/>
            <w:tcBorders>
              <w:top w:val="nil"/>
              <w:left w:val="single" w:color="000000" w:sz="4" w:space="0"/>
              <w:bottom w:val="single" w:color="000000" w:sz="4" w:space="0"/>
              <w:right w:val="single" w:color="000000" w:sz="4" w:space="0"/>
            </w:tcBorders>
            <w:vAlign w:val="center"/>
          </w:tcPr>
          <w:p>
            <w:pPr>
              <w:pStyle w:val="2"/>
              <w:ind w:left="0"/>
              <w:jc w:val="center"/>
            </w:pPr>
            <w:r>
              <w:rPr>
                <w:rFonts w:hint="eastAsia"/>
              </w:rPr>
              <w:t>2</w:t>
            </w:r>
            <w:r>
              <w:t>.1.3</w:t>
            </w:r>
          </w:p>
        </w:tc>
        <w:tc>
          <w:tcPr>
            <w:tcW w:w="1459" w:type="dxa"/>
            <w:gridSpan w:val="2"/>
            <w:vMerge w:val="restart"/>
            <w:tcBorders>
              <w:top w:val="single" w:color="000000" w:sz="4" w:space="0"/>
              <w:left w:val="nil"/>
              <w:right w:val="single" w:color="000000" w:sz="4" w:space="0"/>
            </w:tcBorders>
            <w:vAlign w:val="center"/>
          </w:tcPr>
          <w:p>
            <w:pPr>
              <w:pStyle w:val="2"/>
              <w:ind w:left="0"/>
              <w:jc w:val="center"/>
            </w:pPr>
            <w:r>
              <w:rPr>
                <w:rFonts w:hint="eastAsia"/>
              </w:rPr>
              <w:t>响</w:t>
            </w:r>
          </w:p>
          <w:p>
            <w:pPr>
              <w:pStyle w:val="2"/>
              <w:ind w:left="0"/>
              <w:jc w:val="center"/>
            </w:pPr>
            <w:r>
              <w:rPr>
                <w:rFonts w:hint="eastAsia"/>
              </w:rPr>
              <w:t>应</w:t>
            </w:r>
          </w:p>
          <w:p>
            <w:pPr>
              <w:pStyle w:val="2"/>
              <w:ind w:left="0"/>
              <w:jc w:val="center"/>
            </w:pPr>
            <w:r>
              <w:rPr>
                <w:rFonts w:hint="eastAsia"/>
              </w:rPr>
              <w:t>性</w:t>
            </w:r>
          </w:p>
          <w:p>
            <w:pPr>
              <w:pStyle w:val="2"/>
              <w:ind w:left="0"/>
              <w:jc w:val="center"/>
            </w:pPr>
            <w:r>
              <w:rPr>
                <w:rFonts w:hint="eastAsia"/>
              </w:rPr>
              <w:t>评</w:t>
            </w:r>
          </w:p>
          <w:p>
            <w:pPr>
              <w:pStyle w:val="2"/>
              <w:ind w:left="0"/>
              <w:jc w:val="center"/>
            </w:pPr>
            <w:r>
              <w:rPr>
                <w:rFonts w:hint="eastAsia"/>
              </w:rPr>
              <w:t>审</w:t>
            </w:r>
          </w:p>
          <w:p>
            <w:pPr>
              <w:pStyle w:val="2"/>
              <w:ind w:left="0"/>
              <w:jc w:val="center"/>
            </w:pPr>
            <w:r>
              <w:rPr>
                <w:rFonts w:hint="eastAsia"/>
              </w:rPr>
              <w:t>标</w:t>
            </w:r>
          </w:p>
          <w:p>
            <w:pPr>
              <w:pStyle w:val="2"/>
              <w:ind w:left="0"/>
              <w:jc w:val="center"/>
            </w:pPr>
            <w:r>
              <w:rPr>
                <w:rFonts w:hint="eastAsia"/>
              </w:rPr>
              <w:t>准</w:t>
            </w: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投标其他要求</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符合第二章“投标人须知前附表”第</w:t>
            </w:r>
            <w:r>
              <w:t>1.4.4</w:t>
            </w:r>
            <w:r>
              <w:rPr>
                <w:rFonts w:hint="eastAsia"/>
              </w:rPr>
              <w:t>项规定</w:t>
            </w:r>
          </w:p>
        </w:tc>
      </w:tr>
      <w:tr>
        <w:tblPrEx>
          <w:tblCellMar>
            <w:top w:w="0" w:type="dxa"/>
            <w:left w:w="108" w:type="dxa"/>
            <w:bottom w:w="0" w:type="dxa"/>
            <w:right w:w="108" w:type="dxa"/>
          </w:tblCellMar>
        </w:tblPrEx>
        <w:trPr>
          <w:trHeight w:val="467"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招标范围</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符合第二章“投标人须知前附表”第</w:t>
            </w:r>
            <w:r>
              <w:t>1.3.1</w:t>
            </w:r>
            <w:r>
              <w:rPr>
                <w:rFonts w:hint="eastAsia"/>
              </w:rPr>
              <w:t>项规定</w:t>
            </w:r>
          </w:p>
        </w:tc>
      </w:tr>
      <w:tr>
        <w:tblPrEx>
          <w:tblCellMar>
            <w:top w:w="0" w:type="dxa"/>
            <w:left w:w="108" w:type="dxa"/>
            <w:bottom w:w="0" w:type="dxa"/>
            <w:right w:w="108" w:type="dxa"/>
          </w:tblCellMar>
        </w:tblPrEx>
        <w:trPr>
          <w:trHeight w:val="485"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计划工期</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符合第二章“投标人须知前附表”第</w:t>
            </w:r>
            <w:r>
              <w:t>1.3.2</w:t>
            </w:r>
            <w:r>
              <w:rPr>
                <w:rFonts w:hint="eastAsia"/>
              </w:rPr>
              <w:t>项规定</w:t>
            </w:r>
          </w:p>
        </w:tc>
      </w:tr>
      <w:tr>
        <w:tblPrEx>
          <w:tblCellMar>
            <w:top w:w="0" w:type="dxa"/>
            <w:left w:w="108" w:type="dxa"/>
            <w:bottom w:w="0" w:type="dxa"/>
            <w:right w:w="108" w:type="dxa"/>
          </w:tblCellMar>
        </w:tblPrEx>
        <w:trPr>
          <w:trHeight w:val="433"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质量要求</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符合第二章“投标人须知前附表”第</w:t>
            </w:r>
            <w:r>
              <w:t>1.3.3</w:t>
            </w:r>
            <w:r>
              <w:rPr>
                <w:rFonts w:hint="eastAsia"/>
              </w:rPr>
              <w:t>项规定</w:t>
            </w:r>
          </w:p>
        </w:tc>
      </w:tr>
      <w:tr>
        <w:tblPrEx>
          <w:tblCellMar>
            <w:top w:w="0" w:type="dxa"/>
            <w:left w:w="108" w:type="dxa"/>
            <w:bottom w:w="0" w:type="dxa"/>
            <w:right w:w="108" w:type="dxa"/>
          </w:tblCellMar>
        </w:tblPrEx>
        <w:trPr>
          <w:trHeight w:val="506"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投标有效期</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符合第二章“投标人须知前附表”第</w:t>
            </w:r>
            <w:r>
              <w:t>3.3.1</w:t>
            </w:r>
            <w:r>
              <w:rPr>
                <w:rFonts w:hint="eastAsia"/>
              </w:rPr>
              <w:t>项规定</w:t>
            </w:r>
          </w:p>
        </w:tc>
      </w:tr>
      <w:tr>
        <w:tblPrEx>
          <w:tblCellMar>
            <w:top w:w="0" w:type="dxa"/>
            <w:left w:w="108" w:type="dxa"/>
            <w:bottom w:w="0" w:type="dxa"/>
            <w:right w:w="108" w:type="dxa"/>
          </w:tblCellMar>
        </w:tblPrEx>
        <w:trPr>
          <w:trHeight w:val="506"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投标保证金</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符合第二章“投标人须知前附表”第3.4.1项规定</w:t>
            </w:r>
          </w:p>
        </w:tc>
      </w:tr>
      <w:tr>
        <w:tblPrEx>
          <w:tblCellMar>
            <w:top w:w="0" w:type="dxa"/>
            <w:left w:w="108" w:type="dxa"/>
            <w:bottom w:w="0" w:type="dxa"/>
            <w:right w:w="108" w:type="dxa"/>
          </w:tblCellMar>
        </w:tblPrEx>
        <w:trPr>
          <w:trHeight w:val="506"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招标控制价</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符合第二章“投标人须知前附表”第10.1项规定</w:t>
            </w:r>
          </w:p>
        </w:tc>
      </w:tr>
      <w:tr>
        <w:tblPrEx>
          <w:tblCellMar>
            <w:top w:w="0" w:type="dxa"/>
            <w:left w:w="108" w:type="dxa"/>
            <w:bottom w:w="0" w:type="dxa"/>
            <w:right w:w="108" w:type="dxa"/>
          </w:tblCellMar>
        </w:tblPrEx>
        <w:trPr>
          <w:trHeight w:val="506"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投标要求</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不存在本章第</w:t>
            </w:r>
            <w:r>
              <w:t>3.1.2</w:t>
            </w:r>
            <w:r>
              <w:rPr>
                <w:rFonts w:hint="eastAsia"/>
              </w:rPr>
              <w:t>项任何一种情形之一</w:t>
            </w:r>
          </w:p>
        </w:tc>
      </w:tr>
      <w:tr>
        <w:tblPrEx>
          <w:tblCellMar>
            <w:top w:w="0" w:type="dxa"/>
            <w:left w:w="108" w:type="dxa"/>
            <w:bottom w:w="0" w:type="dxa"/>
            <w:right w:w="108" w:type="dxa"/>
          </w:tblCellMar>
        </w:tblPrEx>
        <w:trPr>
          <w:trHeight w:val="506"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权利义务</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符合第四章“合同条款及格式”规定</w:t>
            </w:r>
          </w:p>
        </w:tc>
      </w:tr>
      <w:tr>
        <w:tblPrEx>
          <w:tblCellMar>
            <w:top w:w="0" w:type="dxa"/>
            <w:left w:w="108" w:type="dxa"/>
            <w:bottom w:w="0" w:type="dxa"/>
            <w:right w:w="108" w:type="dxa"/>
          </w:tblCellMar>
        </w:tblPrEx>
        <w:trPr>
          <w:trHeight w:val="506"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000000" w:sz="4" w:space="0"/>
            </w:tcBorders>
            <w:vAlign w:val="center"/>
          </w:tcPr>
          <w:p>
            <w:pPr>
              <w:pStyle w:val="2"/>
              <w:ind w:left="0"/>
              <w:jc w:val="center"/>
            </w:pPr>
          </w:p>
        </w:tc>
        <w:tc>
          <w:tcPr>
            <w:tcW w:w="2511"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□技术标准和要求</w:t>
            </w:r>
          </w:p>
        </w:tc>
        <w:tc>
          <w:tcPr>
            <w:tcW w:w="4980" w:type="dxa"/>
            <w:tcBorders>
              <w:top w:val="single" w:color="000000" w:sz="4" w:space="0"/>
              <w:left w:val="nil"/>
              <w:bottom w:val="single" w:color="000000" w:sz="4" w:space="0"/>
              <w:right w:val="single" w:color="000000" w:sz="4" w:space="0"/>
            </w:tcBorders>
            <w:vAlign w:val="center"/>
          </w:tcPr>
          <w:p>
            <w:pPr>
              <w:pStyle w:val="2"/>
              <w:ind w:left="0"/>
            </w:pPr>
            <w:r>
              <w:rPr>
                <w:rFonts w:hint="eastAsia"/>
              </w:rPr>
              <w:t>符合第七章“技术标准和要求”规定</w:t>
            </w:r>
          </w:p>
        </w:tc>
      </w:tr>
      <w:tr>
        <w:tblPrEx>
          <w:tblCellMar>
            <w:top w:w="0" w:type="dxa"/>
            <w:left w:w="108" w:type="dxa"/>
            <w:bottom w:w="0" w:type="dxa"/>
            <w:right w:w="108" w:type="dxa"/>
          </w:tblCellMar>
        </w:tblPrEx>
        <w:trPr>
          <w:trHeight w:val="902" w:hRule="atLeast"/>
          <w:jc w:val="center"/>
        </w:trPr>
        <w:tc>
          <w:tcPr>
            <w:tcW w:w="955" w:type="dxa"/>
            <w:vMerge w:val="continue"/>
            <w:tcBorders>
              <w:top w:val="nil"/>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bottom w:val="single" w:color="000000" w:sz="4" w:space="0"/>
              <w:right w:val="single" w:color="000000" w:sz="4" w:space="0"/>
            </w:tcBorders>
            <w:vAlign w:val="center"/>
          </w:tcPr>
          <w:p>
            <w:pPr>
              <w:pStyle w:val="2"/>
              <w:ind w:left="0"/>
              <w:jc w:val="center"/>
            </w:pPr>
          </w:p>
        </w:tc>
        <w:tc>
          <w:tcPr>
            <w:tcW w:w="7491" w:type="dxa"/>
            <w:gridSpan w:val="3"/>
            <w:tcBorders>
              <w:top w:val="single" w:color="000000" w:sz="4" w:space="0"/>
              <w:left w:val="nil"/>
              <w:bottom w:val="single" w:color="000000" w:sz="4" w:space="0"/>
              <w:right w:val="single" w:color="000000" w:sz="4" w:space="0"/>
            </w:tcBorders>
            <w:vAlign w:val="center"/>
          </w:tcPr>
          <w:p>
            <w:pPr>
              <w:pStyle w:val="2"/>
              <w:ind w:left="0"/>
            </w:pPr>
            <w:r>
              <w:rPr>
                <w:rFonts w:hint="eastAsia"/>
              </w:rPr>
              <w:t>以上评审有一条不通过，则视为响应性评审标准不通过，不进入下一步评审，应当否决其投标。</w:t>
            </w:r>
          </w:p>
        </w:tc>
      </w:tr>
      <w:tr>
        <w:tblPrEx>
          <w:tblCellMar>
            <w:top w:w="0" w:type="dxa"/>
            <w:left w:w="108" w:type="dxa"/>
            <w:bottom w:w="0" w:type="dxa"/>
            <w:right w:w="108" w:type="dxa"/>
          </w:tblCellMar>
        </w:tblPrEx>
        <w:trPr>
          <w:trHeight w:val="2755" w:hRule="atLeast"/>
          <w:jc w:val="center"/>
        </w:trPr>
        <w:tc>
          <w:tcPr>
            <w:tcW w:w="955" w:type="dxa"/>
            <w:tcBorders>
              <w:top w:val="nil"/>
              <w:left w:val="single" w:color="000000" w:sz="4" w:space="0"/>
              <w:bottom w:val="single" w:color="000000" w:sz="4" w:space="0"/>
              <w:right w:val="single" w:color="000000" w:sz="4" w:space="0"/>
            </w:tcBorders>
            <w:vAlign w:val="center"/>
          </w:tcPr>
          <w:p>
            <w:pPr>
              <w:pStyle w:val="2"/>
              <w:ind w:left="0"/>
              <w:jc w:val="center"/>
            </w:pPr>
            <w:r>
              <w:rPr>
                <w:rFonts w:hint="eastAsia"/>
              </w:rPr>
              <w:t>2.1.4</w:t>
            </w:r>
          </w:p>
        </w:tc>
        <w:tc>
          <w:tcPr>
            <w:tcW w:w="750" w:type="dxa"/>
            <w:tcBorders>
              <w:top w:val="single" w:color="000000" w:sz="4" w:space="0"/>
              <w:left w:val="nil"/>
              <w:bottom w:val="single" w:color="000000" w:sz="4" w:space="0"/>
              <w:right w:val="single" w:color="auto" w:sz="4" w:space="0"/>
            </w:tcBorders>
            <w:vAlign w:val="center"/>
          </w:tcPr>
          <w:p>
            <w:pPr>
              <w:pStyle w:val="2"/>
              <w:ind w:left="0"/>
              <w:jc w:val="center"/>
            </w:pPr>
          </w:p>
          <w:p>
            <w:pPr>
              <w:pStyle w:val="2"/>
              <w:ind w:left="0"/>
              <w:jc w:val="center"/>
            </w:pPr>
            <w:r>
              <w:rPr>
                <w:rFonts w:hint="eastAsia"/>
              </w:rPr>
              <w:t>投</w:t>
            </w:r>
          </w:p>
          <w:p>
            <w:pPr>
              <w:pStyle w:val="2"/>
              <w:ind w:left="0"/>
              <w:jc w:val="center"/>
            </w:pPr>
            <w:r>
              <w:rPr>
                <w:rFonts w:hint="eastAsia"/>
              </w:rPr>
              <w:t>标</w:t>
            </w:r>
          </w:p>
          <w:p>
            <w:pPr>
              <w:pStyle w:val="2"/>
              <w:ind w:left="0"/>
              <w:jc w:val="center"/>
            </w:pPr>
            <w:r>
              <w:rPr>
                <w:rFonts w:hint="eastAsia"/>
              </w:rPr>
              <w:t>报</w:t>
            </w:r>
          </w:p>
          <w:p>
            <w:pPr>
              <w:pStyle w:val="2"/>
              <w:ind w:left="0"/>
              <w:jc w:val="center"/>
            </w:pPr>
            <w:r>
              <w:rPr>
                <w:rFonts w:hint="eastAsia"/>
              </w:rPr>
              <w:t>价</w:t>
            </w:r>
          </w:p>
          <w:p>
            <w:pPr>
              <w:pStyle w:val="2"/>
              <w:ind w:left="0"/>
              <w:jc w:val="center"/>
            </w:pPr>
            <w:r>
              <w:rPr>
                <w:rFonts w:hint="eastAsia"/>
              </w:rPr>
              <w:t>评</w:t>
            </w:r>
          </w:p>
          <w:p>
            <w:pPr>
              <w:pStyle w:val="2"/>
              <w:ind w:left="0"/>
              <w:jc w:val="center"/>
            </w:pPr>
            <w:r>
              <w:rPr>
                <w:rFonts w:hint="eastAsia"/>
              </w:rPr>
              <w:t>审</w:t>
            </w:r>
          </w:p>
        </w:tc>
        <w:tc>
          <w:tcPr>
            <w:tcW w:w="709" w:type="dxa"/>
            <w:tcBorders>
              <w:top w:val="single" w:color="000000" w:sz="4" w:space="0"/>
              <w:left w:val="single" w:color="auto" w:sz="4" w:space="0"/>
              <w:bottom w:val="single" w:color="000000" w:sz="4" w:space="0"/>
              <w:right w:val="single" w:color="000000" w:sz="4" w:space="0"/>
            </w:tcBorders>
            <w:vAlign w:val="center"/>
          </w:tcPr>
          <w:p>
            <w:pPr>
              <w:pStyle w:val="2"/>
              <w:ind w:left="0"/>
              <w:jc w:val="center"/>
            </w:pPr>
          </w:p>
        </w:tc>
        <w:tc>
          <w:tcPr>
            <w:tcW w:w="7491" w:type="dxa"/>
            <w:gridSpan w:val="3"/>
            <w:tcBorders>
              <w:top w:val="single" w:color="000000" w:sz="4" w:space="0"/>
              <w:left w:val="nil"/>
              <w:bottom w:val="single" w:color="000000" w:sz="4" w:space="0"/>
              <w:right w:val="single" w:color="000000" w:sz="4" w:space="0"/>
            </w:tcBorders>
          </w:tcPr>
          <w:p>
            <w:pPr>
              <w:pStyle w:val="2"/>
              <w:ind w:left="0"/>
            </w:pPr>
          </w:p>
        </w:tc>
      </w:tr>
      <w:tr>
        <w:tblPrEx>
          <w:tblCellMar>
            <w:top w:w="0" w:type="dxa"/>
            <w:left w:w="108" w:type="dxa"/>
            <w:bottom w:w="0" w:type="dxa"/>
            <w:right w:w="108" w:type="dxa"/>
          </w:tblCellMar>
        </w:tblPrEx>
        <w:trPr>
          <w:trHeight w:val="1054" w:hRule="atLeast"/>
          <w:jc w:val="center"/>
        </w:trPr>
        <w:tc>
          <w:tcPr>
            <w:tcW w:w="955" w:type="dxa"/>
            <w:tcBorders>
              <w:top w:val="nil"/>
              <w:left w:val="single" w:color="000000" w:sz="4" w:space="0"/>
              <w:bottom w:val="single" w:color="000000" w:sz="4" w:space="0"/>
              <w:right w:val="single" w:color="000000" w:sz="4" w:space="0"/>
            </w:tcBorders>
            <w:vAlign w:val="center"/>
          </w:tcPr>
          <w:p>
            <w:pPr>
              <w:pStyle w:val="2"/>
              <w:ind w:left="0"/>
              <w:jc w:val="center"/>
            </w:pPr>
            <w:r>
              <w:rPr>
                <w:rFonts w:hint="eastAsia"/>
              </w:rPr>
              <w:t>2.1.4</w:t>
            </w:r>
          </w:p>
        </w:tc>
        <w:tc>
          <w:tcPr>
            <w:tcW w:w="750" w:type="dxa"/>
            <w:tcBorders>
              <w:top w:val="single" w:color="000000" w:sz="4" w:space="0"/>
              <w:left w:val="nil"/>
              <w:bottom w:val="single" w:color="000000" w:sz="4" w:space="0"/>
              <w:right w:val="single" w:color="auto" w:sz="4" w:space="0"/>
            </w:tcBorders>
            <w:vAlign w:val="center"/>
          </w:tcPr>
          <w:p>
            <w:pPr>
              <w:pStyle w:val="2"/>
              <w:ind w:left="0"/>
              <w:jc w:val="center"/>
            </w:pPr>
          </w:p>
          <w:p>
            <w:pPr>
              <w:pStyle w:val="2"/>
              <w:ind w:left="0"/>
              <w:jc w:val="center"/>
            </w:pPr>
            <w:r>
              <w:rPr>
                <w:rFonts w:hint="eastAsia"/>
              </w:rPr>
              <w:t>投</w:t>
            </w:r>
          </w:p>
          <w:p>
            <w:pPr>
              <w:pStyle w:val="2"/>
              <w:ind w:left="0"/>
              <w:jc w:val="center"/>
            </w:pPr>
            <w:r>
              <w:rPr>
                <w:rFonts w:hint="eastAsia"/>
              </w:rPr>
              <w:t>标</w:t>
            </w:r>
          </w:p>
          <w:p>
            <w:pPr>
              <w:pStyle w:val="2"/>
              <w:ind w:left="0"/>
              <w:jc w:val="center"/>
            </w:pPr>
            <w:r>
              <w:rPr>
                <w:rFonts w:hint="eastAsia"/>
              </w:rPr>
              <w:t>报</w:t>
            </w:r>
          </w:p>
          <w:p>
            <w:pPr>
              <w:pStyle w:val="2"/>
              <w:ind w:left="0"/>
              <w:jc w:val="center"/>
            </w:pPr>
            <w:r>
              <w:rPr>
                <w:rFonts w:hint="eastAsia"/>
              </w:rPr>
              <w:t>价</w:t>
            </w:r>
          </w:p>
          <w:p>
            <w:pPr>
              <w:pStyle w:val="2"/>
              <w:ind w:left="0"/>
              <w:jc w:val="center"/>
            </w:pPr>
            <w:r>
              <w:rPr>
                <w:rFonts w:hint="eastAsia"/>
              </w:rPr>
              <w:t>评</w:t>
            </w:r>
          </w:p>
          <w:p>
            <w:pPr>
              <w:pStyle w:val="2"/>
              <w:ind w:left="0"/>
              <w:jc w:val="center"/>
            </w:pPr>
            <w:r>
              <w:rPr>
                <w:rFonts w:hint="eastAsia"/>
              </w:rPr>
              <w:t>审</w:t>
            </w:r>
          </w:p>
        </w:tc>
        <w:tc>
          <w:tcPr>
            <w:tcW w:w="709" w:type="dxa"/>
            <w:tcBorders>
              <w:top w:val="single" w:color="000000" w:sz="4" w:space="0"/>
              <w:left w:val="single" w:color="auto" w:sz="4" w:space="0"/>
              <w:bottom w:val="single" w:color="000000" w:sz="4" w:space="0"/>
              <w:right w:val="single" w:color="000000" w:sz="4" w:space="0"/>
            </w:tcBorders>
            <w:vAlign w:val="center"/>
          </w:tcPr>
          <w:p>
            <w:pPr>
              <w:pStyle w:val="2"/>
              <w:ind w:left="0"/>
              <w:jc w:val="center"/>
            </w:pPr>
            <w:r>
              <w:rPr>
                <w:rFonts w:hint="eastAsia"/>
              </w:rPr>
              <w:t>2.1.4</w:t>
            </w:r>
          </w:p>
          <w:p>
            <w:pPr>
              <w:pStyle w:val="2"/>
              <w:ind w:left="0"/>
              <w:jc w:val="center"/>
            </w:pPr>
            <w:r>
              <w:rPr>
                <w:rFonts w:hint="eastAsia"/>
              </w:rPr>
              <w:t>（1）</w:t>
            </w:r>
          </w:p>
          <w:p>
            <w:pPr>
              <w:pStyle w:val="2"/>
              <w:ind w:left="0"/>
              <w:jc w:val="center"/>
            </w:pPr>
            <w:r>
              <w:rPr>
                <w:rFonts w:hint="eastAsia"/>
              </w:rPr>
              <w:t>低</w:t>
            </w:r>
          </w:p>
          <w:p>
            <w:pPr>
              <w:pStyle w:val="2"/>
              <w:ind w:left="0"/>
              <w:jc w:val="center"/>
            </w:pPr>
            <w:r>
              <w:rPr>
                <w:rFonts w:hint="eastAsia"/>
              </w:rPr>
              <w:t>于</w:t>
            </w:r>
          </w:p>
          <w:p>
            <w:pPr>
              <w:pStyle w:val="2"/>
              <w:ind w:left="0"/>
              <w:jc w:val="center"/>
            </w:pPr>
            <w:r>
              <w:rPr>
                <w:rFonts w:hint="eastAsia"/>
              </w:rPr>
              <w:t>成</w:t>
            </w:r>
          </w:p>
          <w:p>
            <w:pPr>
              <w:pStyle w:val="2"/>
              <w:ind w:left="0"/>
              <w:jc w:val="center"/>
            </w:pPr>
            <w:r>
              <w:rPr>
                <w:rFonts w:hint="eastAsia"/>
              </w:rPr>
              <w:t>本</w:t>
            </w:r>
          </w:p>
          <w:p>
            <w:pPr>
              <w:pStyle w:val="2"/>
              <w:ind w:left="0"/>
              <w:jc w:val="center"/>
            </w:pPr>
            <w:r>
              <w:rPr>
                <w:rFonts w:hint="eastAsia"/>
              </w:rPr>
              <w:t>评</w:t>
            </w:r>
          </w:p>
          <w:p>
            <w:pPr>
              <w:pStyle w:val="2"/>
              <w:ind w:left="0"/>
              <w:jc w:val="center"/>
            </w:pPr>
            <w:r>
              <w:rPr>
                <w:rFonts w:hint="eastAsia"/>
              </w:rPr>
              <w:t>审</w:t>
            </w:r>
          </w:p>
        </w:tc>
        <w:tc>
          <w:tcPr>
            <w:tcW w:w="7491" w:type="dxa"/>
            <w:gridSpan w:val="3"/>
            <w:tcBorders>
              <w:top w:val="single" w:color="000000" w:sz="4" w:space="0"/>
              <w:left w:val="nil"/>
              <w:bottom w:val="single" w:color="000000" w:sz="4" w:space="0"/>
              <w:right w:val="single" w:color="000000" w:sz="4" w:space="0"/>
            </w:tcBorders>
            <w:vAlign w:val="center"/>
          </w:tcPr>
          <w:p>
            <w:pPr>
              <w:pStyle w:val="2"/>
              <w:ind w:left="0"/>
            </w:pPr>
            <w:r>
              <w:rPr>
                <w:rFonts w:hint="eastAsia"/>
              </w:rPr>
              <w:t>报价评审组</w:t>
            </w:r>
            <w:r>
              <w:t>只对</w:t>
            </w:r>
            <w:r>
              <w:rPr>
                <w:rFonts w:hint="eastAsia"/>
              </w:rPr>
              <w:t>通过报价</w:t>
            </w:r>
            <w:r>
              <w:t>初步评审后的</w:t>
            </w:r>
            <w:r>
              <w:rPr>
                <w:rFonts w:hint="eastAsia"/>
              </w:rPr>
              <w:t>工程建设费</w:t>
            </w:r>
            <w:r>
              <w:t>投标报价进行</w:t>
            </w:r>
            <w:r>
              <w:rPr>
                <w:rFonts w:hint="eastAsia"/>
              </w:rPr>
              <w:t>低于成本评审</w:t>
            </w:r>
            <w:r>
              <w:t>。</w:t>
            </w:r>
          </w:p>
          <w:p>
            <w:pPr>
              <w:pStyle w:val="2"/>
              <w:ind w:left="0"/>
              <w:rPr>
                <w:b/>
                <w:bCs/>
              </w:rPr>
            </w:pPr>
            <w:r>
              <w:rPr>
                <w:rFonts w:hint="eastAsia"/>
                <w:b/>
                <w:bCs/>
              </w:rPr>
              <w:t>一、低于成本评审的前提条件</w:t>
            </w:r>
          </w:p>
          <w:p>
            <w:pPr>
              <w:pStyle w:val="2"/>
              <w:ind w:left="0"/>
            </w:pPr>
            <w:r>
              <w:rPr>
                <w:rFonts w:hint="eastAsia"/>
              </w:rPr>
              <w:t>启动工程建设费是否低于成本评审的前提条件：</w:t>
            </w:r>
          </w:p>
          <w:p>
            <w:pPr>
              <w:pStyle w:val="2"/>
              <w:ind w:left="0"/>
            </w:pPr>
            <w:r>
              <w:rPr>
                <w:rFonts w:hint="eastAsia"/>
              </w:rPr>
              <w:t>○工程建设费评审价</w:t>
            </w:r>
            <w:r>
              <w:t>=算术修正后的</w:t>
            </w:r>
            <w:r>
              <w:rPr>
                <w:rFonts w:hint="eastAsia"/>
              </w:rPr>
              <w:t>工程建设费</w:t>
            </w:r>
            <w:r>
              <w:t>投标</w:t>
            </w:r>
            <w:r>
              <w:rPr>
                <w:rFonts w:hint="eastAsia"/>
              </w:rPr>
              <w:t>报价</w:t>
            </w:r>
          </w:p>
          <w:p>
            <w:pPr>
              <w:pStyle w:val="2"/>
              <w:ind w:left="0"/>
            </w:pPr>
            <w:r>
              <w:rPr>
                <w:rFonts w:hint="eastAsia"/>
              </w:rPr>
              <w:t>○工程建设费评审价</w:t>
            </w:r>
            <w:r>
              <w:t>=算术修正后的</w:t>
            </w:r>
            <w:r>
              <w:rPr>
                <w:rFonts w:hint="eastAsia"/>
              </w:rPr>
              <w:t>工程建设费</w:t>
            </w:r>
            <w:r>
              <w:t>投标</w:t>
            </w:r>
            <w:r>
              <w:rPr>
                <w:rFonts w:hint="eastAsia"/>
              </w:rPr>
              <w:t>报价</w:t>
            </w:r>
            <w:r>
              <w:t>-安全文明施工费-</w:t>
            </w:r>
            <w:r>
              <w:rPr>
                <w:rFonts w:hint="eastAsia"/>
              </w:rPr>
              <w:t>规费-专业工程暂估价-暂列金额（注：工程建设费采用工程量清单报价适用）</w:t>
            </w:r>
          </w:p>
          <w:p>
            <w:pPr>
              <w:pStyle w:val="2"/>
              <w:ind w:left="0"/>
            </w:pPr>
            <w:r>
              <w:rPr>
                <w:rFonts w:hint="eastAsia"/>
              </w:rPr>
              <w:t>当投标人投标报价中的工程建设费评审价满足下列情形之一时，报价评审组必须对投标人的工程建设费投标报价是否低于成本进行评审：</w:t>
            </w:r>
          </w:p>
          <w:p>
            <w:pPr>
              <w:pStyle w:val="2"/>
              <w:ind w:left="0"/>
            </w:pPr>
            <w:r>
              <w:rPr>
                <w:rFonts w:hint="eastAsia"/>
              </w:rPr>
              <w:t>○（1）投标人的评审价金额与招标控制价相应金额（招标控制价相应金额=招标控制价-安全文明施工费-规费-专业工程暂估价-暂列金额，下同）的比值（比值＝投标报价中的评审价金额÷招标控制价相应金额，四舍五入后保留两位小数）的百分数小于或等于</w:t>
            </w:r>
            <w:r>
              <w:rPr>
                <w:rFonts w:hint="eastAsia"/>
                <w:u w:val="single"/>
              </w:rPr>
              <w:t xml:space="preserve">         </w:t>
            </w:r>
            <w:r>
              <w:rPr>
                <w:rFonts w:hint="eastAsia"/>
              </w:rPr>
              <w:t>%。</w:t>
            </w:r>
          </w:p>
          <w:p>
            <w:pPr>
              <w:pStyle w:val="2"/>
              <w:ind w:left="0"/>
            </w:pPr>
            <w:r>
              <w:rPr>
                <w:rFonts w:hint="eastAsia"/>
              </w:rPr>
              <w:t>（2）投标报价中的评审价金额与招标控制价相应金额的比值（比值＝投标报价中的评审价金额÷招标控制价相应金额，四舍五入后保留两位小数）的百分数小于或等于</w:t>
            </w:r>
            <w:r>
              <w:rPr>
                <w:rFonts w:hint="eastAsia"/>
                <w:u w:val="single"/>
              </w:rPr>
              <w:t xml:space="preserve">     </w:t>
            </w:r>
            <w:r>
              <w:rPr>
                <w:rFonts w:hint="eastAsia"/>
              </w:rPr>
              <w:t>%时，且与所有投标人（指投标文件全部内容经过详细评审而未被否决的投标人）的评审价金额算术平均值的比值（四舍五入后保留两位小数）的百分数小于或等于</w:t>
            </w:r>
            <w:r>
              <w:rPr>
                <w:rFonts w:hint="eastAsia"/>
                <w:u w:val="single"/>
              </w:rPr>
              <w:t xml:space="preserve">    </w:t>
            </w:r>
            <w:r>
              <w:rPr>
                <w:rFonts w:hint="eastAsia"/>
              </w:rPr>
              <w:t>%。</w:t>
            </w:r>
          </w:p>
          <w:p>
            <w:pPr>
              <w:pStyle w:val="2"/>
              <w:ind w:left="0"/>
              <w:rPr>
                <w:b/>
                <w:bCs/>
              </w:rPr>
            </w:pPr>
            <w:r>
              <w:rPr>
                <w:rFonts w:hint="eastAsia"/>
                <w:b/>
                <w:bCs/>
              </w:rPr>
              <w:t>二、低于成本评审的程序</w:t>
            </w:r>
          </w:p>
          <w:p>
            <w:pPr>
              <w:pStyle w:val="2"/>
              <w:ind w:left="0"/>
            </w:pPr>
            <w:r>
              <w:rPr>
                <w:rFonts w:hint="eastAsia"/>
              </w:rPr>
              <w:t>（1）评审及询问：</w:t>
            </w:r>
          </w:p>
          <w:p>
            <w:pPr>
              <w:pStyle w:val="2"/>
              <w:ind w:left="0" w:firstLine="440" w:firstLineChars="200"/>
            </w:pPr>
            <w:r>
              <w:rPr>
                <w:rFonts w:hint="eastAsia"/>
              </w:rPr>
              <w:t>报价评审组应对满足评审条件的投标报价（包括低价说明内容）进行分析，并可根据分析情况和评审需要向投标人提出询问。</w:t>
            </w:r>
          </w:p>
          <w:p>
            <w:pPr>
              <w:pStyle w:val="2"/>
              <w:ind w:left="0" w:firstLine="440" w:firstLineChars="200"/>
            </w:pPr>
            <w:r>
              <w:rPr>
                <w:rFonts w:hint="eastAsia"/>
              </w:rPr>
              <w:t>报价评审组的询问必须以书面形式进行，投标人对询问的答复、澄清、解释均采用书面形式，并由投标人的法定代表人或其授权的代理人签字有效。</w:t>
            </w:r>
          </w:p>
          <w:p>
            <w:pPr>
              <w:pStyle w:val="2"/>
              <w:ind w:left="0" w:firstLine="440" w:firstLineChars="200"/>
            </w:pPr>
            <w:r>
              <w:rPr>
                <w:rFonts w:hint="eastAsia"/>
              </w:rPr>
              <w:t>报价评审组只能对投标报价中的相关问题向投标人提出询问并要求作出必要的澄清或说明，但澄清或说明不得超出投标文件的范围或改变投标文件的实质性内容。</w:t>
            </w:r>
          </w:p>
          <w:p>
            <w:pPr>
              <w:pStyle w:val="2"/>
              <w:ind w:left="0"/>
            </w:pPr>
            <w:r>
              <w:rPr>
                <w:rFonts w:hint="eastAsia"/>
              </w:rPr>
              <w:t>（2）评估及判断：</w:t>
            </w:r>
          </w:p>
          <w:p>
            <w:pPr>
              <w:pStyle w:val="2"/>
              <w:ind w:left="0"/>
            </w:pPr>
            <w:r>
              <w:rPr>
                <w:rFonts w:hint="eastAsia"/>
              </w:rPr>
              <w:t>报价评审组通过对投标报价（包括低价说明内容）及投标人的答复进行分析、论证，评估，并按照下列原则判断投标人是否低于成本报价竞标。</w:t>
            </w:r>
          </w:p>
          <w:p>
            <w:pPr>
              <w:pStyle w:val="2"/>
              <w:ind w:left="0" w:firstLine="220" w:firstLineChars="100"/>
            </w:pPr>
            <w:r>
              <w:rPr>
                <w:rFonts w:hint="eastAsia"/>
              </w:rPr>
              <w:t>①报价评审组经过对投标报价（包括低价说明）的分析、论证、评估，认为其投标报价不可行的，应认定该投标人以低于成本报价竞标。</w:t>
            </w:r>
          </w:p>
          <w:p>
            <w:pPr>
              <w:pStyle w:val="2"/>
              <w:ind w:left="0" w:firstLine="220" w:firstLineChars="100"/>
            </w:pPr>
            <w:r>
              <w:rPr>
                <w:rFonts w:hint="eastAsia"/>
              </w:rPr>
              <w:t>②投标人对报价评审组提出的询问不能说明理由或报价评审组经评审认为其理由不能成立的，应认定该投标人以低于成本报价竞标。</w:t>
            </w:r>
          </w:p>
          <w:p>
            <w:pPr>
              <w:pStyle w:val="2"/>
              <w:ind w:left="0" w:firstLine="220" w:firstLineChars="100"/>
            </w:pPr>
            <w:r>
              <w:rPr>
                <w:rFonts w:hint="eastAsia"/>
              </w:rPr>
              <w:t>③投标人对报价评审组提出的询问拒绝回复，或回复没有法定代表人或其授权的代理人签字的，应认定该投标人以低于成本报价竞标。</w:t>
            </w:r>
          </w:p>
          <w:p>
            <w:pPr>
              <w:pStyle w:val="2"/>
              <w:ind w:left="0"/>
            </w:pPr>
            <w:r>
              <w:rPr>
                <w:rFonts w:hint="eastAsia"/>
              </w:rPr>
              <w:t>被判定为低于成本竞标的投标报价，报价评审组应否决其投标。</w:t>
            </w:r>
          </w:p>
          <w:p>
            <w:pPr>
              <w:pStyle w:val="2"/>
              <w:ind w:left="0"/>
            </w:pPr>
            <w:r>
              <w:rPr>
                <w:rFonts w:hint="eastAsia"/>
              </w:rPr>
              <w:t>对满足低于成本评审条件的投标报价，报价评审组经评审认为其不低于成本的，应当书面说明理由。</w:t>
            </w:r>
          </w:p>
          <w:p>
            <w:pPr>
              <w:pStyle w:val="2"/>
              <w:ind w:left="0"/>
              <w:rPr>
                <w:b/>
                <w:bCs/>
              </w:rPr>
            </w:pPr>
            <w:r>
              <w:rPr>
                <w:rFonts w:hint="eastAsia"/>
                <w:b/>
                <w:bCs/>
              </w:rPr>
              <w:t>三、评估及判断原则：</w:t>
            </w:r>
          </w:p>
          <w:p>
            <w:pPr>
              <w:pStyle w:val="2"/>
              <w:ind w:left="0" w:firstLine="440" w:firstLineChars="200"/>
            </w:pPr>
            <w:r>
              <w:rPr>
                <w:rFonts w:hint="eastAsia"/>
              </w:rPr>
              <w:t>报价评审组应对投标人作出的答复、澄清、说明及提供的相关证明材料进行认真的分析、论证、评估和判断。</w:t>
            </w:r>
          </w:p>
          <w:p>
            <w:pPr>
              <w:pStyle w:val="2"/>
              <w:ind w:left="0" w:firstLine="440" w:firstLineChars="200"/>
            </w:pPr>
            <w:r>
              <w:rPr>
                <w:rFonts w:hint="eastAsia"/>
              </w:rPr>
              <w:t>报价评审组在判定低于成本竞标发生分歧时，以超过半数以上的报价评审组的意见作出投标报价是否低于成本竞标的判断依据。当报价评审组为偶数，对判定投标报价是否低于成本竞标发生分歧且均未超过半数时，应将不同评审意见提交评标委员会全体评标专家进行审议，由评标委员会全体评标专家表决，按三分之二以上的表决意见作为判定投标报价是否低于成本竞标的依据。</w:t>
            </w:r>
          </w:p>
        </w:tc>
      </w:tr>
      <w:tr>
        <w:tblPrEx>
          <w:tblCellMar>
            <w:top w:w="0" w:type="dxa"/>
            <w:left w:w="108" w:type="dxa"/>
            <w:bottom w:w="0" w:type="dxa"/>
            <w:right w:w="108" w:type="dxa"/>
          </w:tblCellMar>
        </w:tblPrEx>
        <w:trPr>
          <w:trHeight w:val="637" w:hRule="atLeast"/>
          <w:jc w:val="center"/>
        </w:trPr>
        <w:tc>
          <w:tcPr>
            <w:tcW w:w="955" w:type="dxa"/>
            <w:tcBorders>
              <w:top w:val="nil"/>
              <w:left w:val="single" w:color="000000" w:sz="4" w:space="0"/>
              <w:bottom w:val="single" w:color="000000" w:sz="4" w:space="0"/>
              <w:right w:val="single" w:color="000000" w:sz="4" w:space="0"/>
            </w:tcBorders>
            <w:vAlign w:val="center"/>
          </w:tcPr>
          <w:p>
            <w:pPr>
              <w:pStyle w:val="2"/>
              <w:ind w:left="0"/>
              <w:jc w:val="center"/>
            </w:pPr>
            <w:r>
              <w:t>2.2</w:t>
            </w:r>
          </w:p>
        </w:tc>
        <w:tc>
          <w:tcPr>
            <w:tcW w:w="8950" w:type="dxa"/>
            <w:gridSpan w:val="5"/>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分值构成与评分标准</w:t>
            </w:r>
          </w:p>
        </w:tc>
      </w:tr>
      <w:tr>
        <w:tblPrEx>
          <w:tblCellMar>
            <w:top w:w="0" w:type="dxa"/>
            <w:left w:w="108" w:type="dxa"/>
            <w:bottom w:w="0" w:type="dxa"/>
            <w:right w:w="108" w:type="dxa"/>
          </w:tblCellMar>
        </w:tblPrEx>
        <w:trPr>
          <w:trHeight w:val="1052" w:hRule="atLeast"/>
          <w:jc w:val="center"/>
        </w:trPr>
        <w:tc>
          <w:tcPr>
            <w:tcW w:w="955" w:type="dxa"/>
            <w:tcBorders>
              <w:top w:val="nil"/>
              <w:left w:val="single" w:color="000000" w:sz="4" w:space="0"/>
              <w:bottom w:val="single" w:color="000000" w:sz="4" w:space="0"/>
              <w:right w:val="single" w:color="000000" w:sz="4" w:space="0"/>
            </w:tcBorders>
            <w:vAlign w:val="center"/>
          </w:tcPr>
          <w:p>
            <w:pPr>
              <w:pStyle w:val="2"/>
              <w:ind w:left="0"/>
              <w:jc w:val="center"/>
            </w:pPr>
            <w:r>
              <w:rPr>
                <w:rFonts w:hint="eastAsia"/>
              </w:rPr>
              <w:t>2.2.1</w:t>
            </w:r>
          </w:p>
        </w:tc>
        <w:tc>
          <w:tcPr>
            <w:tcW w:w="1459" w:type="dxa"/>
            <w:gridSpan w:val="2"/>
            <w:tcBorders>
              <w:top w:val="single" w:color="000000" w:sz="4" w:space="0"/>
              <w:left w:val="nil"/>
              <w:bottom w:val="single" w:color="000000" w:sz="4" w:space="0"/>
              <w:right w:val="single" w:color="000000" w:sz="4" w:space="0"/>
            </w:tcBorders>
            <w:vAlign w:val="center"/>
          </w:tcPr>
          <w:p>
            <w:pPr>
              <w:pStyle w:val="2"/>
              <w:ind w:left="0"/>
              <w:jc w:val="center"/>
            </w:pPr>
            <w:r>
              <w:rPr>
                <w:rFonts w:hint="eastAsia"/>
              </w:rPr>
              <w:t>分值构成</w:t>
            </w:r>
          </w:p>
          <w:p>
            <w:pPr>
              <w:pStyle w:val="2"/>
              <w:ind w:left="0"/>
              <w:jc w:val="center"/>
            </w:pPr>
            <w:r>
              <w:rPr>
                <w:rFonts w:hint="eastAsia"/>
              </w:rPr>
              <w:t>总分100分</w:t>
            </w:r>
          </w:p>
        </w:tc>
        <w:tc>
          <w:tcPr>
            <w:tcW w:w="7491" w:type="dxa"/>
            <w:gridSpan w:val="3"/>
            <w:tcBorders>
              <w:top w:val="single" w:color="000000" w:sz="4" w:space="0"/>
              <w:left w:val="nil"/>
              <w:bottom w:val="single" w:color="000000" w:sz="4" w:space="0"/>
              <w:right w:val="single" w:color="000000" w:sz="4" w:space="0"/>
            </w:tcBorders>
            <w:vAlign w:val="center"/>
          </w:tcPr>
          <w:p>
            <w:pPr>
              <w:pStyle w:val="2"/>
              <w:ind w:left="0"/>
            </w:pPr>
            <w:r>
              <w:rPr>
                <w:rFonts w:hint="eastAsia"/>
              </w:rPr>
              <w:t>实施方案：</w:t>
            </w:r>
            <w:r>
              <w:rPr>
                <w:rFonts w:hint="eastAsia"/>
                <w:u w:val="single"/>
              </w:rPr>
              <w:t xml:space="preserve">   </w:t>
            </w:r>
            <w:r>
              <w:rPr>
                <w:rFonts w:hint="eastAsia"/>
              </w:rPr>
              <w:t>分（参考分值范围：5-10分）</w:t>
            </w:r>
          </w:p>
          <w:p>
            <w:pPr>
              <w:pStyle w:val="2"/>
              <w:ind w:left="0"/>
            </w:pPr>
            <w:r>
              <w:rPr>
                <w:rFonts w:hint="eastAsia"/>
              </w:rPr>
              <w:t>项目管理机构：</w:t>
            </w:r>
            <w:r>
              <w:rPr>
                <w:rFonts w:hint="eastAsia"/>
                <w:u w:val="single"/>
              </w:rPr>
              <w:t xml:space="preserve">   </w:t>
            </w:r>
            <w:r>
              <w:rPr>
                <w:rFonts w:hint="eastAsia"/>
              </w:rPr>
              <w:t>分（参考分值范围：5-20分）</w:t>
            </w:r>
          </w:p>
          <w:p>
            <w:pPr>
              <w:pStyle w:val="2"/>
              <w:ind w:left="0"/>
            </w:pPr>
            <w:r>
              <w:rPr>
                <w:rFonts w:hint="eastAsia"/>
              </w:rPr>
              <w:t>投标报价：</w:t>
            </w:r>
            <w:r>
              <w:rPr>
                <w:rFonts w:hint="eastAsia"/>
                <w:u w:val="single"/>
              </w:rPr>
              <w:t xml:space="preserve">   </w:t>
            </w:r>
            <w:r>
              <w:rPr>
                <w:rFonts w:hint="eastAsia"/>
              </w:rPr>
              <w:t>分（不低于60分）</w:t>
            </w:r>
          </w:p>
          <w:p>
            <w:pPr>
              <w:pStyle w:val="2"/>
              <w:ind w:left="0"/>
            </w:pPr>
            <w:r>
              <w:rPr>
                <w:rFonts w:hint="eastAsia"/>
              </w:rPr>
              <w:t>其他评分因素：</w:t>
            </w:r>
            <w:r>
              <w:rPr>
                <w:rFonts w:hint="eastAsia"/>
                <w:u w:val="single"/>
              </w:rPr>
              <w:t xml:space="preserve">   </w:t>
            </w:r>
            <w:r>
              <w:rPr>
                <w:rFonts w:hint="eastAsia"/>
              </w:rPr>
              <w:t>分（参考分值范围：5-20分）</w:t>
            </w:r>
          </w:p>
          <w:p>
            <w:pPr>
              <w:pStyle w:val="2"/>
              <w:ind w:left="0"/>
            </w:pPr>
            <w:r>
              <w:rPr>
                <w:rFonts w:hint="eastAsia"/>
              </w:rPr>
              <w:t>□信用得分：</w:t>
            </w:r>
            <w:r>
              <w:rPr>
                <w:rFonts w:hint="eastAsia"/>
                <w:u w:val="single"/>
              </w:rPr>
              <w:t xml:space="preserve">   </w:t>
            </w:r>
            <w:r>
              <w:rPr>
                <w:rFonts w:hint="eastAsia"/>
              </w:rPr>
              <w:t>分（分值范围：8-10分）</w:t>
            </w:r>
          </w:p>
        </w:tc>
      </w:tr>
      <w:tr>
        <w:tblPrEx>
          <w:tblCellMar>
            <w:top w:w="0" w:type="dxa"/>
            <w:left w:w="108" w:type="dxa"/>
            <w:bottom w:w="0" w:type="dxa"/>
            <w:right w:w="108" w:type="dxa"/>
          </w:tblCellMar>
        </w:tblPrEx>
        <w:trPr>
          <w:trHeight w:val="627" w:hRule="atLeast"/>
          <w:jc w:val="center"/>
        </w:trPr>
        <w:tc>
          <w:tcPr>
            <w:tcW w:w="2414" w:type="dxa"/>
            <w:gridSpan w:val="3"/>
            <w:tcBorders>
              <w:top w:val="nil"/>
              <w:left w:val="single" w:color="000000" w:sz="4" w:space="0"/>
              <w:bottom w:val="single" w:color="000000" w:sz="4" w:space="0"/>
              <w:right w:val="single" w:color="000000" w:sz="4" w:space="0"/>
            </w:tcBorders>
            <w:vAlign w:val="center"/>
          </w:tcPr>
          <w:p>
            <w:pPr>
              <w:pStyle w:val="2"/>
              <w:ind w:left="0"/>
              <w:jc w:val="center"/>
              <w:rPr>
                <w:b/>
                <w:bCs/>
              </w:rPr>
            </w:pPr>
            <w:r>
              <w:rPr>
                <w:rFonts w:hint="eastAsia"/>
                <w:b/>
                <w:bCs/>
              </w:rPr>
              <w:t>条款号</w:t>
            </w:r>
          </w:p>
        </w:tc>
        <w:tc>
          <w:tcPr>
            <w:tcW w:w="2511" w:type="dxa"/>
            <w:gridSpan w:val="2"/>
            <w:tcBorders>
              <w:top w:val="single" w:color="000000" w:sz="4" w:space="0"/>
              <w:left w:val="nil"/>
              <w:bottom w:val="single" w:color="000000" w:sz="4" w:space="0"/>
              <w:right w:val="single" w:color="auto" w:sz="4" w:space="0"/>
            </w:tcBorders>
            <w:vAlign w:val="center"/>
          </w:tcPr>
          <w:p>
            <w:pPr>
              <w:pStyle w:val="2"/>
              <w:ind w:left="0"/>
              <w:jc w:val="center"/>
              <w:rPr>
                <w:b/>
                <w:bCs/>
              </w:rPr>
            </w:pPr>
            <w:r>
              <w:rPr>
                <w:rFonts w:hint="eastAsia"/>
                <w:b/>
                <w:bCs/>
              </w:rPr>
              <w:t>评分因素</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jc w:val="center"/>
              <w:rPr>
                <w:b/>
                <w:bCs/>
              </w:rPr>
            </w:pPr>
            <w:r>
              <w:rPr>
                <w:rFonts w:hint="eastAsia"/>
                <w:b/>
                <w:bCs/>
              </w:rPr>
              <w:t>评分标准</w:t>
            </w:r>
          </w:p>
        </w:tc>
      </w:tr>
      <w:tr>
        <w:tblPrEx>
          <w:tblCellMar>
            <w:top w:w="0" w:type="dxa"/>
            <w:left w:w="108" w:type="dxa"/>
            <w:bottom w:w="0" w:type="dxa"/>
            <w:right w:w="108" w:type="dxa"/>
          </w:tblCellMar>
        </w:tblPrEx>
        <w:trPr>
          <w:trHeight w:val="579" w:hRule="atLeast"/>
          <w:jc w:val="center"/>
        </w:trPr>
        <w:tc>
          <w:tcPr>
            <w:tcW w:w="955" w:type="dxa"/>
            <w:vMerge w:val="restart"/>
            <w:tcBorders>
              <w:top w:val="single" w:color="auto" w:sz="4" w:space="0"/>
              <w:left w:val="single" w:color="auto" w:sz="4" w:space="0"/>
              <w:right w:val="single" w:color="000000" w:sz="4" w:space="0"/>
            </w:tcBorders>
            <w:vAlign w:val="center"/>
          </w:tcPr>
          <w:p>
            <w:pPr>
              <w:pStyle w:val="2"/>
              <w:ind w:left="0"/>
              <w:jc w:val="center"/>
            </w:pPr>
            <w:r>
              <w:rPr>
                <w:rFonts w:hint="eastAsia"/>
              </w:rPr>
              <w:t>2.2.</w:t>
            </w:r>
            <w:r>
              <w:t>2</w:t>
            </w:r>
            <w:r>
              <w:rPr>
                <w:rFonts w:hint="eastAsia"/>
              </w:rPr>
              <w:t>（1）</w:t>
            </w:r>
          </w:p>
        </w:tc>
        <w:tc>
          <w:tcPr>
            <w:tcW w:w="1459" w:type="dxa"/>
            <w:gridSpan w:val="2"/>
            <w:vMerge w:val="restart"/>
            <w:tcBorders>
              <w:top w:val="single" w:color="auto" w:sz="4" w:space="0"/>
              <w:left w:val="nil"/>
              <w:right w:val="single" w:color="auto" w:sz="4" w:space="0"/>
            </w:tcBorders>
            <w:vAlign w:val="center"/>
          </w:tcPr>
          <w:p>
            <w:pPr>
              <w:pStyle w:val="2"/>
              <w:ind w:left="0"/>
              <w:jc w:val="center"/>
            </w:pPr>
            <w:r>
              <w:rPr>
                <w:rFonts w:hint="eastAsia"/>
              </w:rPr>
              <w:t>实施方案</w:t>
            </w:r>
          </w:p>
          <w:p>
            <w:pPr>
              <w:pStyle w:val="2"/>
              <w:ind w:left="0"/>
              <w:jc w:val="center"/>
            </w:pPr>
            <w:r>
              <w:rPr>
                <w:rFonts w:hint="eastAsia"/>
              </w:rPr>
              <w:t>评分标准</w:t>
            </w: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质量管理体系与措施</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459" w:hRule="atLeast"/>
          <w:jc w:val="center"/>
        </w:trPr>
        <w:tc>
          <w:tcPr>
            <w:tcW w:w="955" w:type="dxa"/>
            <w:vMerge w:val="continue"/>
            <w:tcBorders>
              <w:left w:val="single" w:color="auto" w:sz="4" w:space="0"/>
              <w:right w:val="single" w:color="000000" w:sz="4" w:space="0"/>
            </w:tcBorders>
            <w:vAlign w:val="center"/>
          </w:tcPr>
          <w:p>
            <w:pPr>
              <w:pStyle w:val="2"/>
              <w:ind w:left="0"/>
              <w:jc w:val="center"/>
            </w:pPr>
          </w:p>
        </w:tc>
        <w:tc>
          <w:tcPr>
            <w:tcW w:w="1459" w:type="dxa"/>
            <w:gridSpan w:val="2"/>
            <w:vMerge w:val="continue"/>
            <w:tcBorders>
              <w:left w:val="nil"/>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安全文明措施</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565" w:hRule="atLeast"/>
          <w:jc w:val="center"/>
        </w:trPr>
        <w:tc>
          <w:tcPr>
            <w:tcW w:w="955" w:type="dxa"/>
            <w:vMerge w:val="continue"/>
            <w:tcBorders>
              <w:left w:val="single" w:color="auto" w:sz="4" w:space="0"/>
              <w:right w:val="single" w:color="000000" w:sz="4" w:space="0"/>
            </w:tcBorders>
            <w:vAlign w:val="center"/>
          </w:tcPr>
          <w:p>
            <w:pPr>
              <w:pStyle w:val="2"/>
              <w:ind w:left="0"/>
              <w:jc w:val="center"/>
            </w:pPr>
          </w:p>
        </w:tc>
        <w:tc>
          <w:tcPr>
            <w:tcW w:w="1459" w:type="dxa"/>
            <w:gridSpan w:val="2"/>
            <w:vMerge w:val="continue"/>
            <w:tcBorders>
              <w:left w:val="nil"/>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工程进度计划</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413" w:hRule="atLeast"/>
          <w:jc w:val="center"/>
        </w:trPr>
        <w:tc>
          <w:tcPr>
            <w:tcW w:w="955" w:type="dxa"/>
            <w:vMerge w:val="continue"/>
            <w:tcBorders>
              <w:left w:val="single" w:color="auto" w:sz="4" w:space="0"/>
              <w:right w:val="single" w:color="000000" w:sz="4" w:space="0"/>
            </w:tcBorders>
            <w:vAlign w:val="center"/>
          </w:tcPr>
          <w:p>
            <w:pPr>
              <w:pStyle w:val="2"/>
              <w:ind w:left="0"/>
              <w:jc w:val="center"/>
            </w:pPr>
          </w:p>
        </w:tc>
        <w:tc>
          <w:tcPr>
            <w:tcW w:w="1459" w:type="dxa"/>
            <w:gridSpan w:val="2"/>
            <w:vMerge w:val="continue"/>
            <w:tcBorders>
              <w:left w:val="nil"/>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主要施工机械设备配备</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557" w:hRule="atLeast"/>
          <w:jc w:val="center"/>
        </w:trPr>
        <w:tc>
          <w:tcPr>
            <w:tcW w:w="955" w:type="dxa"/>
            <w:vMerge w:val="continue"/>
            <w:tcBorders>
              <w:left w:val="single" w:color="auto" w:sz="4" w:space="0"/>
              <w:right w:val="single" w:color="000000" w:sz="4" w:space="0"/>
            </w:tcBorders>
            <w:vAlign w:val="center"/>
          </w:tcPr>
          <w:p>
            <w:pPr>
              <w:pStyle w:val="2"/>
              <w:ind w:left="0"/>
              <w:jc w:val="center"/>
            </w:pPr>
          </w:p>
        </w:tc>
        <w:tc>
          <w:tcPr>
            <w:tcW w:w="1459" w:type="dxa"/>
            <w:gridSpan w:val="2"/>
            <w:vMerge w:val="continue"/>
            <w:tcBorders>
              <w:left w:val="nil"/>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劳动力安排计划</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471" w:hRule="atLeast"/>
          <w:jc w:val="center"/>
        </w:trPr>
        <w:tc>
          <w:tcPr>
            <w:tcW w:w="955" w:type="dxa"/>
            <w:vMerge w:val="continue"/>
            <w:tcBorders>
              <w:left w:val="single" w:color="auto" w:sz="4" w:space="0"/>
              <w:right w:val="single" w:color="000000" w:sz="4" w:space="0"/>
            </w:tcBorders>
            <w:vAlign w:val="center"/>
          </w:tcPr>
          <w:p>
            <w:pPr>
              <w:pStyle w:val="2"/>
              <w:ind w:left="0"/>
              <w:jc w:val="center"/>
            </w:pPr>
          </w:p>
        </w:tc>
        <w:tc>
          <w:tcPr>
            <w:tcW w:w="1459" w:type="dxa"/>
            <w:gridSpan w:val="2"/>
            <w:vMerge w:val="continue"/>
            <w:tcBorders>
              <w:left w:val="nil"/>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施工总平面图</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421" w:hRule="atLeast"/>
          <w:jc w:val="center"/>
        </w:trPr>
        <w:tc>
          <w:tcPr>
            <w:tcW w:w="955" w:type="dxa"/>
            <w:vMerge w:val="continue"/>
            <w:tcBorders>
              <w:left w:val="single" w:color="auto" w:sz="4" w:space="0"/>
              <w:bottom w:val="single" w:color="auto" w:sz="4" w:space="0"/>
              <w:right w:val="single" w:color="000000" w:sz="4" w:space="0"/>
            </w:tcBorders>
            <w:vAlign w:val="center"/>
          </w:tcPr>
          <w:p>
            <w:pPr>
              <w:pStyle w:val="2"/>
              <w:ind w:left="0"/>
              <w:jc w:val="center"/>
            </w:pPr>
          </w:p>
        </w:tc>
        <w:tc>
          <w:tcPr>
            <w:tcW w:w="1459" w:type="dxa"/>
            <w:gridSpan w:val="2"/>
            <w:vMerge w:val="continue"/>
            <w:tcBorders>
              <w:left w:val="nil"/>
              <w:bottom w:val="single" w:color="auto" w:sz="4" w:space="0"/>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4980" w:type="dxa"/>
            <w:tcBorders>
              <w:top w:val="single" w:color="000000" w:sz="4" w:space="0"/>
              <w:left w:val="single" w:color="auto" w:sz="4" w:space="0"/>
              <w:bottom w:val="single" w:color="auto"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1052" w:hRule="atLeast"/>
          <w:jc w:val="center"/>
        </w:trPr>
        <w:tc>
          <w:tcPr>
            <w:tcW w:w="955" w:type="dxa"/>
            <w:vMerge w:val="continue"/>
            <w:tcBorders>
              <w:top w:val="single" w:color="auto" w:sz="4" w:space="0"/>
              <w:left w:val="single" w:color="auto" w:sz="4" w:space="0"/>
              <w:bottom w:val="single" w:color="auto" w:sz="4" w:space="0"/>
              <w:right w:val="single" w:color="000000" w:sz="4" w:space="0"/>
            </w:tcBorders>
            <w:vAlign w:val="center"/>
          </w:tcPr>
          <w:p>
            <w:pPr>
              <w:pStyle w:val="2"/>
              <w:ind w:left="0"/>
              <w:jc w:val="center"/>
            </w:pPr>
          </w:p>
        </w:tc>
        <w:tc>
          <w:tcPr>
            <w:tcW w:w="1459" w:type="dxa"/>
            <w:gridSpan w:val="2"/>
            <w:vMerge w:val="continue"/>
            <w:tcBorders>
              <w:top w:val="single" w:color="auto" w:sz="4" w:space="0"/>
              <w:left w:val="nil"/>
              <w:bottom w:val="single" w:color="auto" w:sz="4" w:space="0"/>
              <w:right w:val="single" w:color="auto" w:sz="4" w:space="0"/>
            </w:tcBorders>
            <w:vAlign w:val="center"/>
          </w:tcPr>
          <w:p>
            <w:pPr>
              <w:pStyle w:val="2"/>
              <w:ind w:left="0"/>
              <w:jc w:val="center"/>
            </w:pPr>
          </w:p>
        </w:tc>
        <w:tc>
          <w:tcPr>
            <w:tcW w:w="7491" w:type="dxa"/>
            <w:gridSpan w:val="3"/>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注：</w:t>
            </w:r>
          </w:p>
          <w:p>
            <w:pPr>
              <w:pStyle w:val="2"/>
              <w:ind w:left="0"/>
            </w:pPr>
            <w:r>
              <w:rPr>
                <w:rFonts w:hint="eastAsia"/>
              </w:rPr>
              <w:t>评分标准设置原则：</w:t>
            </w:r>
          </w:p>
          <w:p>
            <w:pPr>
              <w:pStyle w:val="2"/>
              <w:ind w:left="0"/>
            </w:pPr>
            <w:r>
              <w:rPr>
                <w:rFonts w:hint="eastAsia"/>
              </w:rPr>
              <w:t>按照各投标单位方案优劣分为</w:t>
            </w:r>
            <w:r>
              <w:t>“优、良、一般、差、无”5等，“优”分值区间设置为总分的90%-100%，“良”分值区间设置为总分的75%-85%，“一般”分值区间设置为总分的60%-70%，“差”分值区间设置为总分的30%-45%，“无”设置为0分。</w:t>
            </w:r>
          </w:p>
        </w:tc>
      </w:tr>
      <w:tr>
        <w:tblPrEx>
          <w:tblCellMar>
            <w:top w:w="0" w:type="dxa"/>
            <w:left w:w="108" w:type="dxa"/>
            <w:bottom w:w="0" w:type="dxa"/>
            <w:right w:w="108" w:type="dxa"/>
          </w:tblCellMar>
        </w:tblPrEx>
        <w:trPr>
          <w:trHeight w:val="745" w:hRule="atLeast"/>
          <w:jc w:val="center"/>
        </w:trPr>
        <w:tc>
          <w:tcPr>
            <w:tcW w:w="955" w:type="dxa"/>
            <w:vMerge w:val="restart"/>
            <w:tcBorders>
              <w:top w:val="single" w:color="auto" w:sz="4" w:space="0"/>
              <w:left w:val="single" w:color="000000" w:sz="4" w:space="0"/>
              <w:bottom w:val="single" w:color="000000" w:sz="4" w:space="0"/>
              <w:right w:val="single" w:color="000000" w:sz="4" w:space="0"/>
            </w:tcBorders>
            <w:vAlign w:val="center"/>
          </w:tcPr>
          <w:p>
            <w:pPr>
              <w:pStyle w:val="2"/>
              <w:ind w:left="0"/>
              <w:jc w:val="center"/>
            </w:pPr>
            <w:r>
              <w:rPr>
                <w:rFonts w:hint="eastAsia"/>
              </w:rPr>
              <w:t>2.2.</w:t>
            </w:r>
            <w:r>
              <w:t>2</w:t>
            </w:r>
            <w:r>
              <w:rPr>
                <w:rFonts w:hint="eastAsia"/>
              </w:rPr>
              <w:t>（2）</w:t>
            </w:r>
          </w:p>
        </w:tc>
        <w:tc>
          <w:tcPr>
            <w:tcW w:w="1459" w:type="dxa"/>
            <w:gridSpan w:val="2"/>
            <w:vMerge w:val="restart"/>
            <w:tcBorders>
              <w:top w:val="single" w:color="auto" w:sz="4" w:space="0"/>
              <w:left w:val="nil"/>
              <w:bottom w:val="single" w:color="000000" w:sz="4" w:space="0"/>
              <w:right w:val="single" w:color="auto" w:sz="4" w:space="0"/>
            </w:tcBorders>
            <w:vAlign w:val="center"/>
          </w:tcPr>
          <w:p>
            <w:pPr>
              <w:pStyle w:val="2"/>
              <w:ind w:left="0"/>
              <w:jc w:val="center"/>
            </w:pPr>
            <w:r>
              <w:rPr>
                <w:rFonts w:hint="eastAsia"/>
              </w:rPr>
              <w:t>项目管理机构评分标准</w:t>
            </w:r>
          </w:p>
        </w:tc>
        <w:tc>
          <w:tcPr>
            <w:tcW w:w="2511" w:type="dxa"/>
            <w:gridSpan w:val="2"/>
            <w:tcBorders>
              <w:top w:val="single" w:color="auto" w:sz="4" w:space="0"/>
              <w:left w:val="single" w:color="auto" w:sz="4" w:space="0"/>
              <w:bottom w:val="single" w:color="000000" w:sz="4" w:space="0"/>
              <w:right w:val="single" w:color="auto" w:sz="4" w:space="0"/>
            </w:tcBorders>
            <w:vAlign w:val="center"/>
          </w:tcPr>
          <w:p>
            <w:pPr>
              <w:pStyle w:val="2"/>
              <w:ind w:left="0"/>
              <w:jc w:val="center"/>
            </w:pPr>
            <w:r>
              <w:rPr>
                <w:rFonts w:hint="eastAsia"/>
              </w:rPr>
              <w:t>□勘察负责人任职资格与类似业绩</w:t>
            </w:r>
          </w:p>
        </w:tc>
        <w:tc>
          <w:tcPr>
            <w:tcW w:w="4980" w:type="dxa"/>
            <w:tcBorders>
              <w:top w:val="single" w:color="auto" w:sz="4" w:space="0"/>
              <w:left w:val="single" w:color="auto" w:sz="4" w:space="0"/>
              <w:bottom w:val="single" w:color="000000" w:sz="4" w:space="0"/>
              <w:right w:val="single" w:color="000000" w:sz="4" w:space="0"/>
            </w:tcBorders>
            <w:vAlign w:val="center"/>
          </w:tcPr>
          <w:p>
            <w:pPr>
              <w:pStyle w:val="2"/>
              <w:ind w:left="0"/>
            </w:pPr>
          </w:p>
        </w:tc>
      </w:tr>
      <w:tr>
        <w:tblPrEx>
          <w:tblCellMar>
            <w:top w:w="0" w:type="dxa"/>
            <w:left w:w="108" w:type="dxa"/>
            <w:bottom w:w="0" w:type="dxa"/>
            <w:right w:w="108" w:type="dxa"/>
          </w:tblCellMar>
        </w:tblPrEx>
        <w:trPr>
          <w:trHeight w:val="630" w:hRule="atLeast"/>
          <w:jc w:val="center"/>
        </w:trPr>
        <w:tc>
          <w:tcPr>
            <w:tcW w:w="955" w:type="dxa"/>
            <w:vMerge w:val="continue"/>
            <w:tcBorders>
              <w:top w:val="single" w:color="auto" w:sz="4" w:space="0"/>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top w:val="single" w:color="auto" w:sz="4" w:space="0"/>
              <w:left w:val="nil"/>
              <w:bottom w:val="single" w:color="000000" w:sz="4" w:space="0"/>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□设勘察人员配备情况</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pPr>
          </w:p>
        </w:tc>
      </w:tr>
      <w:tr>
        <w:tblPrEx>
          <w:tblCellMar>
            <w:top w:w="0" w:type="dxa"/>
            <w:left w:w="108" w:type="dxa"/>
            <w:bottom w:w="0" w:type="dxa"/>
            <w:right w:w="108" w:type="dxa"/>
          </w:tblCellMar>
        </w:tblPrEx>
        <w:trPr>
          <w:trHeight w:val="740" w:hRule="atLeast"/>
          <w:jc w:val="center"/>
        </w:trPr>
        <w:tc>
          <w:tcPr>
            <w:tcW w:w="955" w:type="dxa"/>
            <w:vMerge w:val="continue"/>
            <w:tcBorders>
              <w:top w:val="single" w:color="auto" w:sz="4" w:space="0"/>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top w:val="single" w:color="auto" w:sz="4" w:space="0"/>
              <w:left w:val="nil"/>
              <w:bottom w:val="single" w:color="000000" w:sz="4" w:space="0"/>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设计负责人任职资格与类似业绩</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pPr>
            <w:r>
              <w:rPr>
                <w:rFonts w:hint="eastAsia"/>
              </w:rPr>
              <w:t>……</w:t>
            </w:r>
          </w:p>
        </w:tc>
      </w:tr>
      <w:tr>
        <w:tblPrEx>
          <w:tblCellMar>
            <w:top w:w="0" w:type="dxa"/>
            <w:left w:w="108" w:type="dxa"/>
            <w:bottom w:w="0" w:type="dxa"/>
            <w:right w:w="108" w:type="dxa"/>
          </w:tblCellMar>
        </w:tblPrEx>
        <w:trPr>
          <w:trHeight w:val="630" w:hRule="atLeast"/>
          <w:jc w:val="center"/>
        </w:trPr>
        <w:tc>
          <w:tcPr>
            <w:tcW w:w="955" w:type="dxa"/>
            <w:vMerge w:val="continue"/>
            <w:tcBorders>
              <w:top w:val="single" w:color="auto" w:sz="4" w:space="0"/>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top w:val="single" w:color="auto" w:sz="4" w:space="0"/>
              <w:left w:val="nil"/>
              <w:bottom w:val="single" w:color="000000" w:sz="4" w:space="0"/>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设计人员配备情况</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pPr>
            <w:r>
              <w:rPr>
                <w:rFonts w:hint="eastAsia"/>
              </w:rPr>
              <w:t>……</w:t>
            </w:r>
          </w:p>
        </w:tc>
      </w:tr>
      <w:tr>
        <w:tblPrEx>
          <w:tblCellMar>
            <w:top w:w="0" w:type="dxa"/>
            <w:left w:w="108" w:type="dxa"/>
            <w:bottom w:w="0" w:type="dxa"/>
            <w:right w:w="108" w:type="dxa"/>
          </w:tblCellMar>
        </w:tblPrEx>
        <w:trPr>
          <w:trHeight w:val="740" w:hRule="atLeast"/>
          <w:jc w:val="center"/>
        </w:trPr>
        <w:tc>
          <w:tcPr>
            <w:tcW w:w="955" w:type="dxa"/>
            <w:vMerge w:val="continue"/>
            <w:tcBorders>
              <w:top w:val="single" w:color="auto" w:sz="4" w:space="0"/>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top w:val="single" w:color="auto" w:sz="4" w:space="0"/>
              <w:left w:val="nil"/>
              <w:bottom w:val="single" w:color="000000" w:sz="4" w:space="0"/>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施工负责人任职资格与类似业绩</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pPr>
            <w:r>
              <w:rPr>
                <w:rFonts w:hint="eastAsia"/>
              </w:rPr>
              <w:t>……</w:t>
            </w:r>
          </w:p>
        </w:tc>
      </w:tr>
      <w:tr>
        <w:tblPrEx>
          <w:tblCellMar>
            <w:top w:w="0" w:type="dxa"/>
            <w:left w:w="108" w:type="dxa"/>
            <w:bottom w:w="0" w:type="dxa"/>
            <w:right w:w="108" w:type="dxa"/>
          </w:tblCellMar>
        </w:tblPrEx>
        <w:trPr>
          <w:trHeight w:val="650" w:hRule="atLeast"/>
          <w:jc w:val="center"/>
        </w:trPr>
        <w:tc>
          <w:tcPr>
            <w:tcW w:w="955" w:type="dxa"/>
            <w:vMerge w:val="continue"/>
            <w:tcBorders>
              <w:top w:val="single" w:color="auto" w:sz="4" w:space="0"/>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top w:val="single" w:color="auto" w:sz="4" w:space="0"/>
              <w:left w:val="nil"/>
              <w:bottom w:val="single" w:color="000000" w:sz="4" w:space="0"/>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施工项目班子配备情况</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pPr>
            <w:r>
              <w:rPr>
                <w:rFonts w:hint="eastAsia"/>
              </w:rPr>
              <w:t>……</w:t>
            </w:r>
          </w:p>
        </w:tc>
      </w:tr>
      <w:tr>
        <w:tblPrEx>
          <w:tblCellMar>
            <w:top w:w="0" w:type="dxa"/>
            <w:left w:w="108" w:type="dxa"/>
            <w:bottom w:w="0" w:type="dxa"/>
            <w:right w:w="108" w:type="dxa"/>
          </w:tblCellMar>
        </w:tblPrEx>
        <w:trPr>
          <w:trHeight w:val="557" w:hRule="atLeast"/>
          <w:jc w:val="center"/>
        </w:trPr>
        <w:tc>
          <w:tcPr>
            <w:tcW w:w="955" w:type="dxa"/>
            <w:vMerge w:val="continue"/>
            <w:tcBorders>
              <w:top w:val="single" w:color="auto" w:sz="4" w:space="0"/>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top w:val="single" w:color="auto" w:sz="4" w:space="0"/>
              <w:left w:val="nil"/>
              <w:bottom w:val="single" w:color="000000" w:sz="4" w:space="0"/>
              <w:right w:val="single" w:color="auto" w:sz="4" w:space="0"/>
            </w:tcBorders>
            <w:vAlign w:val="center"/>
          </w:tcPr>
          <w:p>
            <w:pPr>
              <w:pStyle w:val="2"/>
              <w:ind w:left="0"/>
              <w:jc w:val="center"/>
            </w:pPr>
          </w:p>
        </w:tc>
        <w:tc>
          <w:tcPr>
            <w:tcW w:w="2511" w:type="dxa"/>
            <w:gridSpan w:val="2"/>
            <w:tcBorders>
              <w:top w:val="single" w:color="000000" w:sz="4" w:space="0"/>
              <w:left w:val="single" w:color="auto" w:sz="4" w:space="0"/>
              <w:bottom w:val="single" w:color="000000" w:sz="4" w:space="0"/>
              <w:right w:val="single" w:color="auto" w:sz="4" w:space="0"/>
            </w:tcBorders>
            <w:vAlign w:val="center"/>
          </w:tcPr>
          <w:p>
            <w:pPr>
              <w:pStyle w:val="2"/>
              <w:ind w:left="0"/>
              <w:jc w:val="center"/>
            </w:pPr>
            <w:r>
              <w:rPr>
                <w:rFonts w:hint="eastAsia"/>
              </w:rPr>
              <w:t>……</w:t>
            </w:r>
          </w:p>
        </w:tc>
        <w:tc>
          <w:tcPr>
            <w:tcW w:w="4980" w:type="dxa"/>
            <w:tcBorders>
              <w:top w:val="single" w:color="000000" w:sz="4" w:space="0"/>
              <w:left w:val="single" w:color="auto" w:sz="4" w:space="0"/>
              <w:bottom w:val="single" w:color="000000" w:sz="4" w:space="0"/>
              <w:right w:val="single" w:color="000000" w:sz="4" w:space="0"/>
            </w:tcBorders>
            <w:vAlign w:val="center"/>
          </w:tcPr>
          <w:p>
            <w:pPr>
              <w:pStyle w:val="2"/>
              <w:ind w:left="0"/>
            </w:pPr>
            <w:r>
              <w:rPr>
                <w:rFonts w:hint="eastAsia"/>
              </w:rPr>
              <w:t>……</w:t>
            </w:r>
          </w:p>
        </w:tc>
      </w:tr>
      <w:tr>
        <w:tblPrEx>
          <w:tblCellMar>
            <w:top w:w="0" w:type="dxa"/>
            <w:left w:w="108" w:type="dxa"/>
            <w:bottom w:w="0" w:type="dxa"/>
            <w:right w:w="108" w:type="dxa"/>
          </w:tblCellMar>
        </w:tblPrEx>
        <w:trPr>
          <w:trHeight w:val="1762" w:hRule="atLeast"/>
          <w:jc w:val="center"/>
        </w:trPr>
        <w:tc>
          <w:tcPr>
            <w:tcW w:w="955" w:type="dxa"/>
            <w:vMerge w:val="continue"/>
            <w:tcBorders>
              <w:left w:val="single" w:color="000000" w:sz="4" w:space="0"/>
              <w:bottom w:val="single" w:color="auto" w:sz="4" w:space="0"/>
              <w:right w:val="single" w:color="000000" w:sz="4" w:space="0"/>
            </w:tcBorders>
            <w:vAlign w:val="center"/>
          </w:tcPr>
          <w:p>
            <w:pPr>
              <w:pStyle w:val="2"/>
              <w:ind w:left="0"/>
              <w:jc w:val="center"/>
            </w:pPr>
          </w:p>
        </w:tc>
        <w:tc>
          <w:tcPr>
            <w:tcW w:w="1459" w:type="dxa"/>
            <w:gridSpan w:val="2"/>
            <w:vMerge w:val="continue"/>
            <w:tcBorders>
              <w:left w:val="nil"/>
              <w:bottom w:val="single" w:color="auto" w:sz="4" w:space="0"/>
              <w:right w:val="single" w:color="auto" w:sz="4" w:space="0"/>
            </w:tcBorders>
            <w:vAlign w:val="center"/>
          </w:tcPr>
          <w:p>
            <w:pPr>
              <w:pStyle w:val="2"/>
              <w:ind w:left="0"/>
              <w:jc w:val="center"/>
            </w:pPr>
          </w:p>
        </w:tc>
        <w:tc>
          <w:tcPr>
            <w:tcW w:w="7491" w:type="dxa"/>
            <w:gridSpan w:val="3"/>
            <w:tcBorders>
              <w:top w:val="single" w:color="000000" w:sz="4" w:space="0"/>
              <w:left w:val="single" w:color="auto" w:sz="4" w:space="0"/>
              <w:bottom w:val="single" w:color="auto" w:sz="4" w:space="0"/>
              <w:right w:val="single" w:color="000000" w:sz="4" w:space="0"/>
            </w:tcBorders>
            <w:vAlign w:val="center"/>
          </w:tcPr>
          <w:p>
            <w:pPr>
              <w:pStyle w:val="2"/>
              <w:ind w:left="0"/>
            </w:pPr>
            <w:r>
              <w:rPr>
                <w:rFonts w:hint="eastAsia"/>
              </w:rPr>
              <w:t>注：</w:t>
            </w:r>
          </w:p>
          <w:p>
            <w:pPr>
              <w:pStyle w:val="2"/>
              <w:ind w:left="0"/>
            </w:pPr>
            <w:r>
              <w:rPr>
                <w:rFonts w:hint="eastAsia"/>
              </w:rPr>
              <w:t>评分标准：</w:t>
            </w:r>
          </w:p>
          <w:p>
            <w:pPr>
              <w:pStyle w:val="2"/>
              <w:ind w:left="0" w:firstLine="440" w:firstLineChars="200"/>
            </w:pPr>
            <w:r>
              <w:rPr>
                <w:rFonts w:hint="eastAsia"/>
              </w:rPr>
              <w:t>项目经理具有注册证书得基本分，具有本项目相关专业职称的，可加分，加分不超过基本分的1/3。注册证书和职称证书所要求的专业必须对应本项目所属的专业资质类别。人员类似业绩可设置加分项，加分不得超过基本分的1/3。</w:t>
            </w:r>
          </w:p>
          <w:p>
            <w:pPr>
              <w:pStyle w:val="2"/>
              <w:ind w:left="0"/>
            </w:pPr>
            <w:r>
              <w:rPr>
                <w:rFonts w:hint="eastAsia"/>
              </w:rPr>
              <w:t>按照设计人员、施工项目班子配备情况分为</w:t>
            </w:r>
            <w:r>
              <w:t>“优、良、一般、差、无”5等，“优”分值区间设置为总分的90%-100%，“良”分值区间设置为总分的75%-85%，“一般”分值区间设置为总分的60%-70%，“差”分值区间设置为总分的30%-45%，“无”设置为0分。</w:t>
            </w:r>
          </w:p>
          <w:p>
            <w:pPr>
              <w:pStyle w:val="2"/>
              <w:ind w:left="0" w:firstLine="440" w:firstLineChars="200"/>
            </w:pPr>
            <w:r>
              <w:rPr>
                <w:rFonts w:hint="eastAsia"/>
              </w:rPr>
              <w:t>设计负责人、施工负责人类似业绩可设置加分。类似业绩指标仅限于工程规模、结构形式、施工工艺等方面，且应符合本次工程招标的内容。类似业绩中设置的投资额、面积、长度等规模性量化指标不得高于本次招标工程的相应指标。类似工程业绩的时限：不少于3年；每种资质的类似业绩个数不得超过3个，人员业绩可与“其他因素评分标准”中的类似业绩重复计分。</w:t>
            </w:r>
          </w:p>
          <w:p>
            <w:pPr>
              <w:pStyle w:val="2"/>
              <w:ind w:left="0"/>
            </w:pPr>
            <w:r>
              <w:rPr>
                <w:rFonts w:hint="eastAsia"/>
              </w:rPr>
              <w:t>根据《四川省住房和城乡建设厅关于促进民营建筑企业健康发展的实施意见》（川建行规〔2019〕1号）第十条规定“房屋建筑和市政基础设施工程项目编制招标文件时，招标人不得再将施工员、质量员、安全员等现场专业管理人员配备情况列入招标文件中投标人响应承诺事项”。</w:t>
            </w:r>
          </w:p>
        </w:tc>
      </w:tr>
      <w:tr>
        <w:tblPrEx>
          <w:tblCellMar>
            <w:top w:w="0" w:type="dxa"/>
            <w:left w:w="108" w:type="dxa"/>
            <w:bottom w:w="0" w:type="dxa"/>
            <w:right w:w="108" w:type="dxa"/>
          </w:tblCellMar>
        </w:tblPrEx>
        <w:trPr>
          <w:trHeight w:val="2417" w:hRule="atLeast"/>
          <w:jc w:val="center"/>
        </w:trPr>
        <w:tc>
          <w:tcPr>
            <w:tcW w:w="955" w:type="dxa"/>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2.2.</w:t>
            </w:r>
            <w:r>
              <w:t>2</w:t>
            </w:r>
            <w:r>
              <w:rPr>
                <w:rFonts w:hint="eastAsia"/>
              </w:rPr>
              <w:t>（3）</w:t>
            </w:r>
          </w:p>
        </w:tc>
        <w:tc>
          <w:tcPr>
            <w:tcW w:w="750" w:type="dxa"/>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投标报价评分标准</w:t>
            </w:r>
          </w:p>
          <w:p>
            <w:pPr>
              <w:pStyle w:val="2"/>
              <w:ind w:left="0"/>
              <w:jc w:val="center"/>
            </w:pPr>
          </w:p>
        </w:tc>
        <w:tc>
          <w:tcPr>
            <w:tcW w:w="70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投标报价的偏差率</w:t>
            </w:r>
          </w:p>
          <w:p>
            <w:pPr>
              <w:pStyle w:val="2"/>
              <w:ind w:left="0"/>
              <w:jc w:val="center"/>
            </w:pPr>
            <w:r>
              <w:rPr>
                <w:rFonts w:hint="eastAsia"/>
              </w:rPr>
              <w:t>计算公式</w:t>
            </w:r>
          </w:p>
        </w:tc>
        <w:tc>
          <w:tcPr>
            <w:tcW w:w="7491" w:type="dxa"/>
            <w:gridSpan w:val="3"/>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偏差率</w:t>
            </w:r>
            <w:r>
              <w:t>=100% ×</w:t>
            </w:r>
            <w:r>
              <w:rPr>
                <w:rFonts w:hint="eastAsia"/>
              </w:rPr>
              <w:t>∣</w:t>
            </w:r>
            <w:r>
              <w:t>（投标人报价</w:t>
            </w:r>
            <w:r>
              <w:rPr>
                <w:rFonts w:hint="eastAsia"/>
              </w:rPr>
              <w:t>－</w:t>
            </w:r>
            <w:r>
              <w:t>评标基准价）</w:t>
            </w:r>
            <w:r>
              <w:rPr>
                <w:rFonts w:hint="eastAsia"/>
              </w:rPr>
              <w:t>∣</w:t>
            </w:r>
            <w:r>
              <w:t>/评标基准价</w:t>
            </w:r>
          </w:p>
          <w:p>
            <w:pPr>
              <w:pStyle w:val="2"/>
              <w:ind w:left="0"/>
            </w:pPr>
            <w:r>
              <w:rPr>
                <w:rFonts w:hint="eastAsia"/>
              </w:rPr>
              <w:t>施工投标报价为比例报价时，施工投标报价偏差率</w:t>
            </w:r>
            <w:r>
              <w:t>=</w:t>
            </w:r>
            <w:r>
              <w:rPr>
                <w:rFonts w:hint="eastAsia"/>
              </w:rPr>
              <w:t>∣</w:t>
            </w:r>
            <w:r>
              <w:t>投标人报价</w:t>
            </w:r>
            <w:r>
              <w:rPr>
                <w:rFonts w:hint="eastAsia"/>
              </w:rPr>
              <w:t>－</w:t>
            </w:r>
            <w:r>
              <w:t>评标基准价</w:t>
            </w:r>
            <w:r>
              <w:rPr>
                <w:rFonts w:hint="eastAsia"/>
              </w:rPr>
              <w:t>∣。例：某投标人施工投标报价为95%，评标基准价为90%，则施工投标报价偏差率为∣95%-90%∣=5%</w:t>
            </w:r>
          </w:p>
        </w:tc>
      </w:tr>
      <w:tr>
        <w:tblPrEx>
          <w:tblCellMar>
            <w:top w:w="0" w:type="dxa"/>
            <w:left w:w="108" w:type="dxa"/>
            <w:bottom w:w="0" w:type="dxa"/>
            <w:right w:w="108" w:type="dxa"/>
          </w:tblCellMar>
        </w:tblPrEx>
        <w:trPr>
          <w:trHeight w:val="5951" w:hRule="atLeast"/>
          <w:jc w:val="center"/>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75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70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设计</w:t>
            </w:r>
            <w:r>
              <w:t>费</w:t>
            </w:r>
          </w:p>
        </w:tc>
        <w:tc>
          <w:tcPr>
            <w:tcW w:w="7491" w:type="dxa"/>
            <w:gridSpan w:val="3"/>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设计费</w:t>
            </w:r>
            <w:r>
              <w:t>评分基准价为：</w:t>
            </w:r>
            <w:r>
              <w:rPr>
                <w:rFonts w:hint="eastAsia"/>
              </w:rPr>
              <w:t>采用下列方式：</w:t>
            </w:r>
          </w:p>
          <w:p>
            <w:pPr>
              <w:pStyle w:val="2"/>
              <w:ind w:left="0"/>
            </w:pPr>
            <w:r>
              <w:rPr>
                <w:rFonts w:hint="eastAsia"/>
              </w:rPr>
              <w:t>○</w:t>
            </w:r>
            <w:r>
              <w:rPr>
                <w:rFonts w:hint="eastAsia"/>
                <w:u w:val="single"/>
              </w:rPr>
              <w:t>A方式</w:t>
            </w:r>
            <w:r>
              <w:rPr>
                <w:rFonts w:hint="eastAsia"/>
              </w:rPr>
              <w:t>：采用有效报价（经初步评审合格且不低于成本的投标报价；报价有修正的，以修正后的价格为准）中最低报价为评标基准价，计算公式为：</w:t>
            </w:r>
          </w:p>
          <w:p>
            <w:pPr>
              <w:pStyle w:val="2"/>
              <w:ind w:left="0"/>
            </w:pPr>
            <w:r>
              <w:rPr>
                <w:rFonts w:hint="eastAsia"/>
              </w:rPr>
              <w:t>S（评标基准价）= amin，amin为有效的最低投标报价。</w:t>
            </w:r>
          </w:p>
          <w:p>
            <w:pPr>
              <w:pStyle w:val="2"/>
              <w:ind w:left="0"/>
            </w:pPr>
            <w:r>
              <w:rPr>
                <w:rFonts w:hint="eastAsia"/>
              </w:rPr>
              <w:t>○</w:t>
            </w:r>
            <w:r>
              <w:rPr>
                <w:rFonts w:hint="eastAsia"/>
                <w:u w:val="single"/>
              </w:rPr>
              <w:t>B方式</w:t>
            </w:r>
            <w:r>
              <w:rPr>
                <w:rFonts w:hint="eastAsia"/>
              </w:rPr>
              <w:t>：采用有效报价（经初步评审合格且不低于成本的投标报价；报价有修正的，以修正后的价格为准）的算术平均值为评标基准价，计算公式为：</w:t>
            </w:r>
          </w:p>
          <w:p>
            <w:pPr>
              <w:pStyle w:val="2"/>
              <w:ind w:left="0"/>
            </w:pPr>
            <w:r>
              <w:rPr>
                <w:rFonts w:hint="eastAsia"/>
              </w:rPr>
              <w:t>S（评标基准价）= （a1 +</w:t>
            </w:r>
            <w:r>
              <w:t>……</w:t>
            </w:r>
            <w:r>
              <w:rPr>
                <w:rFonts w:hint="eastAsia"/>
              </w:rPr>
              <w:t>+an）/n，a为有效的投标报价。</w:t>
            </w:r>
          </w:p>
          <w:p>
            <w:pPr>
              <w:pStyle w:val="2"/>
              <w:ind w:left="0"/>
            </w:pPr>
            <w:r>
              <w:rPr>
                <w:rFonts w:hint="eastAsia"/>
              </w:rPr>
              <w:t>投标</w:t>
            </w:r>
            <w:r>
              <w:t>人的设计费投标报价</w:t>
            </w:r>
            <w:r>
              <w:rPr>
                <w:rFonts w:hint="eastAsia"/>
              </w:rPr>
              <w:t>等于</w:t>
            </w:r>
            <w:r>
              <w:t>设计费评分基准价时，得</w:t>
            </w:r>
            <w:r>
              <w:rPr>
                <w:rFonts w:hint="eastAsia"/>
              </w:rPr>
              <w:t>分</w:t>
            </w:r>
            <w:r>
              <w:t>，</w:t>
            </w:r>
            <w:r>
              <w:rPr>
                <w:rFonts w:hint="eastAsia"/>
              </w:rPr>
              <w:t>有效投标的评审价低于基准价的，□</w:t>
            </w:r>
            <w:r>
              <w:rPr>
                <w:rFonts w:hint="eastAsia"/>
                <w:u w:val="single"/>
              </w:rPr>
              <w:t>每低1%扣（不少于0.25）分</w:t>
            </w:r>
            <w:r>
              <w:rPr>
                <w:rFonts w:hint="eastAsia"/>
              </w:rPr>
              <w:t>；（评标基准价计算方法为A方式时不包含以上方式）有效投标的评审价高于基准价的，每高1%扣</w:t>
            </w:r>
            <w:r>
              <w:rPr>
                <w:rFonts w:hint="eastAsia"/>
                <w:u w:val="single"/>
              </w:rPr>
              <w:t>（不少于0.5）</w:t>
            </w:r>
            <w:r>
              <w:rPr>
                <w:rFonts w:hint="eastAsia"/>
              </w:rPr>
              <w:t>分，中间值用插入法进行计算，小数点后保留两位。</w:t>
            </w:r>
          </w:p>
          <w:p>
            <w:pPr>
              <w:pStyle w:val="2"/>
              <w:ind w:left="0"/>
            </w:pPr>
            <w:r>
              <w:rPr>
                <w:rFonts w:hint="eastAsia"/>
              </w:rPr>
              <w:t>○</w:t>
            </w:r>
            <w:r>
              <w:rPr>
                <w:u w:val="single"/>
              </w:rPr>
              <w:t>C方式</w:t>
            </w:r>
            <w:r>
              <w:t>：</w:t>
            </w:r>
            <w:r>
              <w:rPr>
                <w:u w:val="single"/>
              </w:rPr>
              <w:t xml:space="preserve">                 </w:t>
            </w:r>
            <w:r>
              <w:t>（招标人合理设定的其他方式）。</w:t>
            </w:r>
          </w:p>
          <w:p>
            <w:pPr>
              <w:pStyle w:val="2"/>
              <w:ind w:left="0"/>
            </w:pPr>
            <w:r>
              <w:rPr>
                <w:rFonts w:hint="eastAsia"/>
              </w:rPr>
              <w:t>评分标准：</w:t>
            </w:r>
            <w:r>
              <w:rPr>
                <w:rFonts w:hint="eastAsia"/>
                <w:u w:val="single"/>
              </w:rPr>
              <w:t xml:space="preserve">                                   </w:t>
            </w:r>
            <w:r>
              <w:rPr>
                <w:rFonts w:hint="eastAsia"/>
              </w:rPr>
              <w:t xml:space="preserve">             </w:t>
            </w:r>
          </w:p>
          <w:p>
            <w:pPr>
              <w:pStyle w:val="2"/>
              <w:ind w:left="0"/>
            </w:pPr>
            <w:r>
              <w:rPr>
                <w:rFonts w:hint="eastAsia"/>
              </w:rPr>
              <w:t>注：每低1%所扣分值不得高于每高1%所扣分值。</w:t>
            </w:r>
          </w:p>
        </w:tc>
      </w:tr>
      <w:tr>
        <w:tblPrEx>
          <w:tblCellMar>
            <w:top w:w="0" w:type="dxa"/>
            <w:left w:w="108" w:type="dxa"/>
            <w:bottom w:w="0" w:type="dxa"/>
            <w:right w:w="108" w:type="dxa"/>
          </w:tblCellMar>
        </w:tblPrEx>
        <w:trPr>
          <w:trHeight w:val="1611" w:hRule="atLeast"/>
          <w:jc w:val="center"/>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750" w:type="dxa"/>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709" w:type="dxa"/>
            <w:tcBorders>
              <w:top w:val="single" w:color="auto" w:sz="4" w:space="0"/>
              <w:left w:val="single" w:color="auto" w:sz="4" w:space="0"/>
              <w:bottom w:val="single" w:color="auto" w:sz="4" w:space="0"/>
              <w:right w:val="single" w:color="auto" w:sz="4" w:space="0"/>
            </w:tcBorders>
            <w:vAlign w:val="center"/>
          </w:tcPr>
          <w:p>
            <w:pPr>
              <w:pStyle w:val="2"/>
              <w:ind w:left="0"/>
              <w:jc w:val="center"/>
            </w:pPr>
          </w:p>
          <w:p>
            <w:pPr>
              <w:pStyle w:val="2"/>
              <w:ind w:left="0"/>
              <w:jc w:val="center"/>
            </w:pPr>
          </w:p>
          <w:p>
            <w:pPr>
              <w:pStyle w:val="2"/>
              <w:ind w:left="0"/>
              <w:jc w:val="center"/>
            </w:pPr>
          </w:p>
          <w:p>
            <w:pPr>
              <w:pStyle w:val="2"/>
              <w:ind w:left="0"/>
              <w:jc w:val="center"/>
            </w:pPr>
          </w:p>
          <w:p>
            <w:pPr>
              <w:pStyle w:val="2"/>
              <w:ind w:left="0"/>
              <w:jc w:val="center"/>
            </w:pPr>
          </w:p>
          <w:p>
            <w:pPr>
              <w:pStyle w:val="2"/>
              <w:ind w:left="0"/>
              <w:jc w:val="center"/>
            </w:pPr>
          </w:p>
          <w:p>
            <w:pPr>
              <w:pStyle w:val="2"/>
              <w:ind w:left="0"/>
              <w:jc w:val="center"/>
            </w:pPr>
            <w:r>
              <w:rPr>
                <w:rFonts w:hint="eastAsia"/>
              </w:rPr>
              <w:t>工程</w:t>
            </w:r>
            <w:r>
              <w:t>建设费</w:t>
            </w:r>
          </w:p>
        </w:tc>
        <w:tc>
          <w:tcPr>
            <w:tcW w:w="7491" w:type="dxa"/>
            <w:gridSpan w:val="3"/>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工程</w:t>
            </w:r>
            <w:r>
              <w:t>建设费评分基准价为：</w:t>
            </w:r>
            <w:r>
              <w:rPr>
                <w:rFonts w:hint="eastAsia"/>
              </w:rPr>
              <w:t>采用下列方式：</w:t>
            </w:r>
          </w:p>
          <w:p>
            <w:pPr>
              <w:pStyle w:val="2"/>
              <w:ind w:left="0"/>
            </w:pPr>
            <w:r>
              <w:rPr>
                <w:rFonts w:hint="eastAsia"/>
              </w:rPr>
              <w:t>○A方式：采用有效工程</w:t>
            </w:r>
            <w:r>
              <w:t>建设费</w:t>
            </w:r>
            <w:r>
              <w:rPr>
                <w:rFonts w:hint="eastAsia"/>
              </w:rPr>
              <w:t>评标价中最低工程</w:t>
            </w:r>
            <w:r>
              <w:t>建设费</w:t>
            </w:r>
            <w:r>
              <w:rPr>
                <w:rFonts w:hint="eastAsia"/>
              </w:rPr>
              <w:t>评标价为评标基准价，计算公式为：</w:t>
            </w:r>
          </w:p>
          <w:p>
            <w:pPr>
              <w:pStyle w:val="2"/>
              <w:ind w:left="0"/>
            </w:pPr>
            <w:r>
              <w:rPr>
                <w:rFonts w:hint="eastAsia"/>
              </w:rPr>
              <w:t>S（评标基准价）= amin，amin为有效的最低工程</w:t>
            </w:r>
            <w:r>
              <w:t>建设费</w:t>
            </w:r>
            <w:r>
              <w:rPr>
                <w:rFonts w:hint="eastAsia"/>
              </w:rPr>
              <w:t>评标价。</w:t>
            </w:r>
          </w:p>
          <w:p>
            <w:pPr>
              <w:pStyle w:val="2"/>
              <w:ind w:left="0"/>
            </w:pPr>
            <w:r>
              <w:rPr>
                <w:rFonts w:hint="eastAsia"/>
              </w:rPr>
              <w:t>○B方式：采用有效工程</w:t>
            </w:r>
            <w:r>
              <w:t>建设费</w:t>
            </w:r>
            <w:r>
              <w:rPr>
                <w:rFonts w:hint="eastAsia"/>
              </w:rPr>
              <w:t>评标价的算术平均值为评标基准价，计算公式为：</w:t>
            </w:r>
          </w:p>
          <w:p>
            <w:pPr>
              <w:pStyle w:val="2"/>
              <w:ind w:left="0"/>
            </w:pPr>
            <w:r>
              <w:rPr>
                <w:rFonts w:hint="eastAsia"/>
              </w:rPr>
              <w:t>S（评标基准价）= （a1 +</w:t>
            </w:r>
            <w:r>
              <w:t>……</w:t>
            </w:r>
            <w:r>
              <w:rPr>
                <w:rFonts w:hint="eastAsia"/>
              </w:rPr>
              <w:t>+an）/n，a为有效的工程</w:t>
            </w:r>
            <w:r>
              <w:t>建设费</w:t>
            </w:r>
            <w:r>
              <w:rPr>
                <w:rFonts w:hint="eastAsia"/>
              </w:rPr>
              <w:t>评标价。投标</w:t>
            </w:r>
            <w:r>
              <w:t>人的</w:t>
            </w:r>
            <w:r>
              <w:rPr>
                <w:rFonts w:hint="eastAsia"/>
              </w:rPr>
              <w:t>工程</w:t>
            </w:r>
            <w:r>
              <w:t>建设费</w:t>
            </w:r>
            <w:r>
              <w:rPr>
                <w:rFonts w:hint="eastAsia"/>
              </w:rPr>
              <w:t>评标价等于工程</w:t>
            </w:r>
            <w:r>
              <w:t>建设费评分基准价时，得</w:t>
            </w:r>
            <w:r>
              <w:rPr>
                <w:rFonts w:hint="eastAsia"/>
              </w:rPr>
              <w:t>分</w:t>
            </w:r>
            <w:r>
              <w:t>，</w:t>
            </w:r>
            <w:r>
              <w:rPr>
                <w:rFonts w:hint="eastAsia"/>
              </w:rPr>
              <w:t>□有效投标的工程建设费评标价低于基准价的，每低1%扣</w:t>
            </w:r>
            <w:r>
              <w:rPr>
                <w:rFonts w:hint="eastAsia"/>
                <w:u w:val="single"/>
              </w:rPr>
              <w:t>（不少于0.5）</w:t>
            </w:r>
            <w:r>
              <w:rPr>
                <w:rFonts w:hint="eastAsia"/>
              </w:rPr>
              <w:t>分，（评标基准价计算方法为A方式时不包含以上方式）有效投标的工程</w:t>
            </w:r>
            <w:r>
              <w:t>建设费</w:t>
            </w:r>
            <w:r>
              <w:rPr>
                <w:rFonts w:hint="eastAsia"/>
              </w:rPr>
              <w:t>评标价高于于基准价的，每高1%扣分（不少于1分），中间值用插入法进行计算，小数点后保留两位。</w:t>
            </w:r>
          </w:p>
          <w:p>
            <w:pPr>
              <w:pStyle w:val="2"/>
              <w:ind w:left="0"/>
            </w:pPr>
            <w:r>
              <w:rPr>
                <w:rFonts w:hint="eastAsia"/>
              </w:rPr>
              <w:t>○</w:t>
            </w:r>
            <w:r>
              <w:t>C方式：</w:t>
            </w:r>
            <w:r>
              <w:rPr>
                <w:u w:val="single"/>
              </w:rPr>
              <w:t xml:space="preserve">                 </w:t>
            </w:r>
            <w:r>
              <w:t>（招标人合理设定的其他方式）。</w:t>
            </w:r>
          </w:p>
          <w:p>
            <w:pPr>
              <w:pStyle w:val="2"/>
              <w:ind w:left="0"/>
            </w:pPr>
            <w:r>
              <w:rPr>
                <w:rFonts w:hint="eastAsia"/>
              </w:rPr>
              <w:t xml:space="preserve">评分标准：                                                </w:t>
            </w:r>
          </w:p>
          <w:p>
            <w:pPr>
              <w:pStyle w:val="2"/>
              <w:ind w:left="0"/>
            </w:pPr>
            <w:r>
              <w:rPr>
                <w:rFonts w:hint="eastAsia"/>
              </w:rPr>
              <w:t>注：每低1%所扣分值不得高于每高1%所扣分值。</w:t>
            </w:r>
          </w:p>
        </w:tc>
      </w:tr>
      <w:tr>
        <w:tblPrEx>
          <w:tblCellMar>
            <w:top w:w="0" w:type="dxa"/>
            <w:left w:w="108" w:type="dxa"/>
            <w:bottom w:w="0" w:type="dxa"/>
            <w:right w:w="108" w:type="dxa"/>
          </w:tblCellMar>
        </w:tblPrEx>
        <w:trPr>
          <w:jc w:val="center"/>
        </w:trPr>
        <w:tc>
          <w:tcPr>
            <w:tcW w:w="955" w:type="dxa"/>
            <w:vMerge w:val="restart"/>
            <w:tcBorders>
              <w:top w:val="single" w:color="auto" w:sz="4" w:space="0"/>
              <w:left w:val="single" w:color="000000" w:sz="4" w:space="0"/>
              <w:right w:val="single" w:color="000000" w:sz="4" w:space="0"/>
            </w:tcBorders>
            <w:vAlign w:val="center"/>
          </w:tcPr>
          <w:p>
            <w:pPr>
              <w:pStyle w:val="2"/>
              <w:ind w:left="0"/>
              <w:jc w:val="center"/>
            </w:pPr>
            <w:r>
              <w:rPr>
                <w:rFonts w:hint="eastAsia"/>
              </w:rPr>
              <w:t>2.2.</w:t>
            </w:r>
            <w:r>
              <w:t>2</w:t>
            </w:r>
            <w:r>
              <w:rPr>
                <w:rFonts w:hint="eastAsia"/>
              </w:rPr>
              <w:t>（4）</w:t>
            </w:r>
          </w:p>
        </w:tc>
        <w:tc>
          <w:tcPr>
            <w:tcW w:w="1459" w:type="dxa"/>
            <w:gridSpan w:val="2"/>
            <w:vMerge w:val="restart"/>
            <w:tcBorders>
              <w:top w:val="single" w:color="auto" w:sz="4" w:space="0"/>
              <w:left w:val="nil"/>
              <w:right w:val="single" w:color="auto" w:sz="4" w:space="0"/>
            </w:tcBorders>
            <w:vAlign w:val="center"/>
          </w:tcPr>
          <w:p>
            <w:pPr>
              <w:pStyle w:val="2"/>
              <w:ind w:left="0"/>
              <w:jc w:val="center"/>
            </w:pPr>
            <w:r>
              <w:rPr>
                <w:rFonts w:hint="eastAsia"/>
              </w:rPr>
              <w:t>其他因素</w:t>
            </w:r>
          </w:p>
          <w:p>
            <w:pPr>
              <w:pStyle w:val="2"/>
              <w:ind w:left="0"/>
              <w:jc w:val="center"/>
            </w:pPr>
            <w:r>
              <w:rPr>
                <w:rFonts w:hint="eastAsia"/>
              </w:rPr>
              <w:t>评分标准</w:t>
            </w:r>
          </w:p>
        </w:tc>
        <w:tc>
          <w:tcPr>
            <w:tcW w:w="227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□勘察企业类似业绩</w:t>
            </w:r>
          </w:p>
        </w:tc>
        <w:tc>
          <w:tcPr>
            <w:tcW w:w="5216" w:type="dxa"/>
            <w:gridSpan w:val="2"/>
            <w:tcBorders>
              <w:top w:val="single" w:color="auto" w:sz="4" w:space="0"/>
              <w:left w:val="single" w:color="auto" w:sz="4" w:space="0"/>
              <w:bottom w:val="single" w:color="auto" w:sz="4" w:space="0"/>
              <w:right w:val="single" w:color="000000" w:sz="4" w:space="0"/>
            </w:tcBorders>
            <w:vAlign w:val="center"/>
          </w:tcPr>
          <w:p>
            <w:pPr>
              <w:pStyle w:val="2"/>
              <w:ind w:left="0"/>
              <w:jc w:val="center"/>
            </w:pPr>
          </w:p>
        </w:tc>
      </w:tr>
      <w:tr>
        <w:tblPrEx>
          <w:tblCellMar>
            <w:top w:w="0" w:type="dxa"/>
            <w:left w:w="108" w:type="dxa"/>
            <w:bottom w:w="0" w:type="dxa"/>
            <w:right w:w="108" w:type="dxa"/>
          </w:tblCellMar>
        </w:tblPrEx>
        <w:trPr>
          <w:jc w:val="center"/>
        </w:trPr>
        <w:tc>
          <w:tcPr>
            <w:tcW w:w="955" w:type="dxa"/>
            <w:vMerge w:val="continue"/>
            <w:tcBorders>
              <w:left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auto" w:sz="4" w:space="0"/>
            </w:tcBorders>
            <w:vAlign w:val="center"/>
          </w:tcPr>
          <w:p>
            <w:pPr>
              <w:pStyle w:val="2"/>
              <w:ind w:left="0"/>
              <w:jc w:val="center"/>
            </w:pPr>
          </w:p>
        </w:tc>
        <w:tc>
          <w:tcPr>
            <w:tcW w:w="2275" w:type="dxa"/>
            <w:tcBorders>
              <w:top w:val="single" w:color="000000" w:sz="4" w:space="0"/>
              <w:left w:val="single" w:color="auto" w:sz="4" w:space="0"/>
              <w:bottom w:val="single" w:color="auto" w:sz="4" w:space="0"/>
              <w:right w:val="single" w:color="auto" w:sz="4" w:space="0"/>
            </w:tcBorders>
            <w:vAlign w:val="center"/>
          </w:tcPr>
          <w:p>
            <w:pPr>
              <w:pStyle w:val="2"/>
              <w:ind w:left="0"/>
              <w:jc w:val="center"/>
            </w:pPr>
            <w:r>
              <w:rPr>
                <w:rFonts w:hint="eastAsia"/>
              </w:rPr>
              <w:t>设计企业类似业绩</w:t>
            </w:r>
          </w:p>
        </w:tc>
        <w:tc>
          <w:tcPr>
            <w:tcW w:w="5216" w:type="dxa"/>
            <w:gridSpan w:val="2"/>
            <w:tcBorders>
              <w:top w:val="single" w:color="000000" w:sz="4" w:space="0"/>
              <w:left w:val="single" w:color="auto" w:sz="4" w:space="0"/>
              <w:bottom w:val="single" w:color="auto"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jc w:val="center"/>
        </w:trPr>
        <w:tc>
          <w:tcPr>
            <w:tcW w:w="955" w:type="dxa"/>
            <w:vMerge w:val="continue"/>
            <w:tcBorders>
              <w:left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auto" w:sz="4" w:space="0"/>
            </w:tcBorders>
            <w:vAlign w:val="center"/>
          </w:tcPr>
          <w:p>
            <w:pPr>
              <w:pStyle w:val="2"/>
              <w:ind w:left="0"/>
              <w:jc w:val="center"/>
            </w:pPr>
          </w:p>
        </w:tc>
        <w:tc>
          <w:tcPr>
            <w:tcW w:w="2275" w:type="dxa"/>
            <w:tcBorders>
              <w:top w:val="single" w:color="000000" w:sz="4" w:space="0"/>
              <w:left w:val="single" w:color="auto" w:sz="4" w:space="0"/>
              <w:bottom w:val="single" w:color="auto" w:sz="4" w:space="0"/>
              <w:right w:val="single" w:color="auto" w:sz="4" w:space="0"/>
            </w:tcBorders>
            <w:vAlign w:val="center"/>
          </w:tcPr>
          <w:p>
            <w:pPr>
              <w:pStyle w:val="2"/>
              <w:ind w:left="0"/>
              <w:jc w:val="center"/>
            </w:pPr>
            <w:r>
              <w:rPr>
                <w:rFonts w:hint="eastAsia"/>
              </w:rPr>
              <w:t>施工企业类似业绩</w:t>
            </w:r>
          </w:p>
        </w:tc>
        <w:tc>
          <w:tcPr>
            <w:tcW w:w="5216" w:type="dxa"/>
            <w:gridSpan w:val="2"/>
            <w:tcBorders>
              <w:top w:val="single" w:color="000000" w:sz="4" w:space="0"/>
              <w:left w:val="single" w:color="auto" w:sz="4" w:space="0"/>
              <w:bottom w:val="single" w:color="auto"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715" w:hRule="atLeast"/>
          <w:jc w:val="center"/>
        </w:trPr>
        <w:tc>
          <w:tcPr>
            <w:tcW w:w="955" w:type="dxa"/>
            <w:vMerge w:val="continue"/>
            <w:tcBorders>
              <w:left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auto" w:sz="4" w:space="0"/>
            </w:tcBorders>
            <w:vAlign w:val="center"/>
          </w:tcPr>
          <w:p>
            <w:pPr>
              <w:pStyle w:val="2"/>
              <w:ind w:left="0"/>
              <w:jc w:val="center"/>
            </w:pPr>
          </w:p>
        </w:tc>
        <w:tc>
          <w:tcPr>
            <w:tcW w:w="2275" w:type="dxa"/>
            <w:tcBorders>
              <w:top w:val="single" w:color="000000" w:sz="4" w:space="0"/>
              <w:left w:val="single" w:color="auto" w:sz="4" w:space="0"/>
              <w:bottom w:val="single" w:color="auto" w:sz="4" w:space="0"/>
              <w:right w:val="single" w:color="auto" w:sz="4" w:space="0"/>
            </w:tcBorders>
            <w:vAlign w:val="center"/>
          </w:tcPr>
          <w:p>
            <w:pPr>
              <w:pStyle w:val="2"/>
              <w:ind w:left="0"/>
              <w:jc w:val="center"/>
            </w:pPr>
            <w:r>
              <w:rPr>
                <w:rFonts w:hint="eastAsia"/>
              </w:rPr>
              <w:t>设计-施工总承包类似业绩</w:t>
            </w:r>
          </w:p>
        </w:tc>
        <w:tc>
          <w:tcPr>
            <w:tcW w:w="5216" w:type="dxa"/>
            <w:gridSpan w:val="2"/>
            <w:tcBorders>
              <w:top w:val="single" w:color="000000" w:sz="4" w:space="0"/>
              <w:left w:val="single" w:color="auto" w:sz="4" w:space="0"/>
              <w:bottom w:val="single" w:color="auto"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317" w:hRule="atLeast"/>
          <w:jc w:val="center"/>
        </w:trPr>
        <w:tc>
          <w:tcPr>
            <w:tcW w:w="955" w:type="dxa"/>
            <w:vMerge w:val="continue"/>
            <w:tcBorders>
              <w:left w:val="single" w:color="000000" w:sz="4" w:space="0"/>
              <w:right w:val="single" w:color="000000" w:sz="4" w:space="0"/>
            </w:tcBorders>
            <w:vAlign w:val="center"/>
          </w:tcPr>
          <w:p>
            <w:pPr>
              <w:pStyle w:val="2"/>
              <w:ind w:left="0"/>
              <w:jc w:val="center"/>
            </w:pPr>
          </w:p>
        </w:tc>
        <w:tc>
          <w:tcPr>
            <w:tcW w:w="1459" w:type="dxa"/>
            <w:gridSpan w:val="2"/>
            <w:vMerge w:val="continue"/>
            <w:tcBorders>
              <w:left w:val="nil"/>
              <w:right w:val="single" w:color="auto" w:sz="4" w:space="0"/>
            </w:tcBorders>
            <w:vAlign w:val="center"/>
          </w:tcPr>
          <w:p>
            <w:pPr>
              <w:pStyle w:val="2"/>
              <w:ind w:left="0"/>
              <w:jc w:val="center"/>
            </w:pPr>
          </w:p>
        </w:tc>
        <w:tc>
          <w:tcPr>
            <w:tcW w:w="2275" w:type="dxa"/>
            <w:tcBorders>
              <w:top w:val="single" w:color="000000" w:sz="4" w:space="0"/>
              <w:left w:val="single" w:color="auto" w:sz="4" w:space="0"/>
              <w:bottom w:val="single" w:color="auto" w:sz="4" w:space="0"/>
              <w:right w:val="single" w:color="auto" w:sz="4" w:space="0"/>
            </w:tcBorders>
            <w:vAlign w:val="center"/>
          </w:tcPr>
          <w:p>
            <w:pPr>
              <w:pStyle w:val="2"/>
              <w:ind w:left="0"/>
              <w:jc w:val="center"/>
            </w:pPr>
          </w:p>
        </w:tc>
        <w:tc>
          <w:tcPr>
            <w:tcW w:w="5216" w:type="dxa"/>
            <w:gridSpan w:val="2"/>
            <w:tcBorders>
              <w:top w:val="single" w:color="000000" w:sz="4" w:space="0"/>
              <w:left w:val="single" w:color="auto" w:sz="4" w:space="0"/>
              <w:bottom w:val="single" w:color="auto" w:sz="4" w:space="0"/>
              <w:right w:val="single" w:color="000000" w:sz="4" w:space="0"/>
            </w:tcBorders>
            <w:vAlign w:val="center"/>
          </w:tcPr>
          <w:p>
            <w:pPr>
              <w:pStyle w:val="2"/>
              <w:ind w:left="0"/>
              <w:jc w:val="center"/>
            </w:pPr>
            <w:r>
              <w:rPr>
                <w:rFonts w:hint="eastAsia"/>
              </w:rPr>
              <w:t>……</w:t>
            </w:r>
          </w:p>
        </w:tc>
      </w:tr>
      <w:tr>
        <w:tblPrEx>
          <w:tblCellMar>
            <w:top w:w="0" w:type="dxa"/>
            <w:left w:w="108" w:type="dxa"/>
            <w:bottom w:w="0" w:type="dxa"/>
            <w:right w:w="108" w:type="dxa"/>
          </w:tblCellMar>
        </w:tblPrEx>
        <w:trPr>
          <w:trHeight w:val="567" w:hRule="atLeast"/>
          <w:jc w:val="center"/>
        </w:trPr>
        <w:tc>
          <w:tcPr>
            <w:tcW w:w="955"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1459" w:type="dxa"/>
            <w:gridSpan w:val="2"/>
            <w:vMerge w:val="continue"/>
            <w:tcBorders>
              <w:left w:val="nil"/>
              <w:bottom w:val="single" w:color="000000" w:sz="4" w:space="0"/>
              <w:right w:val="single" w:color="auto" w:sz="4" w:space="0"/>
            </w:tcBorders>
            <w:vAlign w:val="center"/>
          </w:tcPr>
          <w:p>
            <w:pPr>
              <w:pStyle w:val="2"/>
              <w:ind w:left="0"/>
              <w:jc w:val="center"/>
            </w:pPr>
          </w:p>
        </w:tc>
        <w:tc>
          <w:tcPr>
            <w:tcW w:w="7491" w:type="dxa"/>
            <w:gridSpan w:val="3"/>
            <w:tcBorders>
              <w:top w:val="single" w:color="000000" w:sz="4" w:space="0"/>
              <w:left w:val="single" w:color="auto" w:sz="4" w:space="0"/>
              <w:bottom w:val="single" w:color="auto" w:sz="4" w:space="0"/>
              <w:right w:val="single" w:color="000000" w:sz="4" w:space="0"/>
            </w:tcBorders>
            <w:vAlign w:val="center"/>
          </w:tcPr>
          <w:p>
            <w:pPr>
              <w:pStyle w:val="2"/>
              <w:ind w:left="0"/>
            </w:pPr>
            <w:r>
              <w:rPr>
                <w:rFonts w:hint="eastAsia"/>
              </w:rPr>
              <w:t>注：</w:t>
            </w:r>
          </w:p>
          <w:p>
            <w:pPr>
              <w:pStyle w:val="2"/>
              <w:ind w:left="0"/>
            </w:pPr>
            <w:r>
              <w:rPr>
                <w:rFonts w:hint="eastAsia"/>
              </w:rPr>
              <w:t>（</w:t>
            </w:r>
            <w:r>
              <w:t>1</w:t>
            </w:r>
            <w:r>
              <w:rPr>
                <w:rFonts w:hint="eastAsia"/>
              </w:rPr>
              <w:t>）类似业绩可设置加分，但不得以特定行政区域或者特定行业的业绩作为加分条件。</w:t>
            </w:r>
          </w:p>
          <w:p>
            <w:pPr>
              <w:pStyle w:val="2"/>
              <w:ind w:left="0"/>
            </w:pPr>
            <w:r>
              <w:rPr>
                <w:rFonts w:hint="eastAsia"/>
              </w:rPr>
              <w:t>（</w:t>
            </w:r>
            <w:r>
              <w:t>2</w:t>
            </w:r>
            <w:r>
              <w:rPr>
                <w:rFonts w:hint="eastAsia"/>
              </w:rPr>
              <w:t>）类似业绩指标仅限于工程规模、应用类型、施工工艺等方面，且应符合本次工程招标的内容。类似业绩中设置的投资额、面积、长度等规模性量化指标不得高于本次招标工程的相应指标。</w:t>
            </w:r>
          </w:p>
          <w:p>
            <w:pPr>
              <w:pStyle w:val="2"/>
              <w:ind w:left="0"/>
            </w:pPr>
            <w:r>
              <w:rPr>
                <w:rFonts w:hint="eastAsia"/>
              </w:rPr>
              <w:t>（</w:t>
            </w:r>
            <w:r>
              <w:t>3</w:t>
            </w:r>
            <w:r>
              <w:rPr>
                <w:rFonts w:hint="eastAsia"/>
              </w:rPr>
              <w:t>）以上类似业绩</w:t>
            </w:r>
            <w:r>
              <w:rPr>
                <w:rFonts w:hint="eastAsia"/>
                <w:u w:val="single"/>
              </w:rPr>
              <w:t>○可重复</w:t>
            </w:r>
            <w:r>
              <w:rPr>
                <w:u w:val="single"/>
              </w:rPr>
              <w:t>/○不重复</w:t>
            </w:r>
            <w:r>
              <w:rPr>
                <w:rFonts w:hint="eastAsia"/>
              </w:rPr>
              <w:t>计分。</w:t>
            </w:r>
          </w:p>
        </w:tc>
      </w:tr>
      <w:tr>
        <w:tblPrEx>
          <w:tblCellMar>
            <w:top w:w="0" w:type="dxa"/>
            <w:left w:w="108" w:type="dxa"/>
            <w:bottom w:w="0" w:type="dxa"/>
            <w:right w:w="108" w:type="dxa"/>
          </w:tblCellMar>
        </w:tblPrEx>
        <w:trPr>
          <w:trHeight w:val="567" w:hRule="atLeast"/>
          <w:jc w:val="center"/>
        </w:trPr>
        <w:tc>
          <w:tcPr>
            <w:tcW w:w="955" w:type="dxa"/>
            <w:tcBorders>
              <w:left w:val="single" w:color="000000" w:sz="4" w:space="0"/>
              <w:bottom w:val="single" w:color="000000" w:sz="4" w:space="0"/>
              <w:right w:val="single" w:color="000000" w:sz="4" w:space="0"/>
            </w:tcBorders>
            <w:vAlign w:val="center"/>
          </w:tcPr>
          <w:p>
            <w:pPr>
              <w:pStyle w:val="2"/>
              <w:ind w:left="0"/>
              <w:jc w:val="center"/>
            </w:pPr>
            <w:r>
              <w:rPr>
                <w:rFonts w:hint="eastAsia"/>
              </w:rPr>
              <w:t>□2.2.</w:t>
            </w:r>
            <w:r>
              <w:t>2</w:t>
            </w:r>
            <w:r>
              <w:rPr>
                <w:rFonts w:hint="eastAsia"/>
              </w:rPr>
              <w:t>（5）</w:t>
            </w:r>
          </w:p>
        </w:tc>
        <w:tc>
          <w:tcPr>
            <w:tcW w:w="1459" w:type="dxa"/>
            <w:gridSpan w:val="2"/>
            <w:tcBorders>
              <w:left w:val="nil"/>
              <w:bottom w:val="single" w:color="000000" w:sz="4" w:space="0"/>
              <w:right w:val="single" w:color="auto" w:sz="4" w:space="0"/>
            </w:tcBorders>
            <w:vAlign w:val="center"/>
          </w:tcPr>
          <w:p>
            <w:pPr>
              <w:pStyle w:val="2"/>
              <w:ind w:left="0"/>
              <w:jc w:val="center"/>
            </w:pPr>
            <w:r>
              <w:rPr>
                <w:rFonts w:hint="eastAsia"/>
              </w:rPr>
              <w:t>信用得分</w:t>
            </w:r>
          </w:p>
          <w:p>
            <w:pPr>
              <w:pStyle w:val="2"/>
              <w:ind w:left="0"/>
              <w:jc w:val="center"/>
            </w:pPr>
            <w:r>
              <w:rPr>
                <w:rFonts w:hint="eastAsia"/>
              </w:rPr>
              <w:t>评分标准</w:t>
            </w:r>
          </w:p>
        </w:tc>
        <w:tc>
          <w:tcPr>
            <w:tcW w:w="7491" w:type="dxa"/>
            <w:gridSpan w:val="3"/>
            <w:tcBorders>
              <w:top w:val="single" w:color="000000" w:sz="4" w:space="0"/>
              <w:left w:val="single" w:color="auto" w:sz="4" w:space="0"/>
              <w:bottom w:val="single" w:color="auto" w:sz="4" w:space="0"/>
              <w:right w:val="single" w:color="000000" w:sz="4" w:space="0"/>
            </w:tcBorders>
            <w:vAlign w:val="center"/>
          </w:tcPr>
          <w:p>
            <w:pPr>
              <w:pStyle w:val="2"/>
              <w:ind w:left="0"/>
            </w:pPr>
            <w:r>
              <w:rPr>
                <w:rFonts w:hint="eastAsia"/>
              </w:rPr>
              <w:t xml:space="preserve">1、所有进入评标环节的投标人中最终信用得分最高的，得满分； </w:t>
            </w:r>
          </w:p>
          <w:p>
            <w:pPr>
              <w:pStyle w:val="2"/>
              <w:ind w:left="0"/>
            </w:pPr>
            <w:r>
              <w:rPr>
                <w:rFonts w:hint="eastAsia"/>
              </w:rPr>
              <w:t>2、其他取得的信用等级（得分）评价结果的投标人的得分=</w:t>
            </w:r>
            <w:r>
              <w:t>（</w:t>
            </w:r>
            <w:r>
              <w:rPr>
                <w:rFonts w:hint="eastAsia"/>
              </w:rPr>
              <w:t>该</w:t>
            </w:r>
            <w:r>
              <w:t>投标人的最终信用得分÷有效投标人中最终信用得分的最高分）×</w:t>
            </w:r>
            <w:r>
              <w:rPr>
                <w:rFonts w:hint="eastAsia"/>
              </w:rPr>
              <w:t>满分</w:t>
            </w:r>
            <w:r>
              <w:rPr>
                <w:rFonts w:hint="eastAsia"/>
                <w:u w:val="single"/>
              </w:rPr>
              <w:t xml:space="preserve">      </w:t>
            </w:r>
            <w:r>
              <w:rPr>
                <w:rFonts w:hint="eastAsia"/>
              </w:rPr>
              <w:t>。</w:t>
            </w:r>
          </w:p>
          <w:p>
            <w:pPr>
              <w:pStyle w:val="2"/>
              <w:ind w:left="0"/>
            </w:pPr>
            <w:r>
              <w:t>3、</w:t>
            </w:r>
            <w:r>
              <w:rPr>
                <w:rFonts w:hint="eastAsia"/>
              </w:rPr>
              <w:t>未取得的信用等级（得分）评价结果的，其信用得分为</w:t>
            </w:r>
            <w:r>
              <w:t>0分。</w:t>
            </w:r>
          </w:p>
          <w:p>
            <w:pPr>
              <w:pStyle w:val="2"/>
              <w:ind w:left="0"/>
            </w:pPr>
            <w:r>
              <w:rPr>
                <w:rFonts w:hint="eastAsia"/>
              </w:rPr>
              <w:t>注：小数点后保留两位数。</w:t>
            </w:r>
          </w:p>
        </w:tc>
      </w:tr>
      <w:tr>
        <w:tblPrEx>
          <w:tblCellMar>
            <w:top w:w="0" w:type="dxa"/>
            <w:left w:w="108" w:type="dxa"/>
            <w:bottom w:w="0" w:type="dxa"/>
            <w:right w:w="108" w:type="dxa"/>
          </w:tblCellMar>
        </w:tblPrEx>
        <w:trPr>
          <w:trHeight w:val="567" w:hRule="atLeast"/>
          <w:jc w:val="center"/>
        </w:trPr>
        <w:tc>
          <w:tcPr>
            <w:tcW w:w="955" w:type="dxa"/>
            <w:tcBorders>
              <w:left w:val="single" w:color="000000" w:sz="4" w:space="0"/>
              <w:bottom w:val="single" w:color="auto" w:sz="4" w:space="0"/>
              <w:right w:val="single" w:color="000000" w:sz="4" w:space="0"/>
            </w:tcBorders>
            <w:vAlign w:val="center"/>
          </w:tcPr>
          <w:p>
            <w:pPr>
              <w:pStyle w:val="2"/>
              <w:ind w:left="0"/>
              <w:jc w:val="center"/>
            </w:pPr>
            <w:r>
              <w:rPr>
                <w:rFonts w:hint="eastAsia"/>
              </w:rPr>
              <w:t>2.3</w:t>
            </w:r>
          </w:p>
        </w:tc>
        <w:tc>
          <w:tcPr>
            <w:tcW w:w="1459" w:type="dxa"/>
            <w:gridSpan w:val="2"/>
            <w:tcBorders>
              <w:left w:val="nil"/>
              <w:bottom w:val="single" w:color="auto" w:sz="4" w:space="0"/>
              <w:right w:val="single" w:color="auto" w:sz="4" w:space="0"/>
            </w:tcBorders>
            <w:vAlign w:val="center"/>
          </w:tcPr>
          <w:p>
            <w:pPr>
              <w:pStyle w:val="2"/>
              <w:ind w:left="0"/>
              <w:jc w:val="center"/>
            </w:pPr>
            <w:r>
              <w:rPr>
                <w:rFonts w:hint="eastAsia"/>
              </w:rPr>
              <w:t>推荐</w:t>
            </w:r>
          </w:p>
          <w:p>
            <w:pPr>
              <w:pStyle w:val="2"/>
              <w:ind w:left="0"/>
              <w:jc w:val="center"/>
            </w:pPr>
            <w:r>
              <w:rPr>
                <w:rFonts w:hint="eastAsia"/>
              </w:rPr>
              <w:t>中标候选人</w:t>
            </w:r>
          </w:p>
        </w:tc>
        <w:tc>
          <w:tcPr>
            <w:tcW w:w="7491" w:type="dxa"/>
            <w:gridSpan w:val="3"/>
            <w:tcBorders>
              <w:top w:val="single" w:color="000000" w:sz="4" w:space="0"/>
              <w:left w:val="single" w:color="auto" w:sz="4" w:space="0"/>
              <w:bottom w:val="single" w:color="auto" w:sz="4" w:space="0"/>
              <w:right w:val="single" w:color="000000" w:sz="4" w:space="0"/>
            </w:tcBorders>
            <w:vAlign w:val="center"/>
          </w:tcPr>
          <w:p>
            <w:pPr>
              <w:pStyle w:val="2"/>
              <w:ind w:left="0"/>
            </w:pPr>
            <w:r>
              <w:rPr>
                <w:rFonts w:hint="eastAsia"/>
              </w:rPr>
              <w:t>1、只有通过工程建设费投标报价是否低于成本评审，未被认定为低于工程建设费成本报价竞标的投标人方可能被推荐为中标候选人或根据招标人授权直接确定为中标人。</w:t>
            </w:r>
          </w:p>
          <w:p>
            <w:pPr>
              <w:pStyle w:val="2"/>
              <w:ind w:left="0"/>
            </w:pPr>
            <w:r>
              <w:rPr>
                <w:rFonts w:hint="eastAsia"/>
              </w:rPr>
              <w:t>2、评标委员会按综合得分由高至低的顺序依次推荐前1-3名为中标候选人，并注明排名顺序。经公示无异议后，本项目招标人原则上将确定排名第一的中标候选人为中标人，或根据招标人授权直接确定中标人，但投标报价低于其成本的除外。</w:t>
            </w:r>
          </w:p>
          <w:p>
            <w:pPr>
              <w:pStyle w:val="2"/>
              <w:ind w:left="0"/>
            </w:pPr>
            <w:r>
              <w:rPr>
                <w:rFonts w:hint="eastAsia"/>
              </w:rPr>
              <w:t>3、采用综合评估法时，综合评分相等时，以投标报价低的优先；投标报价也相等的以</w:t>
            </w:r>
            <w:r>
              <w:rPr>
                <w:rFonts w:hint="eastAsia"/>
                <w:u w:val="single"/>
              </w:rPr>
              <w:t xml:space="preserve">            </w:t>
            </w:r>
            <w:r>
              <w:rPr>
                <w:rFonts w:hint="eastAsia"/>
              </w:rPr>
              <w:t xml:space="preserve"> 确定中标人。</w:t>
            </w:r>
          </w:p>
        </w:tc>
      </w:tr>
      <w:tr>
        <w:tblPrEx>
          <w:tblCellMar>
            <w:top w:w="0" w:type="dxa"/>
            <w:left w:w="108" w:type="dxa"/>
            <w:bottom w:w="0" w:type="dxa"/>
            <w:right w:w="108" w:type="dxa"/>
          </w:tblCellMar>
        </w:tblPrEx>
        <w:trPr>
          <w:trHeight w:val="567" w:hRule="atLeast"/>
          <w:jc w:val="center"/>
        </w:trPr>
        <w:tc>
          <w:tcPr>
            <w:tcW w:w="955" w:type="dxa"/>
            <w:tcBorders>
              <w:top w:val="single" w:color="auto" w:sz="4" w:space="0"/>
              <w:left w:val="single" w:color="auto" w:sz="4" w:space="0"/>
              <w:bottom w:val="single" w:color="auto" w:sz="4" w:space="0"/>
              <w:right w:val="single" w:color="000000" w:sz="4" w:space="0"/>
            </w:tcBorders>
            <w:vAlign w:val="center"/>
          </w:tcPr>
          <w:p>
            <w:pPr>
              <w:pStyle w:val="2"/>
              <w:ind w:left="0"/>
              <w:jc w:val="center"/>
            </w:pPr>
            <w:r>
              <w:rPr>
                <w:rFonts w:hint="eastAsia"/>
              </w:rPr>
              <w:t>2.4</w:t>
            </w:r>
          </w:p>
        </w:tc>
        <w:tc>
          <w:tcPr>
            <w:tcW w:w="1459" w:type="dxa"/>
            <w:gridSpan w:val="2"/>
            <w:tcBorders>
              <w:top w:val="single" w:color="auto" w:sz="4" w:space="0"/>
              <w:left w:val="nil"/>
              <w:bottom w:val="single" w:color="auto" w:sz="4" w:space="0"/>
              <w:right w:val="single" w:color="auto" w:sz="4" w:space="0"/>
            </w:tcBorders>
            <w:vAlign w:val="center"/>
          </w:tcPr>
          <w:p>
            <w:pPr>
              <w:pStyle w:val="2"/>
              <w:ind w:left="0"/>
              <w:jc w:val="center"/>
            </w:pPr>
            <w:r>
              <w:rPr>
                <w:rFonts w:hint="eastAsia"/>
              </w:rPr>
              <w:t>补充说明</w:t>
            </w:r>
          </w:p>
        </w:tc>
        <w:tc>
          <w:tcPr>
            <w:tcW w:w="7491" w:type="dxa"/>
            <w:gridSpan w:val="3"/>
            <w:tcBorders>
              <w:top w:val="single" w:color="000000" w:sz="4" w:space="0"/>
              <w:left w:val="single" w:color="auto" w:sz="4" w:space="0"/>
              <w:bottom w:val="single" w:color="auto" w:sz="4" w:space="0"/>
              <w:right w:val="single" w:color="000000" w:sz="4" w:space="0"/>
            </w:tcBorders>
            <w:vAlign w:val="center"/>
          </w:tcPr>
          <w:p>
            <w:pPr>
              <w:pStyle w:val="2"/>
              <w:ind w:left="0"/>
            </w:pPr>
            <w:r>
              <w:rPr>
                <w:rFonts w:hint="eastAsia"/>
              </w:rPr>
              <w:t>1、评标委员会经评审否决不合格投标后，因有效投标（指经过全部评审而未被否决的投标，下同）不足三个的：</w:t>
            </w:r>
          </w:p>
          <w:p>
            <w:pPr>
              <w:pStyle w:val="2"/>
              <w:ind w:left="0"/>
            </w:pPr>
            <w:r>
              <w:rPr>
                <w:rFonts w:hint="eastAsia"/>
              </w:rPr>
              <w:t>○投标明显缺乏竞争由评标委员会认定：投标人是否具有竞争性应从其实力、信誉、技术方案及投标报价等方面认定。</w:t>
            </w:r>
          </w:p>
          <w:p>
            <w:pPr>
              <w:pStyle w:val="2"/>
              <w:ind w:left="0"/>
            </w:pPr>
            <w:r>
              <w:rPr>
                <w:rFonts w:hint="eastAsia"/>
              </w:rPr>
              <w:t>○投标明显缺乏竞争，招标文件有量化规定的从其规定:。</w:t>
            </w:r>
          </w:p>
          <w:p>
            <w:pPr>
              <w:pStyle w:val="2"/>
              <w:ind w:left="0"/>
            </w:pPr>
            <w:r>
              <w:rPr>
                <w:rFonts w:hint="eastAsia"/>
              </w:rPr>
              <w:t>评标委员会否决全部投标或认定可以继续评审的，应当在评标报告中书面说明理由。</w:t>
            </w:r>
          </w:p>
          <w:p>
            <w:pPr>
              <w:pStyle w:val="2"/>
              <w:ind w:left="0"/>
            </w:pPr>
            <w:r>
              <w:rPr>
                <w:rFonts w:hint="eastAsia"/>
              </w:rPr>
              <w:t>2、评标委员会在做出否决投标决定前，应向当事人发出“否决通知书”，告知投标人否决投标理由。否决投标应当由评标委员会集体表决。</w:t>
            </w:r>
          </w:p>
          <w:p>
            <w:pPr>
              <w:pStyle w:val="2"/>
              <w:ind w:left="0"/>
            </w:pPr>
            <w:r>
              <w:rPr>
                <w:rFonts w:hint="eastAsia"/>
              </w:rPr>
              <w:t>3、评标时评标委员会应按照附表一串通投标行为认定书中情形，根据投标文件如实填写“无”或“有”，并签字确认。有情形之一的，应认定为串通投标，并签字确认，作为评标报告一部分。</w:t>
            </w:r>
          </w:p>
        </w:tc>
      </w:tr>
    </w:tbl>
    <w:p>
      <w:pPr>
        <w:pStyle w:val="2"/>
        <w:ind w:left="0"/>
      </w:pPr>
    </w:p>
    <w:p>
      <w:pPr>
        <w:pStyle w:val="2"/>
      </w:pPr>
      <w:r>
        <w:rPr>
          <w:rFonts w:hint="eastAsia"/>
        </w:rPr>
        <w:t>注：“评标办法前附表”中内容仅能填空，如果因为招标项目的情况，需增加其他相关条款，应填入“评标办法前附表增加条款表”中，增加的条款不能与“评标办法前附表”中内容相冲突。评标办法前附表内容和评标办法“须知”不一致的，以评标办法前附表为准。</w:t>
      </w:r>
    </w:p>
    <w:p>
      <w:pPr>
        <w:pStyle w:val="2"/>
        <w:ind w:left="0"/>
      </w:pPr>
    </w:p>
    <w:p>
      <w:pPr>
        <w:pStyle w:val="2"/>
        <w:ind w:left="0"/>
        <w:jc w:val="both"/>
        <w:rPr>
          <w:b/>
          <w:bCs/>
        </w:rPr>
      </w:pPr>
      <w:r>
        <w:rPr>
          <w:rFonts w:hint="eastAsia"/>
          <w:b/>
          <w:bCs/>
        </w:rPr>
        <w:t>评标办法前附表增加条款表</w:t>
      </w:r>
    </w:p>
    <w:tbl>
      <w:tblPr>
        <w:tblStyle w:val="15"/>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843"/>
        <w:gridCol w:w="6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pStyle w:val="2"/>
              <w:ind w:left="0"/>
              <w:jc w:val="center"/>
            </w:pPr>
            <w:r>
              <w:rPr>
                <w:rFonts w:hint="eastAsia"/>
              </w:rPr>
              <w:t>条款号</w:t>
            </w:r>
          </w:p>
        </w:tc>
        <w:tc>
          <w:tcPr>
            <w:tcW w:w="1843" w:type="dxa"/>
            <w:vAlign w:val="center"/>
          </w:tcPr>
          <w:p>
            <w:pPr>
              <w:pStyle w:val="2"/>
              <w:ind w:left="0"/>
              <w:jc w:val="center"/>
            </w:pPr>
            <w:r>
              <w:rPr>
                <w:rFonts w:hint="eastAsia"/>
              </w:rPr>
              <w:t>评审因素</w:t>
            </w:r>
          </w:p>
        </w:tc>
        <w:tc>
          <w:tcPr>
            <w:tcW w:w="6194" w:type="dxa"/>
            <w:vAlign w:val="center"/>
          </w:tcPr>
          <w:p>
            <w:pPr>
              <w:pStyle w:val="2"/>
              <w:ind w:left="0"/>
              <w:jc w:val="center"/>
            </w:pPr>
            <w:r>
              <w:rPr>
                <w:rFonts w:hint="eastAsia"/>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26" w:type="dxa"/>
          </w:tcPr>
          <w:p>
            <w:pPr>
              <w:spacing w:line="500" w:lineRule="exact"/>
              <w:jc w:val="center"/>
              <w:rPr>
                <w:rFonts w:ascii="宋体" w:hAnsi="宋体"/>
                <w:b/>
                <w:sz w:val="24"/>
                <w:szCs w:val="21"/>
              </w:rPr>
            </w:pPr>
          </w:p>
        </w:tc>
        <w:tc>
          <w:tcPr>
            <w:tcW w:w="1843" w:type="dxa"/>
          </w:tcPr>
          <w:p>
            <w:pPr>
              <w:spacing w:line="500" w:lineRule="exact"/>
              <w:jc w:val="center"/>
              <w:rPr>
                <w:rFonts w:ascii="宋体" w:hAnsi="宋体"/>
                <w:b/>
                <w:sz w:val="24"/>
                <w:szCs w:val="21"/>
              </w:rPr>
            </w:pPr>
          </w:p>
        </w:tc>
        <w:tc>
          <w:tcPr>
            <w:tcW w:w="6194" w:type="dxa"/>
          </w:tcPr>
          <w:p>
            <w:pPr>
              <w:spacing w:line="500" w:lineRule="exact"/>
              <w:jc w:val="center"/>
              <w:rPr>
                <w:rFonts w:ascii="宋体" w:hAnsi="宋体"/>
                <w:b/>
                <w:sz w:val="24"/>
                <w:szCs w:val="21"/>
              </w:rPr>
            </w:pPr>
          </w:p>
        </w:tc>
      </w:tr>
    </w:tbl>
    <w:p>
      <w:r>
        <w:rPr>
          <w:rFonts w:hint="eastAsia"/>
        </w:rPr>
        <w:br w:type="page"/>
      </w:r>
    </w:p>
    <w:p>
      <w:pPr>
        <w:pStyle w:val="5"/>
        <w:numPr>
          <w:ilvl w:val="0"/>
          <w:numId w:val="8"/>
        </w:numPr>
      </w:pPr>
      <w:bookmarkStart w:id="35" w:name="_Toc29506"/>
      <w:r>
        <w:t>评标方法</w:t>
      </w:r>
      <w:bookmarkEnd w:id="35"/>
    </w:p>
    <w:p>
      <w:pPr>
        <w:pStyle w:val="2"/>
      </w:pPr>
      <w:r>
        <w:rPr>
          <w:rFonts w:hint="eastAsia"/>
        </w:rPr>
        <w:t>本次评标采用经评审的综合评估法。评标委员会对满足招标文件实质要求的投标文件，根据本章第</w:t>
      </w:r>
    </w:p>
    <w:p>
      <w:pPr>
        <w:pStyle w:val="2"/>
        <w:ind w:left="0"/>
      </w:pPr>
      <w:r>
        <w:rPr>
          <w:rFonts w:hint="eastAsia"/>
        </w:rPr>
        <w:t>2.2 款规定的量化因素及量化标准进行价格折算，按照按综合得分由高至低的顺序推荐中标候选人，或根据招标人授权直接确定中标人，但投标报价低于其成本的除外。经评审的投标价相等时，投标报价低的优先；投标报价也相等的，由招标人自行确定。</w:t>
      </w:r>
    </w:p>
    <w:p>
      <w:pPr>
        <w:pStyle w:val="5"/>
        <w:numPr>
          <w:ilvl w:val="0"/>
          <w:numId w:val="8"/>
        </w:numPr>
      </w:pPr>
      <w:r>
        <w:t>评审标准</w:t>
      </w:r>
      <w:bookmarkStart w:id="36" w:name="_bookmark86"/>
      <w:bookmarkEnd w:id="36"/>
    </w:p>
    <w:p>
      <w:pPr>
        <w:pStyle w:val="6"/>
      </w:pPr>
      <w:r>
        <w:rPr>
          <w:rFonts w:hint="eastAsia"/>
        </w:rPr>
        <w:t>2.1初步评审标准</w:t>
      </w:r>
    </w:p>
    <w:p>
      <w:pPr>
        <w:pStyle w:val="2"/>
      </w:pPr>
      <w:r>
        <w:rPr>
          <w:rFonts w:hint="eastAsia"/>
        </w:rPr>
        <w:t>2.1.1 形式评审标准：见评标办法前附表。</w:t>
      </w:r>
    </w:p>
    <w:p>
      <w:pPr>
        <w:pStyle w:val="2"/>
      </w:pPr>
      <w:r>
        <w:rPr>
          <w:rFonts w:hint="eastAsia"/>
        </w:rPr>
        <w:t>2.1.2 资格评审标准：见评标办法前附表。</w:t>
      </w:r>
    </w:p>
    <w:p>
      <w:pPr>
        <w:pStyle w:val="2"/>
      </w:pPr>
      <w:r>
        <w:rPr>
          <w:rFonts w:hint="eastAsia"/>
        </w:rPr>
        <w:t>2.1.3 响应性评审标准：见评标办法前附表。</w:t>
      </w:r>
    </w:p>
    <w:p>
      <w:pPr>
        <w:pStyle w:val="2"/>
      </w:pPr>
      <w:r>
        <w:rPr>
          <w:rFonts w:hint="eastAsia"/>
        </w:rPr>
        <w:t>2.1.4 投标报价初步评审及低于成本评审：见评标办法前附表。</w:t>
      </w:r>
    </w:p>
    <w:p>
      <w:pPr>
        <w:pStyle w:val="6"/>
      </w:pPr>
      <w:r>
        <w:rPr>
          <w:rFonts w:hint="eastAsia"/>
        </w:rPr>
        <w:t>2.2分值构成与评分标准</w:t>
      </w:r>
    </w:p>
    <w:p>
      <w:pPr>
        <w:pStyle w:val="2"/>
      </w:pPr>
      <w:r>
        <w:rPr>
          <w:rFonts w:hint="eastAsia"/>
        </w:rPr>
        <w:t>2.2.1 分值构成</w:t>
      </w:r>
    </w:p>
    <w:p>
      <w:pPr>
        <w:pStyle w:val="2"/>
      </w:pPr>
      <w:r>
        <w:rPr>
          <w:rFonts w:hint="eastAsia"/>
        </w:rPr>
        <w:t>(l）实施方案：见评标办法前附表；</w:t>
      </w:r>
    </w:p>
    <w:p>
      <w:pPr>
        <w:pStyle w:val="2"/>
      </w:pPr>
      <w:r>
        <w:rPr>
          <w:rFonts w:hint="eastAsia"/>
        </w:rPr>
        <w:t>(2）项目管理机构：见评标办法前附表；</w:t>
      </w:r>
    </w:p>
    <w:p>
      <w:pPr>
        <w:pStyle w:val="2"/>
      </w:pPr>
      <w:r>
        <w:rPr>
          <w:rFonts w:hint="eastAsia"/>
        </w:rPr>
        <w:t>(3）投标报价：见评标办法前附表；</w:t>
      </w:r>
    </w:p>
    <w:p>
      <w:pPr>
        <w:pStyle w:val="2"/>
      </w:pPr>
      <w:r>
        <w:rPr>
          <w:rFonts w:hint="eastAsia"/>
        </w:rPr>
        <w:t>(4）其他评分因素：见评标办法前附表。</w:t>
      </w:r>
    </w:p>
    <w:p>
      <w:pPr>
        <w:pStyle w:val="2"/>
      </w:pPr>
      <w:r>
        <w:rPr>
          <w:rFonts w:hint="eastAsia"/>
        </w:rPr>
        <w:t>□(总承包资质)(5）信用得分因素：见评标办法前附表。</w:t>
      </w:r>
    </w:p>
    <w:p>
      <w:pPr>
        <w:pStyle w:val="2"/>
      </w:pPr>
      <w:r>
        <w:rPr>
          <w:rFonts w:hint="eastAsia"/>
        </w:rPr>
        <w:t>2.2.2 评分标准</w:t>
      </w:r>
    </w:p>
    <w:p>
      <w:pPr>
        <w:pStyle w:val="2"/>
      </w:pPr>
      <w:r>
        <w:rPr>
          <w:rFonts w:hint="eastAsia"/>
        </w:rPr>
        <w:t>(1）实施方案评分标准：见评标办法前附表；</w:t>
      </w:r>
    </w:p>
    <w:p>
      <w:pPr>
        <w:pStyle w:val="2"/>
      </w:pPr>
      <w:r>
        <w:rPr>
          <w:rFonts w:hint="eastAsia"/>
        </w:rPr>
        <w:t>(2）项目管理机构评分标准：见评标办法前附表；</w:t>
      </w:r>
    </w:p>
    <w:p>
      <w:pPr>
        <w:pStyle w:val="2"/>
      </w:pPr>
      <w:r>
        <w:rPr>
          <w:rFonts w:hint="eastAsia"/>
        </w:rPr>
        <w:t>(3）投标报价评分标准：见评标办法前附表；</w:t>
      </w:r>
    </w:p>
    <w:p>
      <w:pPr>
        <w:pStyle w:val="2"/>
      </w:pPr>
      <w:r>
        <w:rPr>
          <w:rFonts w:hint="eastAsia"/>
        </w:rPr>
        <w:t>(4）其他因素评分标准：见评标办法前附表。</w:t>
      </w:r>
    </w:p>
    <w:p>
      <w:pPr>
        <w:pStyle w:val="2"/>
      </w:pPr>
      <w:r>
        <w:rPr>
          <w:rFonts w:hint="eastAsia"/>
        </w:rPr>
        <w:t>□(总承包资质) (5）信用得分评分标准：见评标办法前附表。</w:t>
      </w:r>
    </w:p>
    <w:p>
      <w:pPr>
        <w:pStyle w:val="5"/>
        <w:numPr>
          <w:ilvl w:val="0"/>
          <w:numId w:val="8"/>
        </w:numPr>
      </w:pPr>
      <w:bookmarkStart w:id="37" w:name="_Toc14257"/>
      <w:r>
        <w:t>评标程序</w:t>
      </w:r>
      <w:bookmarkEnd w:id="37"/>
    </w:p>
    <w:p>
      <w:pPr>
        <w:pStyle w:val="6"/>
      </w:pPr>
      <w:r>
        <w:rPr>
          <w:rFonts w:hint="eastAsia"/>
        </w:rPr>
        <w:t>3.1初步评审</w:t>
      </w:r>
    </w:p>
    <w:p>
      <w:pPr>
        <w:pStyle w:val="2"/>
      </w:pPr>
      <w:r>
        <w:rPr>
          <w:rFonts w:hint="eastAsia"/>
        </w:rPr>
        <w:t>3.1.1 评标委员会可以要求投标人提交第二章“投标人须知”第3.5.1 项至第3.5.5 项规定的有</w:t>
      </w:r>
    </w:p>
    <w:p>
      <w:pPr>
        <w:pStyle w:val="2"/>
        <w:ind w:left="0"/>
      </w:pPr>
      <w:r>
        <w:rPr>
          <w:rFonts w:hint="eastAsia"/>
        </w:rPr>
        <w:t>关证明和证件的原件，以便核验。评标委员会依据本章第2.1 款规定的标准对投标文件进行初步评审。有一项不符合评审标准的，作否决处理。</w:t>
      </w:r>
    </w:p>
    <w:p>
      <w:pPr>
        <w:pStyle w:val="2"/>
      </w:pPr>
      <w:r>
        <w:rPr>
          <w:rFonts w:hint="eastAsia"/>
        </w:rPr>
        <w:t>3.1.2 投标人有以下情形之一的，其投标作否决处理：</w:t>
      </w:r>
    </w:p>
    <w:p>
      <w:pPr>
        <w:pStyle w:val="2"/>
      </w:pPr>
      <w:r>
        <w:rPr>
          <w:rFonts w:hint="eastAsia"/>
        </w:rPr>
        <w:t>(l）串通投标或弄虚作假或有其他违法行为的；</w:t>
      </w:r>
    </w:p>
    <w:p>
      <w:pPr>
        <w:pStyle w:val="2"/>
      </w:pPr>
      <w:r>
        <w:rPr>
          <w:rFonts w:hint="eastAsia"/>
        </w:rPr>
        <w:t>(2）不按评标委员会要求澄清、说明或补正的。</w:t>
      </w:r>
    </w:p>
    <w:p>
      <w:pPr>
        <w:pStyle w:val="2"/>
      </w:pPr>
      <w:r>
        <w:rPr>
          <w:rFonts w:hint="eastAsia"/>
        </w:rPr>
        <w:t>○3.1.3投标报价存在算数性错误的，应按以下原则对投标报价进行修正，报价评审组修正后的价</w:t>
      </w:r>
    </w:p>
    <w:p>
      <w:pPr>
        <w:pStyle w:val="2"/>
        <w:ind w:left="0"/>
      </w:pPr>
      <w:r>
        <w:rPr>
          <w:rFonts w:hint="eastAsia"/>
        </w:rPr>
        <w:t>格经投标人书面确认后具有约束力。投标人不接受修正价格或修正后价格高于招标控制价的，报价评审组应否决其投标。</w:t>
      </w:r>
    </w:p>
    <w:p>
      <w:pPr>
        <w:pStyle w:val="2"/>
        <w:numPr>
          <w:ilvl w:val="0"/>
          <w:numId w:val="9"/>
        </w:numPr>
      </w:pPr>
      <w:r>
        <w:rPr>
          <w:rFonts w:hint="eastAsia"/>
        </w:rPr>
        <w:t>当综合单价与工程量（或计算基础金额与费率）的乘积与合价不一致时，以综合单价（或费</w:t>
      </w:r>
    </w:p>
    <w:p>
      <w:pPr>
        <w:pStyle w:val="2"/>
        <w:ind w:left="0"/>
      </w:pPr>
      <w:r>
        <w:rPr>
          <w:rFonts w:hint="eastAsia"/>
        </w:rPr>
        <w:t>率）为准修正合价及总价，除非报价评审组认为综合单价（或费率）有明显的小数点错误，此时应以合价为准，并修正综合单价；</w:t>
      </w:r>
    </w:p>
    <w:p>
      <w:pPr>
        <w:pStyle w:val="2"/>
      </w:pPr>
      <w:r>
        <w:rPr>
          <w:rFonts w:hint="eastAsia"/>
        </w:rPr>
        <w:t>（2）当各单项金额相加与其合计金额不一致时，以各单项金额为准修正相应合计金额及总价。</w:t>
      </w:r>
    </w:p>
    <w:p>
      <w:pPr>
        <w:pStyle w:val="6"/>
      </w:pPr>
      <w:r>
        <w:rPr>
          <w:rFonts w:hint="eastAsia"/>
        </w:rPr>
        <w:t>3.2详细评审</w:t>
      </w:r>
    </w:p>
    <w:p>
      <w:pPr>
        <w:pStyle w:val="2"/>
      </w:pPr>
      <w:r>
        <w:rPr>
          <w:rFonts w:hint="eastAsia"/>
        </w:rPr>
        <w:t>3.2.1 评标委员会按本章第2.2 款规定的量化因素和分值进行打分，并计算出综合评估得分。</w:t>
      </w:r>
    </w:p>
    <w:p>
      <w:pPr>
        <w:pStyle w:val="2"/>
      </w:pPr>
      <w:r>
        <w:rPr>
          <w:rFonts w:hint="eastAsia"/>
        </w:rPr>
        <w:t>(1）按本章第2.2.2(1）目规定的评审因素和分值对施工组织设计计算出得分A ；</w:t>
      </w:r>
    </w:p>
    <w:p>
      <w:pPr>
        <w:pStyle w:val="2"/>
      </w:pPr>
      <w:r>
        <w:rPr>
          <w:rFonts w:hint="eastAsia"/>
        </w:rPr>
        <w:t>(2）按本章第2.2.2(2）目规定的评审因素和分值对项目管理机构计算出得分B；</w:t>
      </w:r>
    </w:p>
    <w:p>
      <w:pPr>
        <w:pStyle w:val="2"/>
      </w:pPr>
      <w:r>
        <w:rPr>
          <w:rFonts w:hint="eastAsia"/>
        </w:rPr>
        <w:t>(3）按本章第2.2.2(3）目规定的评审因素和分值对投标报价计算出得分C；</w:t>
      </w:r>
    </w:p>
    <w:p>
      <w:pPr>
        <w:pStyle w:val="2"/>
      </w:pPr>
      <w:r>
        <w:rPr>
          <w:rFonts w:hint="eastAsia"/>
        </w:rPr>
        <w:t>(4）按本章第2.2.2(4）目规定的评审因素和分值对其他部分计算出得分D ；</w:t>
      </w:r>
    </w:p>
    <w:p>
      <w:pPr>
        <w:pStyle w:val="2"/>
      </w:pPr>
      <w:r>
        <w:rPr>
          <w:rFonts w:hint="eastAsia"/>
        </w:rPr>
        <w:t>□(总承包资质) (5）按本章第2.2.2(5）目规定的评审因素和分值对信用部分计算出得分E。</w:t>
      </w:r>
    </w:p>
    <w:p>
      <w:pPr>
        <w:pStyle w:val="2"/>
      </w:pPr>
      <w:r>
        <w:rPr>
          <w:rFonts w:hint="eastAsia"/>
        </w:rPr>
        <w:t>3.2.2 评分分值计算保留小数点后两位，小数点后第三位“四舍五入”。</w:t>
      </w:r>
    </w:p>
    <w:p>
      <w:pPr>
        <w:pStyle w:val="2"/>
      </w:pPr>
      <w:r>
        <w:rPr>
          <w:rFonts w:hint="eastAsia"/>
        </w:rPr>
        <w:t>□(专业承包资质)3.2.3 投标人得分二A 十B 十C 十D 。</w:t>
      </w:r>
    </w:p>
    <w:p>
      <w:pPr>
        <w:pStyle w:val="2"/>
      </w:pPr>
      <w:r>
        <w:rPr>
          <w:rFonts w:hint="eastAsia"/>
        </w:rPr>
        <w:t>□(总承包资质)3.2.3投标人得分＝A 十B 十C 十D十E。</w:t>
      </w:r>
    </w:p>
    <w:p>
      <w:pPr>
        <w:pStyle w:val="2"/>
      </w:pPr>
      <w:r>
        <w:rPr>
          <w:rFonts w:hint="eastAsia"/>
        </w:rPr>
        <w:t>3.2.4 评标委员会发现投标人的报价明显低于其他投标报价，或者在设有标底时明显低于标底，使</w:t>
      </w:r>
    </w:p>
    <w:p>
      <w:pPr>
        <w:pStyle w:val="2"/>
        <w:ind w:left="0"/>
      </w:pPr>
      <w:r>
        <w:rPr>
          <w:rFonts w:hint="eastAsia"/>
        </w:rPr>
        <w:t>得其投标报价可能低于其个别成本的，应当要求该投标人作出书面说明并提供相应的证明材料。投标人不能合理说明或者不能提供相应证明材料的，由评标委员会认定该投标人以低于成本报价竞标，其投标作否决处理。</w:t>
      </w:r>
    </w:p>
    <w:p>
      <w:pPr>
        <w:pStyle w:val="6"/>
      </w:pPr>
      <w:r>
        <w:rPr>
          <w:rFonts w:hint="eastAsia"/>
        </w:rPr>
        <w:t>3.3投标文件的澄清和补正</w:t>
      </w:r>
    </w:p>
    <w:p>
      <w:pPr>
        <w:pStyle w:val="2"/>
      </w:pPr>
      <w:r>
        <w:rPr>
          <w:rFonts w:hint="eastAsia"/>
        </w:rPr>
        <w:t>3.3.1 评标专家在评审过程中，对认为需要投标人澄清、说明或补正的事项，应由评标委员会向投</w:t>
      </w:r>
    </w:p>
    <w:p>
      <w:pPr>
        <w:pStyle w:val="2"/>
        <w:ind w:left="0"/>
      </w:pPr>
      <w:r>
        <w:rPr>
          <w:rFonts w:hint="eastAsia"/>
        </w:rPr>
        <w:t>标人发出书面《评标专家向投标人质疑函》（详附件1.1）进行询问。投标人的澄清、说明或补正应当采用书面形式，并由投标人的法定代表人或其授权的代理人签字有效。</w:t>
      </w:r>
    </w:p>
    <w:p>
      <w:pPr>
        <w:pStyle w:val="2"/>
      </w:pPr>
      <w:r>
        <w:rPr>
          <w:rFonts w:hint="eastAsia"/>
        </w:rPr>
        <w:t>3.3.2 如果评标专家对投标人提交的澄清、说明或补正依然存在疑问，评标专家可以进一步要求澄</w:t>
      </w:r>
    </w:p>
    <w:p>
      <w:pPr>
        <w:pStyle w:val="2"/>
        <w:ind w:left="0"/>
      </w:pPr>
      <w:r>
        <w:rPr>
          <w:rFonts w:hint="eastAsia"/>
        </w:rPr>
        <w:t>清、说明或补正，投标人应进一步澄清、说明或补正，直至评标专家认为全部疑问得到澄清和说明。</w:t>
      </w:r>
    </w:p>
    <w:p>
      <w:pPr>
        <w:pStyle w:val="2"/>
      </w:pPr>
      <w:r>
        <w:rPr>
          <w:rFonts w:hint="eastAsia"/>
        </w:rPr>
        <w:t>3.3.3 在评标过程中，评标委员会可以书面形式要求投标人对所提交的投标文件中不明确的内容进</w:t>
      </w:r>
    </w:p>
    <w:p>
      <w:pPr>
        <w:pStyle w:val="2"/>
        <w:ind w:left="0"/>
      </w:pPr>
      <w:r>
        <w:rPr>
          <w:rFonts w:hint="eastAsia"/>
        </w:rPr>
        <w:t>行书面澄清或说明，或者对细微偏差进行补正。评标委员会不接受投标人主动提出的澄清、说明或补正。</w:t>
      </w:r>
    </w:p>
    <w:p>
      <w:pPr>
        <w:pStyle w:val="2"/>
      </w:pPr>
      <w:r>
        <w:rPr>
          <w:rFonts w:hint="eastAsia"/>
        </w:rPr>
        <w:t>3.3.4 如果投标人未按要求及时提交《评标专家向投标人质疑函》（详附件1.1），其投标报价应予</w:t>
      </w:r>
    </w:p>
    <w:p>
      <w:pPr>
        <w:pStyle w:val="2"/>
        <w:ind w:left="0"/>
      </w:pPr>
      <w:r>
        <w:rPr>
          <w:rFonts w:hint="eastAsia"/>
        </w:rPr>
        <w:t>以否决。</w:t>
      </w:r>
    </w:p>
    <w:p>
      <w:pPr>
        <w:pStyle w:val="6"/>
        <w:rPr>
          <w:sz w:val="32"/>
        </w:rPr>
      </w:pPr>
      <w:r>
        <w:rPr>
          <w:rFonts w:hint="eastAsia"/>
          <w:sz w:val="32"/>
        </w:rPr>
        <w:t>3.4 招标文件的澄清和补正</w:t>
      </w:r>
    </w:p>
    <w:p>
      <w:pPr>
        <w:pStyle w:val="2"/>
      </w:pPr>
      <w:r>
        <w:rPr>
          <w:rFonts w:hint="eastAsia"/>
        </w:rPr>
        <w:t>3.4.1 在评标过程中，评标委员会对认为需要招标人对招标文件进行解释、说明的事项，应由评标</w:t>
      </w:r>
    </w:p>
    <w:p>
      <w:pPr>
        <w:pStyle w:val="2"/>
        <w:ind w:left="0"/>
      </w:pPr>
      <w:r>
        <w:rPr>
          <w:rFonts w:hint="eastAsia"/>
        </w:rPr>
        <w:t>委员会向招标人发出书面《评标专家向招标人质疑函》（详附件1.2）进行询问。招标人的解释、说明应当采用书面形式，并由招标人的法定代表人或其授权的代理人签字有效。招标人的解释、说明应当合法、公平、公正，并不得改变招标文件的实质性内容。</w:t>
      </w:r>
    </w:p>
    <w:p>
      <w:pPr>
        <w:pStyle w:val="2"/>
      </w:pPr>
      <w:r>
        <w:rPr>
          <w:rFonts w:hint="eastAsia"/>
        </w:rPr>
        <w:t>3.4.2 如果招标人未按要求提交《评标专家向招标人质疑函》，评标专家可拒绝评标或按不利于招</w:t>
      </w:r>
    </w:p>
    <w:p>
      <w:pPr>
        <w:pStyle w:val="2"/>
        <w:ind w:left="0"/>
      </w:pPr>
      <w:r>
        <w:rPr>
          <w:rFonts w:hint="eastAsia"/>
        </w:rPr>
        <w:t>标人的方式处理，招标人承担相应责任。</w:t>
      </w:r>
    </w:p>
    <w:p>
      <w:pPr>
        <w:pStyle w:val="6"/>
        <w:rPr>
          <w:sz w:val="32"/>
        </w:rPr>
      </w:pPr>
      <w:r>
        <w:rPr>
          <w:rFonts w:hint="eastAsia"/>
          <w:sz w:val="32"/>
        </w:rPr>
        <w:t>3.5 评标结果</w:t>
      </w:r>
    </w:p>
    <w:p>
      <w:pPr>
        <w:pStyle w:val="2"/>
      </w:pPr>
      <w:r>
        <w:rPr>
          <w:rFonts w:hint="eastAsia"/>
        </w:rPr>
        <w:t>3.5.1 除第二章“投标人须知”前附表授权直接确定中标人外，评标委员会按照得分高到低的顺序</w:t>
      </w:r>
    </w:p>
    <w:p>
      <w:pPr>
        <w:pStyle w:val="2"/>
        <w:ind w:left="0"/>
      </w:pPr>
      <w:r>
        <w:rPr>
          <w:rFonts w:hint="eastAsia"/>
        </w:rPr>
        <w:t>推荐中标候选人。</w:t>
      </w:r>
    </w:p>
    <w:p>
      <w:pPr>
        <w:pStyle w:val="2"/>
      </w:pPr>
      <w:r>
        <w:rPr>
          <w:rFonts w:hint="eastAsia"/>
        </w:rPr>
        <w:t>3.5.2 评标委员会完成评标后，由应当向招标人提交书面评标报告。</w:t>
      </w:r>
    </w:p>
    <w:p>
      <w:r>
        <w:rPr>
          <w:rFonts w:hint="eastAsia"/>
        </w:rPr>
        <w:br w:type="page"/>
      </w:r>
    </w:p>
    <w:p>
      <w:pPr>
        <w:pStyle w:val="6"/>
      </w:pPr>
      <w:r>
        <w:rPr>
          <w:rFonts w:hint="eastAsia"/>
        </w:rPr>
        <w:t>附件1：质疑用表</w:t>
      </w:r>
    </w:p>
    <w:p>
      <w:pPr>
        <w:pStyle w:val="7"/>
        <w:ind w:left="0"/>
        <w:jc w:val="left"/>
      </w:pPr>
      <w:r>
        <w:rPr>
          <w:rFonts w:hint="eastAsia"/>
        </w:rPr>
        <w:t>1.1评标专家向投标人质疑函</w:t>
      </w:r>
    </w:p>
    <w:p>
      <w:pPr>
        <w:pStyle w:val="2"/>
        <w:ind w:left="0"/>
        <w:jc w:val="center"/>
        <w:rPr>
          <w:b/>
          <w:bCs/>
          <w:sz w:val="30"/>
          <w:szCs w:val="30"/>
        </w:rPr>
      </w:pPr>
      <w:r>
        <w:rPr>
          <w:rFonts w:hint="eastAsia"/>
          <w:b/>
          <w:bCs/>
          <w:sz w:val="30"/>
          <w:szCs w:val="30"/>
        </w:rPr>
        <w:t>评标专家向投标人质疑函</w:t>
      </w:r>
    </w:p>
    <w:p>
      <w:pPr>
        <w:pStyle w:val="2"/>
        <w:ind w:left="0"/>
      </w:pPr>
      <w:r>
        <w:rPr>
          <w:rFonts w:hint="eastAsia"/>
        </w:rPr>
        <w:t>投标人名称：                                            编号：</w:t>
      </w:r>
    </w:p>
    <w:tbl>
      <w:tblPr>
        <w:tblStyle w:val="15"/>
        <w:tblpPr w:leftFromText="180" w:rightFromText="180" w:vertAnchor="text" w:tblpXSpec="center" w:tblpY="1"/>
        <w:tblOverlap w:val="never"/>
        <w:tblW w:w="97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8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668" w:type="dxa"/>
            <w:gridSpan w:val="2"/>
            <w:vAlign w:val="center"/>
          </w:tcPr>
          <w:p>
            <w:pPr>
              <w:pStyle w:val="2"/>
              <w:ind w:left="0"/>
              <w:jc w:val="center"/>
            </w:pPr>
            <w:r>
              <w:rPr>
                <w:rFonts w:hint="eastAsia"/>
              </w:rPr>
              <w:t>标段名称</w:t>
            </w:r>
          </w:p>
        </w:tc>
        <w:tc>
          <w:tcPr>
            <w:tcW w:w="8100"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47" w:hRule="atLeast"/>
          <w:jc w:val="center"/>
        </w:trPr>
        <w:tc>
          <w:tcPr>
            <w:tcW w:w="817" w:type="dxa"/>
          </w:tcPr>
          <w:p>
            <w:pPr>
              <w:pStyle w:val="2"/>
              <w:ind w:left="0"/>
              <w:jc w:val="center"/>
            </w:pPr>
          </w:p>
          <w:p>
            <w:pPr>
              <w:pStyle w:val="2"/>
              <w:ind w:left="0"/>
              <w:jc w:val="center"/>
            </w:pPr>
            <w:r>
              <w:rPr>
                <w:rFonts w:hint="eastAsia"/>
              </w:rPr>
              <w:t>质</w:t>
            </w:r>
          </w:p>
          <w:p>
            <w:pPr>
              <w:pStyle w:val="2"/>
              <w:ind w:left="0"/>
              <w:jc w:val="center"/>
            </w:pPr>
            <w:r>
              <w:rPr>
                <w:rFonts w:hint="eastAsia"/>
              </w:rPr>
              <w:t>疑</w:t>
            </w:r>
          </w:p>
          <w:p>
            <w:pPr>
              <w:pStyle w:val="2"/>
              <w:ind w:left="0"/>
              <w:jc w:val="center"/>
            </w:pPr>
            <w:r>
              <w:rPr>
                <w:rFonts w:hint="eastAsia"/>
              </w:rPr>
              <w:t>问</w:t>
            </w:r>
          </w:p>
          <w:p>
            <w:pPr>
              <w:pStyle w:val="2"/>
              <w:ind w:left="0"/>
              <w:jc w:val="center"/>
            </w:pPr>
            <w:r>
              <w:rPr>
                <w:rFonts w:hint="eastAsia"/>
              </w:rPr>
              <w:t>题</w:t>
            </w:r>
          </w:p>
          <w:p>
            <w:pPr>
              <w:pStyle w:val="2"/>
              <w:ind w:left="0"/>
              <w:jc w:val="center"/>
            </w:pPr>
          </w:p>
        </w:tc>
        <w:tc>
          <w:tcPr>
            <w:tcW w:w="8951" w:type="dxa"/>
            <w:gridSpan w:val="2"/>
          </w:tcPr>
          <w:p>
            <w:pPr>
              <w:pStyle w:val="2"/>
              <w:ind w:left="0"/>
            </w:pPr>
          </w:p>
          <w:p>
            <w:pPr>
              <w:pStyle w:val="2"/>
              <w:ind w:left="0"/>
            </w:pPr>
          </w:p>
          <w:p>
            <w:pPr>
              <w:pStyle w:val="2"/>
              <w:ind w:left="0"/>
            </w:pPr>
          </w:p>
          <w:p>
            <w:pPr>
              <w:pStyle w:val="2"/>
              <w:ind w:left="0"/>
              <w:jc w:val="right"/>
            </w:pPr>
            <w:r>
              <w:rPr>
                <w:rFonts w:hint="eastAsia"/>
              </w:rPr>
              <w:t xml:space="preserve">   </w:t>
            </w:r>
            <w:r>
              <w:rPr>
                <w:u w:val="single"/>
              </w:rPr>
              <w:t xml:space="preserve">                       </w:t>
            </w:r>
            <w:r>
              <w:rPr>
                <w:rFonts w:hint="eastAsia"/>
              </w:rPr>
              <w:t>（项目名称）</w:t>
            </w:r>
            <w:r>
              <w:rPr>
                <w:u w:val="single"/>
              </w:rPr>
              <w:t xml:space="preserve">         </w:t>
            </w:r>
            <w:r>
              <w:rPr>
                <w:rFonts w:hint="eastAsia"/>
              </w:rPr>
              <w:t>标段招标评标委员会</w:t>
            </w:r>
          </w:p>
          <w:p>
            <w:pPr>
              <w:pStyle w:val="2"/>
              <w:ind w:left="0"/>
              <w:jc w:val="right"/>
            </w:pPr>
            <w:r>
              <w:rPr>
                <w:rFonts w:hint="eastAsia"/>
              </w:rPr>
              <w:t xml:space="preserve">          </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817" w:type="dxa"/>
          </w:tcPr>
          <w:p>
            <w:pPr>
              <w:pStyle w:val="2"/>
              <w:ind w:left="0"/>
              <w:jc w:val="center"/>
            </w:pPr>
          </w:p>
          <w:p>
            <w:pPr>
              <w:pStyle w:val="2"/>
              <w:ind w:left="0"/>
              <w:jc w:val="center"/>
            </w:pPr>
            <w:r>
              <w:rPr>
                <w:rFonts w:hint="eastAsia"/>
              </w:rPr>
              <w:t>澄</w:t>
            </w:r>
          </w:p>
          <w:p>
            <w:pPr>
              <w:pStyle w:val="2"/>
              <w:ind w:left="0"/>
              <w:jc w:val="center"/>
            </w:pPr>
            <w:r>
              <w:rPr>
                <w:rFonts w:hint="eastAsia"/>
              </w:rPr>
              <w:t>清</w:t>
            </w:r>
          </w:p>
          <w:p>
            <w:pPr>
              <w:pStyle w:val="2"/>
              <w:ind w:left="0"/>
              <w:jc w:val="center"/>
            </w:pPr>
            <w:r>
              <w:rPr>
                <w:rFonts w:hint="eastAsia"/>
              </w:rPr>
              <w:t>内</w:t>
            </w:r>
          </w:p>
          <w:p>
            <w:pPr>
              <w:pStyle w:val="2"/>
              <w:ind w:left="0"/>
              <w:jc w:val="center"/>
            </w:pPr>
            <w:r>
              <w:rPr>
                <w:rFonts w:hint="eastAsia"/>
              </w:rPr>
              <w:t>容</w:t>
            </w:r>
          </w:p>
        </w:tc>
        <w:tc>
          <w:tcPr>
            <w:tcW w:w="8951" w:type="dxa"/>
            <w:gridSpan w:val="2"/>
          </w:tcPr>
          <w:p>
            <w:pPr>
              <w:pStyle w:val="2"/>
              <w:ind w:left="0"/>
            </w:pPr>
          </w:p>
          <w:p>
            <w:pPr>
              <w:pStyle w:val="2"/>
              <w:ind w:left="0"/>
            </w:pPr>
          </w:p>
          <w:p>
            <w:pPr>
              <w:pStyle w:val="2"/>
              <w:ind w:left="0"/>
            </w:pPr>
          </w:p>
          <w:p>
            <w:pPr>
              <w:pStyle w:val="2"/>
              <w:ind w:left="0"/>
            </w:pPr>
            <w:r>
              <w:rPr>
                <w:rFonts w:hint="eastAsia"/>
              </w:rPr>
              <w:t xml:space="preserve">         </w:t>
            </w:r>
          </w:p>
          <w:p>
            <w:pPr>
              <w:pStyle w:val="2"/>
              <w:ind w:left="0"/>
              <w:jc w:val="right"/>
            </w:pPr>
            <w:r>
              <w:rPr>
                <w:rFonts w:hint="eastAsia"/>
              </w:rPr>
              <w:t>投标人法定代表人或其授权代理人：</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5" w:hRule="atLeast"/>
          <w:jc w:val="center"/>
        </w:trPr>
        <w:tc>
          <w:tcPr>
            <w:tcW w:w="817" w:type="dxa"/>
            <w:vAlign w:val="center"/>
          </w:tcPr>
          <w:p>
            <w:pPr>
              <w:pStyle w:val="2"/>
              <w:ind w:left="0"/>
              <w:jc w:val="center"/>
            </w:pPr>
            <w:r>
              <w:rPr>
                <w:rFonts w:hint="eastAsia"/>
              </w:rPr>
              <w:t>递交方式和时间</w:t>
            </w:r>
          </w:p>
        </w:tc>
        <w:tc>
          <w:tcPr>
            <w:tcW w:w="8951" w:type="dxa"/>
            <w:gridSpan w:val="2"/>
            <w:vAlign w:val="center"/>
          </w:tcPr>
          <w:p>
            <w:pPr>
              <w:pStyle w:val="2"/>
              <w:ind w:left="0"/>
            </w:pPr>
            <w:r>
              <w:rPr>
                <w:rFonts w:hint="eastAsia"/>
              </w:rPr>
              <w:t>请将上述问题的澄清、说明或者补正于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t xml:space="preserve"> </w:t>
            </w:r>
            <w:r>
              <w:rPr>
                <w:u w:val="single"/>
              </w:rPr>
              <w:t xml:space="preserve">                                 </w:t>
            </w:r>
            <w:r>
              <w:rPr>
                <w:rFonts w:hint="eastAsia"/>
              </w:rPr>
              <w:t>（详细地址）。</w:t>
            </w:r>
          </w:p>
          <w:p>
            <w:pPr>
              <w:pStyle w:val="2"/>
              <w:ind w:left="0"/>
            </w:pPr>
            <w:r>
              <w:rPr>
                <w:rFonts w:hint="eastAsia"/>
              </w:rPr>
              <w:t>注：评标委员会在评标过程中，如要求投标人澄清或说明的，评标委员会要求投标人递交书面澄清或说明的时间距招标人收到评标委员会书面通知的时间不得少于60分钟。</w:t>
            </w:r>
          </w:p>
          <w:p>
            <w:pPr>
              <w:pStyle w:val="2"/>
              <w:ind w:left="0"/>
            </w:pPr>
            <w:r>
              <w:rPr>
                <w:rFonts w:hint="eastAsia"/>
              </w:rPr>
              <w:t>评标委员会认为投标人的澄清或说明不够明确，应再次要求投标人对不明确的内容进行澄清或说明，评标委员会要求投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3" w:hRule="atLeast"/>
          <w:jc w:val="center"/>
        </w:trPr>
        <w:tc>
          <w:tcPr>
            <w:tcW w:w="817" w:type="dxa"/>
            <w:vAlign w:val="center"/>
          </w:tcPr>
          <w:p>
            <w:pPr>
              <w:pStyle w:val="2"/>
              <w:ind w:left="0"/>
              <w:jc w:val="center"/>
            </w:pPr>
            <w:r>
              <w:rPr>
                <w:rFonts w:hint="eastAsia"/>
              </w:rPr>
              <w:t>结论</w:t>
            </w:r>
          </w:p>
        </w:tc>
        <w:tc>
          <w:tcPr>
            <w:tcW w:w="8951" w:type="dxa"/>
            <w:gridSpan w:val="2"/>
          </w:tcPr>
          <w:p>
            <w:pPr>
              <w:pStyle w:val="2"/>
              <w:ind w:left="0"/>
            </w:pPr>
          </w:p>
          <w:p>
            <w:pPr>
              <w:pStyle w:val="2"/>
              <w:ind w:left="0"/>
              <w:jc w:val="right"/>
            </w:pPr>
            <w:r>
              <w:rPr>
                <w:rFonts w:hint="eastAsia"/>
              </w:rPr>
              <w:t xml:space="preserve">                     评标委员会：</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p>
      <w:pPr>
        <w:pStyle w:val="2"/>
      </w:pPr>
      <w:r>
        <w:rPr>
          <w:rFonts w:hint="eastAsia"/>
        </w:rPr>
        <w:t>注：质疑函需经评标委员会一致同意，并经组长签字后发出。</w:t>
      </w:r>
      <w:r>
        <w:rPr>
          <w:rFonts w:hint="eastAsia"/>
        </w:rPr>
        <w:br w:type="page"/>
      </w:r>
    </w:p>
    <w:p>
      <w:pPr>
        <w:pStyle w:val="7"/>
        <w:ind w:left="0"/>
        <w:jc w:val="left"/>
      </w:pPr>
      <w:r>
        <w:rPr>
          <w:rFonts w:hint="eastAsia"/>
        </w:rPr>
        <w:t>1.2评标专家向招标人质疑函</w:t>
      </w:r>
    </w:p>
    <w:p>
      <w:pPr>
        <w:pStyle w:val="2"/>
        <w:ind w:left="0"/>
        <w:jc w:val="center"/>
        <w:rPr>
          <w:b/>
          <w:bCs/>
          <w:sz w:val="30"/>
          <w:szCs w:val="30"/>
        </w:rPr>
      </w:pPr>
      <w:r>
        <w:rPr>
          <w:rFonts w:hint="eastAsia"/>
          <w:b/>
          <w:bCs/>
          <w:sz w:val="30"/>
          <w:szCs w:val="30"/>
        </w:rPr>
        <w:t>评标专家向招标人质疑函</w:t>
      </w:r>
    </w:p>
    <w:p>
      <w:pPr>
        <w:pStyle w:val="2"/>
        <w:ind w:left="0"/>
        <w:jc w:val="both"/>
      </w:pPr>
      <w:r>
        <w:rPr>
          <w:rFonts w:hint="eastAsia"/>
        </w:rPr>
        <w:t>招标人名称：                                           编号：</w:t>
      </w:r>
    </w:p>
    <w:tbl>
      <w:tblPr>
        <w:tblStyle w:val="15"/>
        <w:tblpPr w:leftFromText="180" w:rightFromText="180" w:vertAnchor="text" w:tblpY="1"/>
        <w:tblOverlap w:val="never"/>
        <w:tblW w:w="96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7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668" w:type="dxa"/>
            <w:gridSpan w:val="2"/>
            <w:vAlign w:val="center"/>
          </w:tcPr>
          <w:p>
            <w:pPr>
              <w:pStyle w:val="2"/>
              <w:ind w:left="0"/>
              <w:jc w:val="center"/>
            </w:pPr>
            <w:r>
              <w:rPr>
                <w:rFonts w:hint="eastAsia"/>
              </w:rPr>
              <w:t>标段名称</w:t>
            </w:r>
          </w:p>
        </w:tc>
        <w:tc>
          <w:tcPr>
            <w:tcW w:w="799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1" w:hRule="atLeast"/>
        </w:trPr>
        <w:tc>
          <w:tcPr>
            <w:tcW w:w="817" w:type="dxa"/>
          </w:tcPr>
          <w:p>
            <w:pPr>
              <w:pStyle w:val="2"/>
              <w:ind w:left="0"/>
              <w:jc w:val="center"/>
            </w:pPr>
          </w:p>
          <w:p>
            <w:pPr>
              <w:pStyle w:val="2"/>
              <w:ind w:left="0"/>
              <w:jc w:val="center"/>
            </w:pPr>
            <w:r>
              <w:rPr>
                <w:rFonts w:hint="eastAsia"/>
              </w:rPr>
              <w:t>质</w:t>
            </w:r>
          </w:p>
          <w:p>
            <w:pPr>
              <w:pStyle w:val="2"/>
              <w:ind w:left="0"/>
              <w:jc w:val="center"/>
            </w:pPr>
            <w:r>
              <w:rPr>
                <w:rFonts w:hint="eastAsia"/>
              </w:rPr>
              <w:t>疑</w:t>
            </w:r>
          </w:p>
          <w:p>
            <w:pPr>
              <w:pStyle w:val="2"/>
              <w:ind w:left="0"/>
              <w:jc w:val="center"/>
            </w:pPr>
            <w:r>
              <w:rPr>
                <w:rFonts w:hint="eastAsia"/>
              </w:rPr>
              <w:t>问</w:t>
            </w:r>
          </w:p>
          <w:p>
            <w:pPr>
              <w:pStyle w:val="2"/>
              <w:ind w:left="0"/>
              <w:jc w:val="center"/>
            </w:pPr>
            <w:r>
              <w:rPr>
                <w:rFonts w:hint="eastAsia"/>
              </w:rPr>
              <w:t>题</w:t>
            </w:r>
          </w:p>
          <w:p>
            <w:pPr>
              <w:pStyle w:val="2"/>
              <w:ind w:left="0"/>
              <w:jc w:val="center"/>
            </w:pPr>
          </w:p>
        </w:tc>
        <w:tc>
          <w:tcPr>
            <w:tcW w:w="8846" w:type="dxa"/>
            <w:gridSpan w:val="2"/>
          </w:tcPr>
          <w:p>
            <w:pPr>
              <w:pStyle w:val="2"/>
              <w:ind w:left="0"/>
            </w:pPr>
          </w:p>
          <w:p>
            <w:pPr>
              <w:pStyle w:val="2"/>
              <w:ind w:left="0"/>
            </w:pPr>
          </w:p>
          <w:p>
            <w:pPr>
              <w:pStyle w:val="2"/>
              <w:ind w:left="0"/>
              <w:jc w:val="both"/>
            </w:pPr>
          </w:p>
          <w:p>
            <w:pPr>
              <w:pStyle w:val="2"/>
              <w:ind w:left="0"/>
              <w:jc w:val="right"/>
            </w:pPr>
            <w:r>
              <w:t xml:space="preserve">  </w:t>
            </w:r>
            <w:r>
              <w:rPr>
                <w:rFonts w:hint="eastAsia"/>
              </w:rPr>
              <w:t xml:space="preserve">  </w:t>
            </w:r>
            <w:r>
              <w:t xml:space="preserve">  </w:t>
            </w:r>
          </w:p>
          <w:p>
            <w:pPr>
              <w:pStyle w:val="2"/>
              <w:ind w:left="0"/>
              <w:jc w:val="right"/>
            </w:pPr>
            <w:r>
              <w:t xml:space="preserve">   </w:t>
            </w:r>
            <w:r>
              <w:rPr>
                <w:u w:val="single"/>
              </w:rPr>
              <w:t xml:space="preserve">                 </w:t>
            </w:r>
            <w:r>
              <w:rPr>
                <w:rFonts w:hint="eastAsia"/>
              </w:rPr>
              <w:t>（项目名称）</w:t>
            </w:r>
            <w:r>
              <w:rPr>
                <w:u w:val="single"/>
              </w:rPr>
              <w:t xml:space="preserve">         </w:t>
            </w:r>
            <w:r>
              <w:rPr>
                <w:rFonts w:hint="eastAsia"/>
              </w:rPr>
              <w:t xml:space="preserve">标段招标评标委员会                          </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5" w:hRule="atLeast"/>
        </w:trPr>
        <w:tc>
          <w:tcPr>
            <w:tcW w:w="817" w:type="dxa"/>
          </w:tcPr>
          <w:p>
            <w:pPr>
              <w:pStyle w:val="2"/>
              <w:ind w:left="0"/>
              <w:jc w:val="center"/>
            </w:pPr>
          </w:p>
          <w:p>
            <w:pPr>
              <w:pStyle w:val="2"/>
              <w:ind w:left="0"/>
              <w:jc w:val="center"/>
            </w:pPr>
            <w:r>
              <w:rPr>
                <w:rFonts w:hint="eastAsia"/>
              </w:rPr>
              <w:t>澄</w:t>
            </w:r>
          </w:p>
          <w:p>
            <w:pPr>
              <w:pStyle w:val="2"/>
              <w:ind w:left="0"/>
              <w:jc w:val="center"/>
            </w:pPr>
            <w:r>
              <w:rPr>
                <w:rFonts w:hint="eastAsia"/>
              </w:rPr>
              <w:t>清</w:t>
            </w:r>
          </w:p>
          <w:p>
            <w:pPr>
              <w:pStyle w:val="2"/>
              <w:ind w:left="0"/>
              <w:jc w:val="center"/>
            </w:pPr>
            <w:r>
              <w:rPr>
                <w:rFonts w:hint="eastAsia"/>
              </w:rPr>
              <w:t>内</w:t>
            </w:r>
          </w:p>
          <w:p>
            <w:pPr>
              <w:pStyle w:val="2"/>
              <w:ind w:left="0"/>
              <w:jc w:val="center"/>
            </w:pPr>
            <w:r>
              <w:rPr>
                <w:rFonts w:hint="eastAsia"/>
              </w:rPr>
              <w:t>容</w:t>
            </w:r>
          </w:p>
        </w:tc>
        <w:tc>
          <w:tcPr>
            <w:tcW w:w="8846" w:type="dxa"/>
            <w:gridSpan w:val="2"/>
          </w:tcPr>
          <w:p>
            <w:pPr>
              <w:pStyle w:val="2"/>
              <w:ind w:left="0"/>
            </w:pPr>
          </w:p>
          <w:p>
            <w:pPr>
              <w:pStyle w:val="2"/>
              <w:ind w:left="0"/>
            </w:pPr>
          </w:p>
          <w:p>
            <w:pPr>
              <w:pStyle w:val="2"/>
              <w:ind w:left="0"/>
            </w:pPr>
          </w:p>
          <w:p>
            <w:pPr>
              <w:pStyle w:val="2"/>
              <w:ind w:left="0"/>
            </w:pPr>
          </w:p>
          <w:p>
            <w:pPr>
              <w:pStyle w:val="2"/>
              <w:ind w:left="0"/>
              <w:jc w:val="right"/>
            </w:pPr>
            <w:r>
              <w:rPr>
                <w:rFonts w:hint="eastAsia"/>
              </w:rPr>
              <w:t xml:space="preserve">       招标人法定代表人或其授权代理人：</w:t>
            </w:r>
            <w:r>
              <w:rPr>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817" w:type="dxa"/>
            <w:vAlign w:val="center"/>
          </w:tcPr>
          <w:p>
            <w:pPr>
              <w:pStyle w:val="2"/>
              <w:ind w:left="0"/>
              <w:jc w:val="center"/>
            </w:pPr>
            <w:r>
              <w:rPr>
                <w:rFonts w:hint="eastAsia"/>
              </w:rPr>
              <w:t>递交方式和时间</w:t>
            </w:r>
          </w:p>
        </w:tc>
        <w:tc>
          <w:tcPr>
            <w:tcW w:w="8846" w:type="dxa"/>
            <w:gridSpan w:val="2"/>
            <w:vAlign w:val="center"/>
          </w:tcPr>
          <w:p>
            <w:pPr>
              <w:pStyle w:val="2"/>
              <w:ind w:left="0"/>
            </w:pPr>
            <w:r>
              <w:rPr>
                <w:rFonts w:hint="eastAsia"/>
              </w:rPr>
              <w:t xml:space="preserve">请将上述问题的澄清、说明或者补正于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rPr>
                <w:u w:val="single"/>
              </w:rPr>
              <w:t xml:space="preserve">                                  </w:t>
            </w:r>
            <w:r>
              <w:rPr>
                <w:rFonts w:hint="eastAsia"/>
              </w:rPr>
              <w:t>（详细地址）。</w:t>
            </w:r>
          </w:p>
          <w:p>
            <w:pPr>
              <w:pStyle w:val="2"/>
              <w:ind w:left="0"/>
            </w:pPr>
            <w:r>
              <w:rPr>
                <w:rFonts w:hint="eastAsia"/>
              </w:rPr>
              <w:t>注：评标委员会在评标过程中，如要求招标人澄清或说明的，评标委员会要求招标人递交书面澄清或说明的时间距招标人收到评标委员会书面通知的时间不得少于60分钟。</w:t>
            </w:r>
          </w:p>
          <w:p>
            <w:pPr>
              <w:pStyle w:val="2"/>
              <w:ind w:left="0"/>
            </w:pPr>
            <w:r>
              <w:rPr>
                <w:rFonts w:hint="eastAsia"/>
              </w:rPr>
              <w:t>评标委员会认为招标人的澄清或说明不够明确，应再次要求招标人对不明确的内容进行澄清或说明，评标委员会要求招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1" w:hRule="atLeast"/>
        </w:trPr>
        <w:tc>
          <w:tcPr>
            <w:tcW w:w="817" w:type="dxa"/>
            <w:vAlign w:val="center"/>
          </w:tcPr>
          <w:p>
            <w:pPr>
              <w:pStyle w:val="2"/>
              <w:ind w:left="0"/>
              <w:jc w:val="center"/>
            </w:pPr>
            <w:r>
              <w:rPr>
                <w:rFonts w:hint="eastAsia"/>
              </w:rPr>
              <w:t>结论</w:t>
            </w:r>
          </w:p>
        </w:tc>
        <w:tc>
          <w:tcPr>
            <w:tcW w:w="8846" w:type="dxa"/>
            <w:gridSpan w:val="2"/>
          </w:tcPr>
          <w:p>
            <w:pPr>
              <w:pStyle w:val="2"/>
              <w:ind w:left="0"/>
            </w:pPr>
          </w:p>
          <w:p>
            <w:pPr>
              <w:pStyle w:val="2"/>
              <w:ind w:left="0"/>
            </w:pPr>
          </w:p>
          <w:p>
            <w:pPr>
              <w:pStyle w:val="2"/>
              <w:ind w:left="0"/>
            </w:pPr>
          </w:p>
          <w:p>
            <w:pPr>
              <w:pStyle w:val="2"/>
              <w:ind w:left="0"/>
              <w:jc w:val="right"/>
            </w:pPr>
            <w:r>
              <w:rPr>
                <w:rFonts w:hint="eastAsia"/>
              </w:rPr>
              <w:t>评标委员会：</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p>
      <w:r>
        <w:rPr>
          <w:rFonts w:hint="eastAsia"/>
        </w:rPr>
        <w:t>注：质疑函需经评标委员会一致同意，并经组长签字后发出。</w:t>
      </w:r>
      <w:r>
        <w:rPr>
          <w:rFonts w:hint="eastAsia"/>
        </w:rPr>
        <w:br w:type="page"/>
      </w:r>
    </w:p>
    <w:p>
      <w:pPr>
        <w:pStyle w:val="4"/>
        <w:numPr>
          <w:ilvl w:val="0"/>
          <w:numId w:val="10"/>
        </w:numPr>
      </w:pPr>
      <w:r>
        <w:rPr>
          <w:rFonts w:hint="eastAsia"/>
        </w:rPr>
        <w:t xml:space="preserve"> </w:t>
      </w:r>
      <w:bookmarkStart w:id="38" w:name="_Toc7595"/>
      <w:r>
        <w:rPr>
          <w:rFonts w:hint="eastAsia"/>
        </w:rPr>
        <w:t>合同条款及格式</w:t>
      </w:r>
      <w:bookmarkEnd w:id="38"/>
    </w:p>
    <w:p>
      <w:pPr>
        <w:pStyle w:val="5"/>
        <w:numPr>
          <w:ilvl w:val="0"/>
          <w:numId w:val="11"/>
        </w:numPr>
        <w:jc w:val="center"/>
      </w:pPr>
      <w:r>
        <w:rPr>
          <w:rFonts w:hint="eastAsia"/>
        </w:rPr>
        <w:t>合同协议书</w:t>
      </w:r>
    </w:p>
    <w:p>
      <w:pPr>
        <w:pStyle w:val="2"/>
        <w:rPr>
          <w:u w:val="single"/>
        </w:rPr>
      </w:pPr>
      <w:r>
        <w:rPr>
          <w:rFonts w:hint="eastAsia"/>
        </w:rPr>
        <w:t>发包人（全称）</w:t>
      </w:r>
      <w:r>
        <w:rPr>
          <w:rFonts w:hint="eastAsia"/>
          <w:u w:val="single"/>
        </w:rPr>
        <w:tab/>
      </w:r>
      <w:r>
        <w:rPr>
          <w:rFonts w:hint="eastAsia"/>
          <w:u w:val="single"/>
        </w:rPr>
        <w:t xml:space="preserve">                         </w:t>
      </w:r>
    </w:p>
    <w:p>
      <w:pPr>
        <w:pStyle w:val="2"/>
        <w:rPr>
          <w:u w:val="single"/>
        </w:rPr>
      </w:pPr>
      <w:r>
        <w:rPr>
          <w:rFonts w:hint="eastAsia"/>
        </w:rPr>
        <w:t>承包人（全称）</w:t>
      </w:r>
      <w:r>
        <w:rPr>
          <w:rFonts w:hint="eastAsia"/>
        </w:rPr>
        <w:tab/>
      </w:r>
      <w:r>
        <w:rPr>
          <w:rFonts w:hint="eastAsia"/>
          <w:u w:val="single"/>
        </w:rPr>
        <w:t xml:space="preserve">                         </w:t>
      </w:r>
    </w:p>
    <w:p>
      <w:pPr>
        <w:pStyle w:val="2"/>
      </w:pPr>
      <w:r>
        <w:rPr>
          <w:rFonts w:hint="eastAsia"/>
        </w:rPr>
        <w:t>依照《中华人民共和国合同法》、《中华人民共和国建筑法》、《中华人民共和 国招标投标法》及相</w:t>
      </w:r>
    </w:p>
    <w:p>
      <w:pPr>
        <w:pStyle w:val="2"/>
        <w:ind w:left="0"/>
      </w:pPr>
      <w:r>
        <w:rPr>
          <w:rFonts w:hint="eastAsia"/>
        </w:rPr>
        <w:t>关法律、行政法规，遵循平等、自愿、公平和诚信原则，合同双方就</w:t>
      </w:r>
      <w:r>
        <w:rPr>
          <w:rFonts w:hint="eastAsia"/>
          <w:u w:val="single"/>
        </w:rPr>
        <w:t xml:space="preserve">           </w:t>
      </w:r>
      <w:r>
        <w:rPr>
          <w:rFonts w:hint="eastAsia"/>
        </w:rPr>
        <w:t>项目工程总承包事宜经协商一致，订立本合同。</w:t>
      </w:r>
    </w:p>
    <w:p>
      <w:pPr>
        <w:pStyle w:val="2"/>
      </w:pPr>
      <w:bookmarkStart w:id="39" w:name="bookmark20"/>
      <w:r>
        <w:rPr>
          <w:rFonts w:hint="eastAsia"/>
        </w:rPr>
        <w:t>一</w:t>
      </w:r>
      <w:bookmarkEnd w:id="39"/>
      <w:r>
        <w:rPr>
          <w:rFonts w:hint="eastAsia"/>
        </w:rPr>
        <w:t>、工程概况</w:t>
      </w:r>
    </w:p>
    <w:p>
      <w:pPr>
        <w:pStyle w:val="2"/>
        <w:rPr>
          <w:u w:val="single"/>
        </w:rPr>
      </w:pPr>
      <w:r>
        <w:rPr>
          <w:rFonts w:hint="eastAsia"/>
        </w:rPr>
        <w:t>工程名称：</w:t>
      </w:r>
      <w:r>
        <w:rPr>
          <w:rFonts w:hint="eastAsia"/>
          <w:u w:val="single"/>
        </w:rPr>
        <w:t xml:space="preserve">                                 </w:t>
      </w:r>
      <w:r>
        <w:rPr>
          <w:rFonts w:hint="eastAsia"/>
          <w:u w:val="single"/>
        </w:rPr>
        <w:tab/>
      </w:r>
    </w:p>
    <w:p>
      <w:pPr>
        <w:pStyle w:val="2"/>
        <w:rPr>
          <w:u w:val="single"/>
        </w:rPr>
      </w:pPr>
      <w:r>
        <w:rPr>
          <w:rFonts w:hint="eastAsia"/>
        </w:rPr>
        <w:t>工程批准、核准或备案文号：</w:t>
      </w:r>
      <w:r>
        <w:rPr>
          <w:rFonts w:hint="eastAsia"/>
          <w:u w:val="single"/>
        </w:rPr>
        <w:t xml:space="preserve">                  </w:t>
      </w:r>
      <w:r>
        <w:rPr>
          <w:rFonts w:hint="eastAsia"/>
          <w:u w:val="single"/>
        </w:rPr>
        <w:tab/>
      </w:r>
    </w:p>
    <w:p>
      <w:pPr>
        <w:pStyle w:val="2"/>
      </w:pPr>
      <w:r>
        <w:rPr>
          <w:rFonts w:hint="eastAsia"/>
        </w:rPr>
        <w:t>工程内容及规模：</w:t>
      </w:r>
      <w:r>
        <w:rPr>
          <w:rFonts w:hint="eastAsia"/>
          <w:u w:val="single"/>
        </w:rPr>
        <w:t xml:space="preserve">                             </w:t>
      </w:r>
      <w:r>
        <w:rPr>
          <w:rFonts w:hint="eastAsia"/>
        </w:rPr>
        <w:tab/>
      </w:r>
    </w:p>
    <w:p>
      <w:pPr>
        <w:pStyle w:val="2"/>
      </w:pPr>
      <w:r>
        <w:rPr>
          <w:rFonts w:hint="eastAsia"/>
        </w:rPr>
        <w:t>工程所在省市详细地址：</w:t>
      </w:r>
      <w:r>
        <w:rPr>
          <w:rFonts w:hint="eastAsia"/>
          <w:u w:val="single"/>
        </w:rPr>
        <w:t xml:space="preserve">                       </w:t>
      </w:r>
      <w:r>
        <w:rPr>
          <w:rFonts w:hint="eastAsia"/>
        </w:rPr>
        <w:tab/>
      </w:r>
    </w:p>
    <w:p>
      <w:pPr>
        <w:pStyle w:val="2"/>
      </w:pPr>
      <w:r>
        <w:rPr>
          <w:rFonts w:hint="eastAsia"/>
        </w:rPr>
        <w:t>工程承包范围：</w:t>
      </w:r>
      <w:r>
        <w:rPr>
          <w:rFonts w:hint="eastAsia"/>
          <w:u w:val="single"/>
        </w:rPr>
        <w:tab/>
      </w:r>
      <w:r>
        <w:rPr>
          <w:rFonts w:hint="eastAsia"/>
          <w:u w:val="single"/>
        </w:rPr>
        <w:t xml:space="preserve">                               </w:t>
      </w:r>
    </w:p>
    <w:p>
      <w:pPr>
        <w:pStyle w:val="2"/>
      </w:pPr>
      <w:bookmarkStart w:id="40" w:name="bookmark21"/>
      <w:r>
        <w:rPr>
          <w:rFonts w:hint="eastAsia"/>
        </w:rPr>
        <w:t>二</w:t>
      </w:r>
      <w:bookmarkEnd w:id="40"/>
      <w:r>
        <w:rPr>
          <w:rFonts w:hint="eastAsia"/>
        </w:rPr>
        <w:t>、工程主要生产技术（或建筑设计方案）来源</w:t>
      </w:r>
    </w:p>
    <w:p>
      <w:pPr>
        <w:pStyle w:val="2"/>
      </w:pPr>
    </w:p>
    <w:p>
      <w:pPr>
        <w:pStyle w:val="2"/>
      </w:pPr>
      <w:bookmarkStart w:id="41" w:name="bookmark22"/>
      <w:r>
        <w:rPr>
          <w:rFonts w:hint="eastAsia"/>
        </w:rPr>
        <w:t>三</w:t>
      </w:r>
      <w:bookmarkEnd w:id="41"/>
      <w:r>
        <w:rPr>
          <w:rFonts w:hint="eastAsia"/>
        </w:rPr>
        <w:t>、主要日期</w:t>
      </w:r>
    </w:p>
    <w:p>
      <w:pPr>
        <w:pStyle w:val="2"/>
        <w:rPr>
          <w:u w:val="single"/>
        </w:rPr>
      </w:pPr>
      <w:r>
        <w:rPr>
          <w:rFonts w:hint="eastAsia"/>
        </w:rPr>
        <w:t>设计开工日期（绝对日期或相对日期）：</w:t>
      </w:r>
      <w:r>
        <w:rPr>
          <w:rFonts w:hint="eastAsia"/>
          <w:u w:val="single"/>
        </w:rPr>
        <w:tab/>
      </w:r>
      <w:r>
        <w:rPr>
          <w:rFonts w:hint="eastAsia"/>
          <w:u w:val="single"/>
        </w:rPr>
        <w:t xml:space="preserve">           </w:t>
      </w:r>
    </w:p>
    <w:p>
      <w:pPr>
        <w:pStyle w:val="2"/>
      </w:pPr>
      <w:r>
        <w:rPr>
          <w:rFonts w:hint="eastAsia"/>
        </w:rPr>
        <w:t>施工开工日期（绝对日期或相对日期）：</w:t>
      </w:r>
      <w:r>
        <w:rPr>
          <w:rFonts w:hint="eastAsia"/>
          <w:u w:val="single"/>
        </w:rPr>
        <w:tab/>
      </w:r>
      <w:r>
        <w:rPr>
          <w:rFonts w:hint="eastAsia"/>
          <w:u w:val="single"/>
        </w:rPr>
        <w:t xml:space="preserve">           </w:t>
      </w:r>
    </w:p>
    <w:p>
      <w:pPr>
        <w:pStyle w:val="2"/>
      </w:pPr>
      <w:r>
        <w:rPr>
          <w:rFonts w:hint="eastAsia"/>
        </w:rPr>
        <w:t>工程竣工日期（绝对日期或相对日期）：</w:t>
      </w:r>
      <w:r>
        <w:rPr>
          <w:rFonts w:hint="eastAsia"/>
          <w:u w:val="single"/>
        </w:rPr>
        <w:tab/>
      </w:r>
      <w:r>
        <w:rPr>
          <w:rFonts w:hint="eastAsia"/>
          <w:u w:val="single"/>
        </w:rPr>
        <w:t xml:space="preserve">           </w:t>
      </w:r>
    </w:p>
    <w:p>
      <w:pPr>
        <w:pStyle w:val="2"/>
      </w:pPr>
      <w:bookmarkStart w:id="42" w:name="bookmark23"/>
      <w:r>
        <w:rPr>
          <w:rFonts w:hint="eastAsia"/>
        </w:rPr>
        <w:t>四</w:t>
      </w:r>
      <w:bookmarkEnd w:id="42"/>
      <w:r>
        <w:rPr>
          <w:rFonts w:hint="eastAsia"/>
        </w:rPr>
        <w:t>、工程质量标准</w:t>
      </w:r>
    </w:p>
    <w:p>
      <w:pPr>
        <w:pStyle w:val="2"/>
      </w:pPr>
      <w:r>
        <w:rPr>
          <w:rFonts w:hint="eastAsia"/>
        </w:rPr>
        <w:t>工程设计质量标准：</w:t>
      </w:r>
      <w:r>
        <w:rPr>
          <w:rFonts w:hint="eastAsia"/>
          <w:u w:val="single"/>
        </w:rPr>
        <w:tab/>
      </w:r>
      <w:r>
        <w:rPr>
          <w:rFonts w:hint="eastAsia"/>
          <w:u w:val="single"/>
        </w:rPr>
        <w:t xml:space="preserve">                     </w:t>
      </w:r>
      <w:r>
        <w:rPr>
          <w:rFonts w:hint="eastAsia"/>
        </w:rPr>
        <w:t>工程施工质量标准：</w:t>
      </w:r>
      <w:r>
        <w:rPr>
          <w:rFonts w:hint="eastAsia"/>
          <w:u w:val="single"/>
        </w:rPr>
        <w:t xml:space="preserve">                  </w:t>
      </w:r>
      <w:r>
        <w:rPr>
          <w:rFonts w:hint="eastAsia"/>
          <w:u w:val="single"/>
        </w:rPr>
        <w:tab/>
      </w:r>
    </w:p>
    <w:p>
      <w:pPr>
        <w:pStyle w:val="2"/>
      </w:pPr>
      <w:bookmarkStart w:id="43" w:name="bookmark24"/>
      <w:r>
        <w:rPr>
          <w:rFonts w:hint="eastAsia"/>
        </w:rPr>
        <w:t>五</w:t>
      </w:r>
      <w:bookmarkEnd w:id="43"/>
      <w:r>
        <w:rPr>
          <w:rFonts w:hint="eastAsia"/>
        </w:rPr>
        <w:t>、合同价格和付款货币</w:t>
      </w:r>
    </w:p>
    <w:p>
      <w:pPr>
        <w:pStyle w:val="2"/>
      </w:pPr>
      <w:r>
        <w:rPr>
          <w:rFonts w:hint="eastAsia"/>
        </w:rPr>
        <w:t>合同价格为人民币（大写）：</w:t>
      </w:r>
      <w:r>
        <w:rPr>
          <w:rFonts w:hint="eastAsia"/>
          <w:u w:val="single"/>
        </w:rPr>
        <w:t xml:space="preserve">      </w:t>
      </w:r>
      <w:r>
        <w:rPr>
          <w:rFonts w:hint="eastAsia"/>
          <w:u w:val="single"/>
        </w:rPr>
        <w:tab/>
      </w:r>
      <w:r>
        <w:rPr>
          <w:rFonts w:hint="eastAsia"/>
        </w:rPr>
        <w:t>元（小写金额：</w:t>
      </w:r>
      <w:r>
        <w:rPr>
          <w:rFonts w:hint="eastAsia"/>
          <w:u w:val="single"/>
        </w:rPr>
        <w:t xml:space="preserve">          </w:t>
      </w:r>
      <w:r>
        <w:rPr>
          <w:rFonts w:hint="eastAsia"/>
        </w:rPr>
        <w:t>)。详见合同价格清单分项表。除</w:t>
      </w:r>
    </w:p>
    <w:p>
      <w:pPr>
        <w:pStyle w:val="2"/>
        <w:ind w:left="0"/>
      </w:pPr>
      <w:r>
        <w:rPr>
          <w:rFonts w:hint="eastAsia"/>
        </w:rPr>
        <w:t>根据合同约定的在工程实施过程中需进行增减的款项外，合同价格不作调整。</w:t>
      </w:r>
    </w:p>
    <w:p>
      <w:pPr>
        <w:pStyle w:val="2"/>
      </w:pPr>
      <w:bookmarkStart w:id="44" w:name="bookmark25"/>
      <w:r>
        <w:rPr>
          <w:rFonts w:hint="eastAsia"/>
        </w:rPr>
        <w:t>六</w:t>
      </w:r>
      <w:bookmarkEnd w:id="44"/>
      <w:r>
        <w:rPr>
          <w:rFonts w:hint="eastAsia"/>
        </w:rPr>
        <w:t>、定义与解释</w:t>
      </w:r>
    </w:p>
    <w:p>
      <w:pPr>
        <w:pStyle w:val="2"/>
      </w:pPr>
      <w:r>
        <w:rPr>
          <w:rFonts w:hint="eastAsia"/>
        </w:rPr>
        <w:t>本协议书中有关词语的含义与通用条款中赋予的定义与解释相同。</w:t>
      </w:r>
    </w:p>
    <w:p>
      <w:pPr>
        <w:pStyle w:val="2"/>
      </w:pPr>
      <w:bookmarkStart w:id="45" w:name="bookmark26"/>
      <w:r>
        <w:rPr>
          <w:rFonts w:hint="eastAsia"/>
        </w:rPr>
        <w:t>七</w:t>
      </w:r>
      <w:bookmarkEnd w:id="45"/>
      <w:r>
        <w:rPr>
          <w:rFonts w:hint="eastAsia"/>
        </w:rPr>
        <w:t>、合同生效</w:t>
      </w:r>
    </w:p>
    <w:p>
      <w:pPr>
        <w:pStyle w:val="2"/>
        <w:rPr>
          <w:u w:val="single"/>
        </w:rPr>
      </w:pPr>
      <w:r>
        <w:rPr>
          <w:rFonts w:hint="eastAsia"/>
        </w:rPr>
        <w:t>本合同在以下条件全部满足之后生效：</w:t>
      </w:r>
      <w:r>
        <w:rPr>
          <w:rFonts w:hint="eastAsia"/>
          <w:u w:val="single"/>
        </w:rPr>
        <w:t xml:space="preserve">             </w:t>
      </w:r>
      <w:r>
        <w:rPr>
          <w:rFonts w:hint="eastAsia"/>
          <w:u w:val="single"/>
        </w:rPr>
        <w:tab/>
      </w:r>
    </w:p>
    <w:p>
      <w:pPr>
        <w:rPr>
          <w:rFonts w:ascii="宋体" w:hAnsi="宋体" w:cs="宋体"/>
          <w:szCs w:val="21"/>
          <w:u w:val="single"/>
        </w:rPr>
      </w:pPr>
    </w:p>
    <w:tbl>
      <w:tblPr>
        <w:tblStyle w:val="15"/>
        <w:tblW w:w="9537" w:type="dxa"/>
        <w:jc w:val="center"/>
        <w:tblLayout w:type="fixed"/>
        <w:tblCellMar>
          <w:top w:w="0" w:type="dxa"/>
          <w:left w:w="10" w:type="dxa"/>
          <w:bottom w:w="0" w:type="dxa"/>
          <w:right w:w="10" w:type="dxa"/>
        </w:tblCellMar>
      </w:tblPr>
      <w:tblGrid>
        <w:gridCol w:w="4155"/>
        <w:gridCol w:w="5382"/>
      </w:tblGrid>
      <w:tr>
        <w:tblPrEx>
          <w:tblCellMar>
            <w:top w:w="0" w:type="dxa"/>
            <w:left w:w="10" w:type="dxa"/>
            <w:bottom w:w="0" w:type="dxa"/>
            <w:right w:w="10" w:type="dxa"/>
          </w:tblCellMar>
        </w:tblPrEx>
        <w:trPr>
          <w:trHeight w:val="1108"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发包人：</w:t>
            </w:r>
          </w:p>
          <w:p>
            <w:pPr>
              <w:pStyle w:val="2"/>
              <w:ind w:left="0"/>
            </w:pPr>
            <w:r>
              <w:rPr>
                <w:rFonts w:hint="eastAsia"/>
              </w:rPr>
              <w:t>（公章或合同专用章）</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承包人：</w:t>
            </w:r>
          </w:p>
          <w:p>
            <w:pPr>
              <w:pStyle w:val="2"/>
              <w:ind w:left="0"/>
            </w:pPr>
            <w:r>
              <w:rPr>
                <w:rFonts w:hint="eastAsia"/>
              </w:rPr>
              <w:t>（公章或合同专用章）</w:t>
            </w:r>
          </w:p>
        </w:tc>
      </w:tr>
      <w:tr>
        <w:tblPrEx>
          <w:tblCellMar>
            <w:top w:w="0" w:type="dxa"/>
            <w:left w:w="10" w:type="dxa"/>
            <w:bottom w:w="0" w:type="dxa"/>
            <w:right w:w="10" w:type="dxa"/>
          </w:tblCellMar>
        </w:tblPrEx>
        <w:trPr>
          <w:trHeight w:val="679"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法定代表人或其授权代表：</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法定代表人或其授权代表</w:t>
            </w:r>
          </w:p>
        </w:tc>
      </w:tr>
      <w:tr>
        <w:tblPrEx>
          <w:tblCellMar>
            <w:top w:w="0" w:type="dxa"/>
            <w:left w:w="10" w:type="dxa"/>
            <w:bottom w:w="0" w:type="dxa"/>
            <w:right w:w="10" w:type="dxa"/>
          </w:tblCellMar>
        </w:tblPrEx>
        <w:trPr>
          <w:trHeight w:val="679"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（签字）</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（签字）</w:t>
            </w:r>
          </w:p>
        </w:tc>
      </w:tr>
      <w:tr>
        <w:tblPrEx>
          <w:tblCellMar>
            <w:top w:w="0" w:type="dxa"/>
            <w:left w:w="10" w:type="dxa"/>
            <w:bottom w:w="0" w:type="dxa"/>
            <w:right w:w="10" w:type="dxa"/>
          </w:tblCellMar>
        </w:tblPrEx>
        <w:trPr>
          <w:trHeight w:val="679"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工商注册住所：</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工商注册住所：</w:t>
            </w:r>
          </w:p>
        </w:tc>
      </w:tr>
      <w:tr>
        <w:tblPrEx>
          <w:tblCellMar>
            <w:top w:w="0" w:type="dxa"/>
            <w:left w:w="10" w:type="dxa"/>
            <w:bottom w:w="0" w:type="dxa"/>
            <w:right w:w="10" w:type="dxa"/>
          </w:tblCellMar>
        </w:tblPrEx>
        <w:trPr>
          <w:trHeight w:val="461"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企业组织机构代码：</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企业组织机构代码：</w:t>
            </w:r>
          </w:p>
        </w:tc>
      </w:tr>
      <w:tr>
        <w:tblPrEx>
          <w:tblCellMar>
            <w:top w:w="0" w:type="dxa"/>
            <w:left w:w="10" w:type="dxa"/>
            <w:bottom w:w="0" w:type="dxa"/>
            <w:right w:w="10" w:type="dxa"/>
          </w:tblCellMar>
        </w:tblPrEx>
        <w:trPr>
          <w:trHeight w:val="448"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邮政编码：</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邮政编码：</w:t>
            </w:r>
          </w:p>
        </w:tc>
      </w:tr>
      <w:tr>
        <w:tblPrEx>
          <w:tblCellMar>
            <w:top w:w="0" w:type="dxa"/>
            <w:left w:w="10" w:type="dxa"/>
            <w:bottom w:w="0" w:type="dxa"/>
            <w:right w:w="10" w:type="dxa"/>
          </w:tblCellMar>
        </w:tblPrEx>
        <w:trPr>
          <w:trHeight w:val="461"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法定代表人：</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法定代表人：</w:t>
            </w:r>
          </w:p>
        </w:tc>
      </w:tr>
      <w:tr>
        <w:tblPrEx>
          <w:tblCellMar>
            <w:top w:w="0" w:type="dxa"/>
            <w:left w:w="10" w:type="dxa"/>
            <w:bottom w:w="0" w:type="dxa"/>
            <w:right w:w="10" w:type="dxa"/>
          </w:tblCellMar>
        </w:tblPrEx>
        <w:trPr>
          <w:trHeight w:val="448"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授权代表：</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授权代表：</w:t>
            </w:r>
          </w:p>
        </w:tc>
      </w:tr>
      <w:tr>
        <w:tblPrEx>
          <w:tblCellMar>
            <w:top w:w="0" w:type="dxa"/>
            <w:left w:w="10" w:type="dxa"/>
            <w:bottom w:w="0" w:type="dxa"/>
            <w:right w:w="10" w:type="dxa"/>
          </w:tblCellMar>
        </w:tblPrEx>
        <w:trPr>
          <w:trHeight w:val="448"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电 话：</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电 话：</w:t>
            </w:r>
          </w:p>
        </w:tc>
      </w:tr>
      <w:tr>
        <w:tblPrEx>
          <w:tblCellMar>
            <w:top w:w="0" w:type="dxa"/>
            <w:left w:w="10" w:type="dxa"/>
            <w:bottom w:w="0" w:type="dxa"/>
            <w:right w:w="10" w:type="dxa"/>
          </w:tblCellMar>
        </w:tblPrEx>
        <w:trPr>
          <w:trHeight w:val="459"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传 真：</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传 真：</w:t>
            </w:r>
          </w:p>
        </w:tc>
      </w:tr>
      <w:tr>
        <w:tblPrEx>
          <w:tblCellMar>
            <w:top w:w="0" w:type="dxa"/>
            <w:left w:w="10" w:type="dxa"/>
            <w:bottom w:w="0" w:type="dxa"/>
            <w:right w:w="10" w:type="dxa"/>
          </w:tblCellMar>
        </w:tblPrEx>
        <w:trPr>
          <w:trHeight w:val="461"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电子邮箱：</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电子邮箱：</w:t>
            </w:r>
          </w:p>
        </w:tc>
      </w:tr>
      <w:tr>
        <w:tblPrEx>
          <w:tblCellMar>
            <w:top w:w="0" w:type="dxa"/>
            <w:left w:w="10" w:type="dxa"/>
            <w:bottom w:w="0" w:type="dxa"/>
            <w:right w:w="10" w:type="dxa"/>
          </w:tblCellMar>
        </w:tblPrEx>
        <w:trPr>
          <w:trHeight w:val="448"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开户银行：</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开户银行：</w:t>
            </w:r>
          </w:p>
        </w:tc>
      </w:tr>
      <w:tr>
        <w:tblPrEx>
          <w:tblCellMar>
            <w:top w:w="0" w:type="dxa"/>
            <w:left w:w="10" w:type="dxa"/>
            <w:bottom w:w="0" w:type="dxa"/>
            <w:right w:w="10" w:type="dxa"/>
          </w:tblCellMar>
        </w:tblPrEx>
        <w:trPr>
          <w:trHeight w:val="428" w:hRule="exact"/>
          <w:jc w:val="center"/>
        </w:trPr>
        <w:tc>
          <w:tcPr>
            <w:tcW w:w="415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账 号：</w:t>
            </w:r>
          </w:p>
        </w:tc>
        <w:tc>
          <w:tcPr>
            <w:tcW w:w="538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ind w:left="0"/>
            </w:pPr>
            <w:r>
              <w:rPr>
                <w:rFonts w:hint="eastAsia"/>
              </w:rPr>
              <w:t>账 号：</w:t>
            </w:r>
          </w:p>
        </w:tc>
      </w:tr>
    </w:tbl>
    <w:p>
      <w:pPr>
        <w:rPr>
          <w:rFonts w:ascii="宋体" w:hAnsi="宋体" w:cs="宋体"/>
          <w:szCs w:val="21"/>
          <w:u w:val="single"/>
        </w:rPr>
      </w:pPr>
    </w:p>
    <w:p>
      <w:pPr>
        <w:spacing w:after="239"/>
        <w:rPr>
          <w:rFonts w:ascii="宋体" w:hAnsi="宋体" w:cs="宋体"/>
          <w:szCs w:val="21"/>
        </w:rPr>
      </w:pPr>
    </w:p>
    <w:p>
      <w:pPr>
        <w:ind w:firstLine="440" w:firstLineChars="200"/>
        <w:rPr>
          <w:rFonts w:ascii="仿宋" w:hAnsi="仿宋" w:eastAsia="仿宋"/>
          <w:szCs w:val="21"/>
        </w:rPr>
      </w:pPr>
      <w:r>
        <w:rPr>
          <w:rFonts w:hint="eastAsia" w:ascii="宋体" w:hAnsi="宋体" w:cs="宋体"/>
          <w:szCs w:val="21"/>
        </w:rPr>
        <w:t>合同订立时间：</w:t>
      </w:r>
      <w:r>
        <w:rPr>
          <w:rFonts w:hint="eastAsia" w:ascii="宋体" w:hAnsi="宋体" w:cs="宋体"/>
          <w:szCs w:val="21"/>
          <w:u w:val="single"/>
        </w:rPr>
        <w:t xml:space="preserve">         </w:t>
      </w:r>
      <w:r>
        <w:rPr>
          <w:rFonts w:hint="eastAsia" w:ascii="宋体" w:hAnsi="宋体" w:cs="宋体"/>
          <w:szCs w:val="21"/>
        </w:rPr>
        <w:t xml:space="preserve">年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pStyle w:val="2"/>
        <w:ind w:left="0"/>
      </w:pPr>
    </w:p>
    <w:p>
      <w:r>
        <w:rPr>
          <w:rFonts w:hint="eastAsia"/>
        </w:rPr>
        <w:br w:type="page"/>
      </w:r>
    </w:p>
    <w:p>
      <w:pPr>
        <w:pStyle w:val="5"/>
        <w:numPr>
          <w:ilvl w:val="0"/>
          <w:numId w:val="11"/>
        </w:numPr>
        <w:jc w:val="center"/>
      </w:pPr>
      <w:r>
        <w:rPr>
          <w:rFonts w:hint="eastAsia"/>
        </w:rPr>
        <w:t>通用合同条款</w:t>
      </w:r>
    </w:p>
    <w:p>
      <w:pPr>
        <w:pStyle w:val="5"/>
        <w:numPr>
          <w:ilvl w:val="0"/>
          <w:numId w:val="12"/>
        </w:numPr>
      </w:pPr>
      <w:r>
        <w:rPr>
          <w:rFonts w:hint="eastAsia"/>
        </w:rPr>
        <w:t>一般约定</w:t>
      </w:r>
    </w:p>
    <w:p>
      <w:pPr>
        <w:pStyle w:val="6"/>
        <w:numPr>
          <w:ilvl w:val="1"/>
          <w:numId w:val="12"/>
        </w:numPr>
      </w:pPr>
      <w:r>
        <w:rPr>
          <w:rFonts w:hint="eastAsia"/>
        </w:rPr>
        <w:t>定义与解释</w:t>
      </w:r>
    </w:p>
    <w:p>
      <w:pPr>
        <w:pStyle w:val="2"/>
      </w:pPr>
      <w:r>
        <w:rPr>
          <w:rFonts w:hint="eastAsia"/>
        </w:rPr>
        <w:t>1.1.1 合同，指由第1.2.1项所述的各项文件所构成的整体。</w:t>
      </w:r>
    </w:p>
    <w:p>
      <w:pPr>
        <w:pStyle w:val="2"/>
      </w:pPr>
      <w:r>
        <w:rPr>
          <w:rFonts w:hint="eastAsia"/>
        </w:rPr>
        <w:t>1.1.2 通用条款，指合同当事人在履行工程总承包合同过程中依法所遵守的一般性条款，由本文</w:t>
      </w:r>
    </w:p>
    <w:p>
      <w:pPr>
        <w:pStyle w:val="2"/>
        <w:ind w:left="0"/>
      </w:pPr>
      <w:r>
        <w:rPr>
          <w:rFonts w:hint="eastAsia"/>
        </w:rPr>
        <w:t>件第1条至第20条组成。</w:t>
      </w:r>
    </w:p>
    <w:p>
      <w:pPr>
        <w:pStyle w:val="2"/>
      </w:pPr>
      <w:r>
        <w:rPr>
          <w:rFonts w:hint="eastAsia"/>
        </w:rPr>
        <w:t>1.1.3 专用条款，指合同当事人根据工程总承包项目的具体情况，对通用条 款进行细化、完善、</w:t>
      </w:r>
    </w:p>
    <w:p>
      <w:pPr>
        <w:pStyle w:val="2"/>
        <w:ind w:left="0"/>
      </w:pPr>
      <w:r>
        <w:rPr>
          <w:rFonts w:hint="eastAsia"/>
        </w:rPr>
        <w:t>补充、修改或另行约定，并同意共同遵守的条款。</w:t>
      </w:r>
    </w:p>
    <w:p>
      <w:pPr>
        <w:pStyle w:val="2"/>
      </w:pPr>
      <w:r>
        <w:rPr>
          <w:rFonts w:hint="eastAsia"/>
        </w:rPr>
        <w:t>1.1.4 工程总承包，指承包人受发包人委托，按照合同约定对工程建设项目 的设计、釆购、施工</w:t>
      </w:r>
    </w:p>
    <w:p>
      <w:pPr>
        <w:pStyle w:val="2"/>
        <w:ind w:left="0"/>
      </w:pPr>
      <w:r>
        <w:rPr>
          <w:rFonts w:hint="eastAsia"/>
        </w:rPr>
        <w:t>（含竣工试验）、试运行等阶段实行全过程或若干阶段的工程承包。</w:t>
      </w:r>
    </w:p>
    <w:p>
      <w:pPr>
        <w:pStyle w:val="2"/>
      </w:pPr>
      <w:r>
        <w:rPr>
          <w:rFonts w:hint="eastAsia"/>
        </w:rPr>
        <w:t>1.1.5 发包人，指在合同协议书中约定的，具有项目发包主体资格和支付工程价款能力的当事人或</w:t>
      </w:r>
    </w:p>
    <w:p>
      <w:pPr>
        <w:pStyle w:val="2"/>
        <w:ind w:left="0"/>
      </w:pPr>
      <w:r>
        <w:rPr>
          <w:rFonts w:hint="eastAsia"/>
        </w:rPr>
        <w:t>取得该当事人资格的合法继承人。</w:t>
      </w:r>
    </w:p>
    <w:p>
      <w:pPr>
        <w:pStyle w:val="2"/>
      </w:pPr>
      <w:r>
        <w:rPr>
          <w:rFonts w:hint="eastAsia"/>
        </w:rPr>
        <w:t>1.1.6 承包人，指在合同协议书中约定的，被发包人接受的具有工程总承包主体资格的当事人，包</w:t>
      </w:r>
    </w:p>
    <w:p>
      <w:pPr>
        <w:pStyle w:val="2"/>
        <w:ind w:left="0"/>
      </w:pPr>
      <w:r>
        <w:rPr>
          <w:rFonts w:hint="eastAsia"/>
        </w:rPr>
        <w:t>括其合法继承人。</w:t>
      </w:r>
    </w:p>
    <w:p>
      <w:pPr>
        <w:pStyle w:val="2"/>
      </w:pPr>
      <w:r>
        <w:rPr>
          <w:rFonts w:hint="eastAsia"/>
        </w:rPr>
        <w:t>1.1.7 联合体，指经发包人同意由两个或两个以上法人或者其他组织组成的，作为工程承包人的临</w:t>
      </w:r>
    </w:p>
    <w:p>
      <w:pPr>
        <w:pStyle w:val="2"/>
        <w:ind w:left="0"/>
      </w:pPr>
      <w:r>
        <w:rPr>
          <w:rFonts w:hint="eastAsia"/>
        </w:rPr>
        <w:t>时机构，联合体各方向发包人承担连带责任。联合体各方应指定其中一方作为牵头人。</w:t>
      </w:r>
    </w:p>
    <w:p>
      <w:pPr>
        <w:pStyle w:val="2"/>
      </w:pPr>
      <w:r>
        <w:rPr>
          <w:rFonts w:hint="eastAsia"/>
        </w:rPr>
        <w:t>1.1.8 分包人，指接受承包人根据合同约定对外分包的部分工程或服务的、具有相应资格的法人</w:t>
      </w:r>
    </w:p>
    <w:p>
      <w:pPr>
        <w:pStyle w:val="2"/>
        <w:ind w:left="0"/>
      </w:pPr>
      <w:r>
        <w:rPr>
          <w:rFonts w:hint="eastAsia"/>
        </w:rPr>
        <w:t>或其他组织。</w:t>
      </w:r>
    </w:p>
    <w:p>
      <w:pPr>
        <w:pStyle w:val="2"/>
      </w:pPr>
      <w:r>
        <w:rPr>
          <w:rFonts w:hint="eastAsia"/>
        </w:rPr>
        <w:t>1.1.9 发包人代表，指发包人指定的履行本合同的代表。</w:t>
      </w:r>
    </w:p>
    <w:p>
      <w:pPr>
        <w:pStyle w:val="2"/>
      </w:pPr>
      <w:r>
        <w:rPr>
          <w:rFonts w:hint="eastAsia"/>
        </w:rPr>
        <w:t>1.1.10 监理人，指发包人委托的具有相应资质的工程监理单位。</w:t>
      </w:r>
    </w:p>
    <w:p>
      <w:pPr>
        <w:pStyle w:val="2"/>
      </w:pPr>
      <w:r>
        <w:rPr>
          <w:rFonts w:hint="eastAsia"/>
        </w:rPr>
        <w:t>1.1.11 工程总监，指由监理人授权、负责履行监理合同的总监理工程师。</w:t>
      </w:r>
    </w:p>
    <w:p>
      <w:pPr>
        <w:pStyle w:val="2"/>
      </w:pPr>
      <w:r>
        <w:rPr>
          <w:rFonts w:hint="eastAsia"/>
        </w:rPr>
        <w:t>1.1.12 项目经理，指承包人按照合同约定任命的负责履行合同的代表。</w:t>
      </w:r>
    </w:p>
    <w:p>
      <w:pPr>
        <w:pStyle w:val="2"/>
      </w:pPr>
      <w:r>
        <w:rPr>
          <w:rFonts w:hint="eastAsia"/>
        </w:rPr>
        <w:t>1.1.13 工程，指永久性工程和（或）临时性工程。</w:t>
      </w:r>
    </w:p>
    <w:p>
      <w:pPr>
        <w:pStyle w:val="2"/>
      </w:pPr>
      <w:r>
        <w:rPr>
          <w:rFonts w:hint="eastAsia"/>
        </w:rPr>
        <w:t>1.1.14 永久性工程，指承包人根据合同约定，进行设计、釆购、施工、竣工试验、竣工后试验和</w:t>
      </w:r>
    </w:p>
    <w:p>
      <w:pPr>
        <w:pStyle w:val="2"/>
        <w:ind w:left="0"/>
      </w:pPr>
      <w:r>
        <w:rPr>
          <w:rFonts w:hint="eastAsia"/>
        </w:rPr>
        <w:t>试运行考核并交付发包人进行生产操作或使用的工程。</w:t>
      </w:r>
    </w:p>
    <w:p>
      <w:pPr>
        <w:pStyle w:val="2"/>
      </w:pPr>
      <w:r>
        <w:rPr>
          <w:rFonts w:hint="eastAsia"/>
        </w:rPr>
        <w:t>1.1.15 单项工程，指专用条件中列明的具有某项独立功能的工程单元，是永久性工程的组成部分。</w:t>
      </w:r>
    </w:p>
    <w:p>
      <w:pPr>
        <w:pStyle w:val="2"/>
      </w:pPr>
      <w:r>
        <w:rPr>
          <w:rFonts w:hint="eastAsia"/>
        </w:rPr>
        <w:t>1.1.16 临时性工程，指为实施、完成永久性工程及修补任何质量缺陷，在现场所需搭建的临时建</w:t>
      </w:r>
    </w:p>
    <w:p>
      <w:pPr>
        <w:pStyle w:val="2"/>
        <w:ind w:left="0"/>
      </w:pPr>
      <w:r>
        <w:rPr>
          <w:rFonts w:hint="eastAsia"/>
        </w:rPr>
        <w:t>筑物、构筑物，以及不构成永久性工程实体的其它临时设施。</w:t>
      </w:r>
    </w:p>
    <w:p>
      <w:pPr>
        <w:pStyle w:val="2"/>
      </w:pPr>
      <w:r>
        <w:rPr>
          <w:rFonts w:hint="eastAsia"/>
        </w:rPr>
        <w:t>1.1.17 现场或场地，指合同约定的由发包人提供的用于承包人现场办公,工程物资、机具设施存</w:t>
      </w:r>
    </w:p>
    <w:p>
      <w:pPr>
        <w:pStyle w:val="2"/>
        <w:ind w:left="0"/>
      </w:pPr>
      <w:r>
        <w:rPr>
          <w:rFonts w:hint="eastAsia"/>
        </w:rPr>
        <w:t>放和工程实施的任何地点。</w:t>
      </w:r>
    </w:p>
    <w:p>
      <w:pPr>
        <w:pStyle w:val="2"/>
      </w:pPr>
      <w:r>
        <w:rPr>
          <w:rFonts w:hint="eastAsia"/>
        </w:rPr>
        <w:t>1.1.18 项目基础资料，指发包人提供给承包人的经有关部门对项目批准或 核准的文件、报告（如</w:t>
      </w:r>
    </w:p>
    <w:p>
      <w:pPr>
        <w:pStyle w:val="2"/>
        <w:ind w:left="0"/>
      </w:pPr>
      <w:r>
        <w:rPr>
          <w:rFonts w:hint="eastAsia"/>
        </w:rPr>
        <w:t>选厂报告、资源报告、勘察报告等）、资料（如气象、水 文、地质等）、协议（如原料、燃料、水、电、气、运输等）和有关数据等，以 及设计所需的其它基础资料。</w:t>
      </w:r>
    </w:p>
    <w:p>
      <w:pPr>
        <w:pStyle w:val="2"/>
      </w:pPr>
      <w:r>
        <w:rPr>
          <w:rFonts w:hint="eastAsia"/>
        </w:rPr>
        <w:t>1.1.19 现场障碍资料，指发包人需向承包人提供的进行工程设计、现场施工所需的地上和地下已</w:t>
      </w:r>
    </w:p>
    <w:p>
      <w:pPr>
        <w:pStyle w:val="2"/>
        <w:ind w:left="0"/>
      </w:pPr>
      <w:r>
        <w:rPr>
          <w:rFonts w:hint="eastAsia"/>
        </w:rPr>
        <w:t>有的建筑物、构筑物、线缆、管道、受保护的古建筑、古 树木等坐标方位、数据和其它相关资料。</w:t>
      </w:r>
    </w:p>
    <w:p>
      <w:pPr>
        <w:pStyle w:val="2"/>
      </w:pPr>
      <w:r>
        <w:rPr>
          <w:rFonts w:hint="eastAsia"/>
        </w:rPr>
        <w:t>1.1.20 设计阶段，指规划设计、总体设计、初步设计、技术设计和施工图设计等阶段。设计阶段</w:t>
      </w:r>
    </w:p>
    <w:p>
      <w:pPr>
        <w:pStyle w:val="2"/>
        <w:ind w:left="0"/>
      </w:pPr>
      <w:r>
        <w:rPr>
          <w:rFonts w:hint="eastAsia"/>
        </w:rPr>
        <w:t>的组成，视项目情况而定。</w:t>
      </w:r>
    </w:p>
    <w:p>
      <w:pPr>
        <w:pStyle w:val="2"/>
      </w:pPr>
      <w:r>
        <w:rPr>
          <w:rFonts w:hint="eastAsia"/>
        </w:rPr>
        <w:t>1.1.21 工程物资，指设计文件规定的将构成永久性工程实体的设备、材料和部件，以及进行竣工</w:t>
      </w:r>
    </w:p>
    <w:p>
      <w:pPr>
        <w:pStyle w:val="2"/>
        <w:ind w:left="0"/>
      </w:pPr>
      <w:r>
        <w:rPr>
          <w:rFonts w:hint="eastAsia"/>
        </w:rPr>
        <w:t>试验和竣工后试验所需的材料等。</w:t>
      </w:r>
    </w:p>
    <w:p>
      <w:pPr>
        <w:pStyle w:val="2"/>
      </w:pPr>
      <w:r>
        <w:rPr>
          <w:rFonts w:hint="eastAsia"/>
        </w:rPr>
        <w:t>1.1.22 施工，指承包人把设计文件转化为永久性工程的过程，包括土建、安装和竣工试验等作业。</w:t>
      </w:r>
    </w:p>
    <w:p>
      <w:pPr>
        <w:pStyle w:val="2"/>
      </w:pPr>
      <w:r>
        <w:rPr>
          <w:rFonts w:hint="eastAsia"/>
        </w:rPr>
        <w:t>1.1.23 竣工试验，指工程或（和）单项工程被发包人接收前，应由承包人负责进行的机械、设备、</w:t>
      </w:r>
    </w:p>
    <w:p>
      <w:pPr>
        <w:pStyle w:val="2"/>
        <w:ind w:left="0"/>
      </w:pPr>
      <w:r>
        <w:rPr>
          <w:rFonts w:hint="eastAsia"/>
        </w:rPr>
        <w:t>部件、线缆和管道等性能试验。</w:t>
      </w:r>
    </w:p>
    <w:p>
      <w:pPr>
        <w:pStyle w:val="2"/>
      </w:pPr>
      <w:r>
        <w:rPr>
          <w:rFonts w:hint="eastAsia"/>
        </w:rPr>
        <w:t>1.1.24 变更，指在不改变工程功能和规模的情况下，发包人书面通知或书面批准的，对工程所作</w:t>
      </w:r>
    </w:p>
    <w:p>
      <w:pPr>
        <w:pStyle w:val="2"/>
        <w:ind w:left="0"/>
      </w:pPr>
      <w:r>
        <w:rPr>
          <w:rFonts w:hint="eastAsia"/>
        </w:rPr>
        <w:t>的任何更改。</w:t>
      </w:r>
    </w:p>
    <w:p>
      <w:pPr>
        <w:pStyle w:val="2"/>
      </w:pPr>
      <w:r>
        <w:rPr>
          <w:rFonts w:hint="eastAsia"/>
        </w:rPr>
        <w:t>1.1.25 施工竣工，指工程已按合同约定和设计要求完成土建、安装，并通过竣工试验。</w:t>
      </w:r>
    </w:p>
    <w:p>
      <w:pPr>
        <w:pStyle w:val="2"/>
      </w:pPr>
      <w:r>
        <w:rPr>
          <w:rFonts w:hint="eastAsia"/>
        </w:rPr>
        <w:t>1.1.26 工程接收，指工程或（和）单项工程通过竣工试验后，为使发包人的操作人员、使用人员</w:t>
      </w:r>
    </w:p>
    <w:p>
      <w:pPr>
        <w:pStyle w:val="2"/>
        <w:ind w:left="0"/>
      </w:pPr>
      <w:r>
        <w:rPr>
          <w:rFonts w:hint="eastAsia"/>
        </w:rPr>
        <w:t>进入岗位进行竣工后试验、试运行准备，由承包人与发包人进行工程交接，并由发包人颁发接收证书的过程。</w:t>
      </w:r>
    </w:p>
    <w:p>
      <w:pPr>
        <w:pStyle w:val="2"/>
      </w:pPr>
      <w:r>
        <w:rPr>
          <w:rFonts w:hint="eastAsia"/>
        </w:rPr>
        <w:t>1.1.27 竣工后试验，指工程被发包人接收后，按合同约定由发包人自行或在发包人组织领导下由</w:t>
      </w:r>
    </w:p>
    <w:p>
      <w:pPr>
        <w:pStyle w:val="2"/>
        <w:ind w:left="0"/>
      </w:pPr>
      <w:r>
        <w:rPr>
          <w:rFonts w:hint="eastAsia"/>
        </w:rPr>
        <w:t>承包人指导进行的工程的生产或（和）使用功能试验。</w:t>
      </w:r>
    </w:p>
    <w:p>
      <w:pPr>
        <w:pStyle w:val="2"/>
      </w:pPr>
      <w:r>
        <w:rPr>
          <w:rFonts w:hint="eastAsia"/>
        </w:rPr>
        <w:t>1.1.28 试运行考核，指根据合同约定，在工程完成竣工试验后，由发包人自行或在发包人的组织</w:t>
      </w:r>
    </w:p>
    <w:p>
      <w:pPr>
        <w:pStyle w:val="2"/>
        <w:ind w:left="0"/>
      </w:pPr>
      <w:r>
        <w:rPr>
          <w:rFonts w:hint="eastAsia"/>
        </w:rPr>
        <w:t>领导下由承包人指导进行的包括合同目标考核验收在内的全部试验。</w:t>
      </w:r>
    </w:p>
    <w:p>
      <w:pPr>
        <w:pStyle w:val="2"/>
      </w:pPr>
      <w:r>
        <w:rPr>
          <w:rFonts w:hint="eastAsia"/>
        </w:rPr>
        <w:t>1.1.29 考核验收证书，指试运行考核的全部试验完成并通过验收后，由发包人签发的验收证书。</w:t>
      </w:r>
    </w:p>
    <w:p>
      <w:pPr>
        <w:pStyle w:val="2"/>
      </w:pPr>
      <w:r>
        <w:rPr>
          <w:rFonts w:hint="eastAsia"/>
        </w:rPr>
        <w:t>1.1.30 工程竣工验收，指承包人接到考核验收证书、完成扫尾工程和缺陷修复，并按合同约定提</w:t>
      </w:r>
    </w:p>
    <w:p>
      <w:pPr>
        <w:pStyle w:val="2"/>
        <w:ind w:left="0"/>
      </w:pPr>
      <w:r>
        <w:rPr>
          <w:rFonts w:hint="eastAsia"/>
        </w:rPr>
        <w:t>交竣工验收报告、竣工资料、竣工结算资料，由发包人组 织的工程结算与验收。</w:t>
      </w:r>
    </w:p>
    <w:p>
      <w:pPr>
        <w:pStyle w:val="2"/>
      </w:pPr>
      <w:r>
        <w:rPr>
          <w:rFonts w:hint="eastAsia"/>
        </w:rPr>
        <w:t>1.1.31 合同期限，指从合同生效之日起，至双方在合同下的义务履行完毕之日止的期间。</w:t>
      </w:r>
    </w:p>
    <w:p>
      <w:pPr>
        <w:pStyle w:val="2"/>
      </w:pPr>
      <w:r>
        <w:rPr>
          <w:rFonts w:hint="eastAsia"/>
        </w:rPr>
        <w:t>1.1.32 基准日期，指递交投标文件截止日期之前30日的日期。</w:t>
      </w:r>
    </w:p>
    <w:p>
      <w:pPr>
        <w:pStyle w:val="2"/>
      </w:pPr>
      <w:r>
        <w:rPr>
          <w:rFonts w:hint="eastAsia"/>
        </w:rPr>
        <w:t>1.1.33 项目进度计划，指自合同生效之日起，按合同约定的工程全部实施阶段（包括设计、釆购、</w:t>
      </w:r>
    </w:p>
    <w:p>
      <w:pPr>
        <w:pStyle w:val="2"/>
        <w:ind w:left="0"/>
      </w:pPr>
      <w:r>
        <w:rPr>
          <w:rFonts w:hint="eastAsia"/>
        </w:rPr>
        <w:t>施工、竣工试验、工程接收、竣工后试验至试运行考核 等阶段）或若干实施阶段的时间计划安排。</w:t>
      </w:r>
    </w:p>
    <w:p>
      <w:pPr>
        <w:pStyle w:val="2"/>
      </w:pPr>
      <w:r>
        <w:rPr>
          <w:rFonts w:hint="eastAsia"/>
        </w:rPr>
        <w:t>1.1.34 施工开工日期，指合同协议书中约定的，承包人开始现场施工的绝对日期或相对日期。</w:t>
      </w:r>
    </w:p>
    <w:p>
      <w:pPr>
        <w:pStyle w:val="2"/>
      </w:pPr>
      <w:r>
        <w:rPr>
          <w:rFonts w:hint="eastAsia"/>
        </w:rPr>
        <w:t>1.1.35 竣工日期，指合同协议书中约定的，由承包人完成工程施工（含竣 工试验）的绝对日期或</w:t>
      </w:r>
    </w:p>
    <w:p>
      <w:pPr>
        <w:pStyle w:val="2"/>
        <w:ind w:left="0"/>
      </w:pPr>
      <w:r>
        <w:rPr>
          <w:rFonts w:hint="eastAsia"/>
        </w:rPr>
        <w:t>相对日期，包括合同约定的任何延长日期。</w:t>
      </w:r>
    </w:p>
    <w:p>
      <w:pPr>
        <w:pStyle w:val="2"/>
      </w:pPr>
      <w:r>
        <w:rPr>
          <w:rFonts w:hint="eastAsia"/>
        </w:rPr>
        <w:t>1.1.36 绝对日期，指以公历年、月、日所表明的具体期限。</w:t>
      </w:r>
    </w:p>
    <w:p>
      <w:pPr>
        <w:pStyle w:val="2"/>
      </w:pPr>
      <w:r>
        <w:rPr>
          <w:rFonts w:hint="eastAsia"/>
        </w:rPr>
        <w:t>1.1.37 相对日期，指以公历夭数表明的具体期限。</w:t>
      </w:r>
    </w:p>
    <w:p>
      <w:pPr>
        <w:pStyle w:val="2"/>
      </w:pPr>
      <w:r>
        <w:rPr>
          <w:rFonts w:hint="eastAsia"/>
        </w:rPr>
        <w:t>1.1.38 关键路径，指项目进度计划中直接影响到竣工日期的时间计划线路。该关键路径由合同双</w:t>
      </w:r>
    </w:p>
    <w:p>
      <w:pPr>
        <w:pStyle w:val="2"/>
        <w:ind w:left="0"/>
      </w:pPr>
      <w:r>
        <w:rPr>
          <w:rFonts w:hint="eastAsia"/>
        </w:rPr>
        <w:t>方在讨论项目进度计划时商定。</w:t>
      </w:r>
    </w:p>
    <w:p>
      <w:pPr>
        <w:pStyle w:val="2"/>
      </w:pPr>
      <w:r>
        <w:rPr>
          <w:rFonts w:hint="eastAsia"/>
        </w:rPr>
        <w:t>1.1.39 日、月、年，指公历的日、月、年。本合同中所使用的任何期间的 起点均指相应事件发生</w:t>
      </w:r>
    </w:p>
    <w:p>
      <w:pPr>
        <w:pStyle w:val="2"/>
        <w:ind w:left="0"/>
      </w:pPr>
      <w:r>
        <w:rPr>
          <w:rFonts w:hint="eastAsia"/>
        </w:rPr>
        <w:t>之日的下一日。如果任何时间的起算是以某一期间届满为 条件，则起算点为该期间届满之日的下一日。任何期间的到期日均为该期间届满之日的当日。</w:t>
      </w:r>
    </w:p>
    <w:p>
      <w:pPr>
        <w:pStyle w:val="2"/>
      </w:pPr>
      <w:r>
        <w:rPr>
          <w:rFonts w:hint="eastAsia"/>
        </w:rPr>
        <w:t>1.1.40 工作日，指除中国法定节假日之外的其它公历日。</w:t>
      </w:r>
    </w:p>
    <w:p>
      <w:pPr>
        <w:pStyle w:val="2"/>
      </w:pPr>
      <w:r>
        <w:rPr>
          <w:rFonts w:hint="eastAsia"/>
        </w:rPr>
        <w:t>1.1.41 合同价格，指合同协议书中约定的、承包人进行设计、釆购、施工、竣工试验、竣工后试</w:t>
      </w:r>
    </w:p>
    <w:p>
      <w:pPr>
        <w:pStyle w:val="2"/>
        <w:ind w:left="0"/>
      </w:pPr>
      <w:r>
        <w:rPr>
          <w:rFonts w:hint="eastAsia"/>
        </w:rPr>
        <w:t>验、试运行考核和服务等工作的价款。</w:t>
      </w:r>
    </w:p>
    <w:p>
      <w:pPr>
        <w:pStyle w:val="2"/>
      </w:pPr>
      <w:r>
        <w:rPr>
          <w:rFonts w:hint="eastAsia"/>
        </w:rPr>
        <w:t>1.1.42 合同价格调整，指依据法律及合同约定需要增减的费用而对合同价格进行的相应调整。</w:t>
      </w:r>
    </w:p>
    <w:p>
      <w:pPr>
        <w:pStyle w:val="2"/>
      </w:pPr>
      <w:r>
        <w:rPr>
          <w:rFonts w:hint="eastAsia"/>
        </w:rPr>
        <w:t>1.1.43 合同总价，指根据合同约定，经调整后的合同结算价格。</w:t>
      </w:r>
    </w:p>
    <w:p>
      <w:pPr>
        <w:pStyle w:val="2"/>
      </w:pPr>
      <w:r>
        <w:rPr>
          <w:rFonts w:hint="eastAsia"/>
        </w:rPr>
        <w:t>1.1.44 预付款，指根据合同约定，由发包人预先支付给承包人的款项。</w:t>
      </w:r>
    </w:p>
    <w:p>
      <w:pPr>
        <w:pStyle w:val="2"/>
      </w:pPr>
      <w:r>
        <w:rPr>
          <w:rFonts w:hint="eastAsia"/>
        </w:rPr>
        <w:t>1.1.45 工程进度款，指发包人根据合同约定的支付内容、支付条件，分期向承包人支付的设计、</w:t>
      </w:r>
    </w:p>
    <w:p>
      <w:pPr>
        <w:pStyle w:val="2"/>
        <w:ind w:left="0"/>
      </w:pPr>
      <w:r>
        <w:rPr>
          <w:rFonts w:hint="eastAsia"/>
        </w:rPr>
        <w:t>釆购、施工和竣工试验的进度款，竣工后试验和试运行考 核的服务费以及工程总承包管理费等款项。</w:t>
      </w:r>
    </w:p>
    <w:p>
      <w:pPr>
        <w:pStyle w:val="2"/>
      </w:pPr>
      <w:r>
        <w:rPr>
          <w:rFonts w:hint="eastAsia"/>
        </w:rPr>
        <w:t>1.1.46 工程质量保修责任书，指依据有关质量保修的法律规定，发包人与承包人就工程质量保修</w:t>
      </w:r>
    </w:p>
    <w:p>
      <w:pPr>
        <w:pStyle w:val="2"/>
        <w:ind w:left="0"/>
      </w:pPr>
      <w:r>
        <w:rPr>
          <w:rFonts w:hint="eastAsia"/>
        </w:rPr>
        <w:t>相关事宜所签订的协议。</w:t>
      </w:r>
    </w:p>
    <w:p>
      <w:pPr>
        <w:pStyle w:val="2"/>
      </w:pPr>
      <w:r>
        <w:rPr>
          <w:rFonts w:hint="eastAsia"/>
        </w:rPr>
        <w:t>1.1.47 缺陷责任保修金，指按合同约定发包人从工程进度款中暂时扣除的，作为承包人在施工过</w:t>
      </w:r>
    </w:p>
    <w:p>
      <w:pPr>
        <w:pStyle w:val="2"/>
        <w:ind w:left="0"/>
      </w:pPr>
      <w:r>
        <w:rPr>
          <w:rFonts w:hint="eastAsia"/>
        </w:rPr>
        <w:t>程及缺陷责任期内履行缺陷责任担保的金额。</w:t>
      </w:r>
    </w:p>
    <w:p>
      <w:pPr>
        <w:pStyle w:val="2"/>
      </w:pPr>
      <w:r>
        <w:rPr>
          <w:rFonts w:hint="eastAsia"/>
        </w:rPr>
        <w:t>1.1.48 缺陷责任期，指承包人按合同约定承担缺陷保修责任的期间，一般应为12个月。因缺陷责</w:t>
      </w:r>
    </w:p>
    <w:p>
      <w:pPr>
        <w:pStyle w:val="2"/>
        <w:ind w:left="0"/>
      </w:pPr>
      <w:r>
        <w:rPr>
          <w:rFonts w:hint="eastAsia"/>
        </w:rPr>
        <w:t>任的延长，最长不超过24个月。具体期限在专用条款约 定。</w:t>
      </w:r>
    </w:p>
    <w:p>
      <w:pPr>
        <w:pStyle w:val="2"/>
      </w:pPr>
      <w:r>
        <w:rPr>
          <w:rFonts w:hint="eastAsia"/>
        </w:rPr>
        <w:t>1.1.49 书面形式，指合同书、信件和数据电文等可以有形地表现所载内容的形式。数据电文包括：</w:t>
      </w:r>
    </w:p>
    <w:p>
      <w:pPr>
        <w:pStyle w:val="2"/>
        <w:ind w:left="0"/>
      </w:pPr>
      <w:r>
        <w:rPr>
          <w:rFonts w:hint="eastAsia"/>
        </w:rPr>
        <w:t>电传、传真、电子数据交换和电子邮件等。</w:t>
      </w:r>
    </w:p>
    <w:p>
      <w:pPr>
        <w:pStyle w:val="2"/>
      </w:pPr>
      <w:r>
        <w:rPr>
          <w:rFonts w:hint="eastAsia"/>
        </w:rPr>
        <w:t>1.1.50 违约责任，指合同一方不履行合同义务或履行合同义务不符合合同约定所须承担的责任。</w:t>
      </w:r>
    </w:p>
    <w:p>
      <w:pPr>
        <w:pStyle w:val="2"/>
      </w:pPr>
      <w:r>
        <w:rPr>
          <w:rFonts w:hint="eastAsia"/>
        </w:rPr>
        <w:t>1.1.51 不可抗力，指不能预见、不能避免并不能克服的客观情况，具体情形由双方在专用条款中</w:t>
      </w:r>
    </w:p>
    <w:p>
      <w:pPr>
        <w:pStyle w:val="2"/>
        <w:ind w:left="0"/>
      </w:pPr>
      <w:r>
        <w:rPr>
          <w:rFonts w:hint="eastAsia"/>
        </w:rPr>
        <w:t>约定。</w:t>
      </w:r>
    </w:p>
    <w:p>
      <w:pPr>
        <w:pStyle w:val="2"/>
      </w:pPr>
      <w:r>
        <w:rPr>
          <w:rFonts w:hint="eastAsia"/>
        </w:rPr>
        <w:t>1.1.52 根据本合同工程的特点，需补充约定的其它定义，在专用条款中约定。</w:t>
      </w:r>
    </w:p>
    <w:p>
      <w:pPr>
        <w:pStyle w:val="6"/>
        <w:numPr>
          <w:ilvl w:val="1"/>
          <w:numId w:val="12"/>
        </w:numPr>
      </w:pPr>
      <w:r>
        <w:rPr>
          <w:rFonts w:hint="eastAsia"/>
        </w:rPr>
        <w:t>合同文件</w:t>
      </w:r>
    </w:p>
    <w:p>
      <w:pPr>
        <w:pStyle w:val="2"/>
      </w:pPr>
      <w:r>
        <w:rPr>
          <w:rFonts w:hint="eastAsia"/>
        </w:rPr>
        <w:t>1.2.1 合同文件的组成。合同文件相互解释，互为说明。除专用条款另有约定外，组成本合同的文</w:t>
      </w:r>
    </w:p>
    <w:p>
      <w:pPr>
        <w:pStyle w:val="2"/>
        <w:ind w:left="0"/>
      </w:pPr>
      <w:r>
        <w:rPr>
          <w:rFonts w:hint="eastAsia"/>
        </w:rPr>
        <w:t>件及优先解释顺序如下：</w:t>
      </w:r>
    </w:p>
    <w:p>
      <w:pPr>
        <w:pStyle w:val="2"/>
      </w:pPr>
      <w:r>
        <w:rPr>
          <w:rFonts w:hint="eastAsia"/>
        </w:rPr>
        <w:t>（1）本合同协议书</w:t>
      </w:r>
    </w:p>
    <w:p>
      <w:pPr>
        <w:pStyle w:val="2"/>
      </w:pPr>
      <w:r>
        <w:rPr>
          <w:rFonts w:hint="eastAsia"/>
        </w:rPr>
        <w:t>（2）本合同专用条款</w:t>
      </w:r>
    </w:p>
    <w:p>
      <w:pPr>
        <w:pStyle w:val="2"/>
      </w:pPr>
      <w:r>
        <w:rPr>
          <w:rFonts w:hint="eastAsia"/>
        </w:rPr>
        <w:t>（3）中标通知书</w:t>
      </w:r>
    </w:p>
    <w:p>
      <w:pPr>
        <w:pStyle w:val="2"/>
      </w:pPr>
      <w:r>
        <w:rPr>
          <w:rFonts w:hint="eastAsia"/>
        </w:rPr>
        <w:t>（4）招投标文件及其附件</w:t>
      </w:r>
    </w:p>
    <w:p>
      <w:pPr>
        <w:pStyle w:val="2"/>
      </w:pPr>
      <w:r>
        <w:rPr>
          <w:rFonts w:hint="eastAsia"/>
        </w:rPr>
        <w:t>（5）本合同通用条款</w:t>
      </w:r>
    </w:p>
    <w:p>
      <w:pPr>
        <w:pStyle w:val="2"/>
      </w:pPr>
      <w:r>
        <w:rPr>
          <w:rFonts w:hint="eastAsia"/>
        </w:rPr>
        <w:t>（6）合同附件</w:t>
      </w:r>
    </w:p>
    <w:p>
      <w:pPr>
        <w:pStyle w:val="2"/>
      </w:pPr>
      <w:r>
        <w:rPr>
          <w:rFonts w:hint="eastAsia"/>
        </w:rPr>
        <w:t>（7）标准、规范及有关技术文件</w:t>
      </w:r>
    </w:p>
    <w:p>
      <w:pPr>
        <w:pStyle w:val="2"/>
      </w:pPr>
      <w:r>
        <w:rPr>
          <w:rFonts w:hint="eastAsia"/>
        </w:rPr>
        <w:t>（8）设计文件、资料和图纸</w:t>
      </w:r>
    </w:p>
    <w:p>
      <w:pPr>
        <w:pStyle w:val="2"/>
      </w:pPr>
      <w:r>
        <w:rPr>
          <w:rFonts w:hint="eastAsia"/>
        </w:rPr>
        <w:t>（9）双方约定构成合同组成部分的其它文件</w:t>
      </w:r>
    </w:p>
    <w:p>
      <w:pPr>
        <w:pStyle w:val="2"/>
      </w:pPr>
      <w:r>
        <w:rPr>
          <w:rFonts w:hint="eastAsia"/>
        </w:rPr>
        <w:t>双方在履行合同过程中形成的双方授权代表签署的会议纪要、备忘录、补充 文件、变更和洽商等</w:t>
      </w:r>
    </w:p>
    <w:p>
      <w:pPr>
        <w:pStyle w:val="2"/>
        <w:ind w:left="0"/>
      </w:pPr>
      <w:r>
        <w:rPr>
          <w:rFonts w:hint="eastAsia"/>
        </w:rPr>
        <w:t>书面形式的文件构成本合同的组成部分。</w:t>
      </w:r>
    </w:p>
    <w:p>
      <w:pPr>
        <w:pStyle w:val="2"/>
      </w:pPr>
      <w:r>
        <w:rPr>
          <w:rFonts w:hint="eastAsia"/>
        </w:rPr>
        <w:t>1.2.2 当合同文件的条款内容含糊不清或不相一致，并且不能依据合同约定 的解释顺序阐述清楚</w:t>
      </w:r>
    </w:p>
    <w:p>
      <w:pPr>
        <w:pStyle w:val="2"/>
        <w:ind w:left="0"/>
      </w:pPr>
      <w:r>
        <w:rPr>
          <w:rFonts w:hint="eastAsia"/>
        </w:rPr>
        <w:t>时，在不影响工程正常进行的情况下，由当事人协商解决。 当事人经协商未能达成一致，根据16.3款关于争议和裁决的约定解决。</w:t>
      </w:r>
    </w:p>
    <w:p>
      <w:pPr>
        <w:pStyle w:val="2"/>
      </w:pPr>
      <w:r>
        <w:rPr>
          <w:rFonts w:hint="eastAsia"/>
        </w:rPr>
        <w:t>1.2.3 合同中的条款标题仅为阅读方便，不作为对合同条款解释的依据。</w:t>
      </w:r>
    </w:p>
    <w:p>
      <w:pPr>
        <w:pStyle w:val="6"/>
        <w:numPr>
          <w:ilvl w:val="1"/>
          <w:numId w:val="12"/>
        </w:numPr>
      </w:pPr>
      <w:r>
        <w:rPr>
          <w:rFonts w:hint="eastAsia"/>
        </w:rPr>
        <w:t>语言文字</w:t>
      </w:r>
    </w:p>
    <w:p>
      <w:pPr>
        <w:pStyle w:val="2"/>
      </w:pPr>
      <w:r>
        <w:rPr>
          <w:rFonts w:hint="eastAsia"/>
        </w:rPr>
        <w:t>合同文件以中国的汉语简体语言文字编写、解释和说明。合同当事人在专用条款约定使用两种及以</w:t>
      </w:r>
    </w:p>
    <w:p>
      <w:pPr>
        <w:pStyle w:val="2"/>
        <w:ind w:left="0"/>
      </w:pPr>
      <w:r>
        <w:rPr>
          <w:rFonts w:hint="eastAsia"/>
        </w:rPr>
        <w:t>上语言时，汉语为优先解释和说明本合同的主导语言。</w:t>
      </w:r>
    </w:p>
    <w:p>
      <w:pPr>
        <w:pStyle w:val="2"/>
      </w:pPr>
      <w:r>
        <w:rPr>
          <w:rFonts w:hint="eastAsia"/>
        </w:rPr>
        <w:t>在少数民族地区，当事人可以约定使用少数民族语言编写、解释和说明本合同文件。</w:t>
      </w:r>
    </w:p>
    <w:p>
      <w:pPr>
        <w:pStyle w:val="6"/>
        <w:numPr>
          <w:ilvl w:val="1"/>
          <w:numId w:val="12"/>
        </w:numPr>
      </w:pPr>
      <w:r>
        <w:rPr>
          <w:rFonts w:hint="eastAsia"/>
        </w:rPr>
        <w:t>适用法律</w:t>
      </w:r>
    </w:p>
    <w:p>
      <w:pPr>
        <w:pStyle w:val="2"/>
      </w:pPr>
      <w:r>
        <w:rPr>
          <w:rFonts w:hint="eastAsia"/>
        </w:rPr>
        <w:t>本合同遵循中华人民共和国法律，指中华人民共和国法律、行政法规、部门规章以及工程所在地的</w:t>
      </w:r>
    </w:p>
    <w:p>
      <w:pPr>
        <w:pStyle w:val="2"/>
        <w:ind w:left="0"/>
      </w:pPr>
      <w:r>
        <w:rPr>
          <w:rFonts w:hint="eastAsia"/>
        </w:rPr>
        <w:t>地方法规、自治条例、单行条例和地方政府规章。需要明 示的国家和地方的具体适用法律的名称在专用条款中约定。</w:t>
      </w:r>
    </w:p>
    <w:p>
      <w:pPr>
        <w:pStyle w:val="2"/>
      </w:pPr>
      <w:r>
        <w:rPr>
          <w:rFonts w:hint="eastAsia"/>
        </w:rPr>
        <w:t>在基准日期之后，因法律变化导致承包人的费用增加的，发包人应合理增加合同价格；如果因法律</w:t>
      </w:r>
    </w:p>
    <w:p>
      <w:pPr>
        <w:pStyle w:val="2"/>
        <w:ind w:left="0"/>
      </w:pPr>
      <w:r>
        <w:rPr>
          <w:rFonts w:hint="eastAsia"/>
        </w:rPr>
        <w:t>变化导致关键路径工期延误的，应合理延长工期。</w:t>
      </w:r>
    </w:p>
    <w:p>
      <w:pPr>
        <w:pStyle w:val="6"/>
        <w:numPr>
          <w:ilvl w:val="1"/>
          <w:numId w:val="12"/>
        </w:numPr>
      </w:pPr>
      <w:r>
        <w:rPr>
          <w:rFonts w:hint="eastAsia"/>
        </w:rPr>
        <w:t>标准、规范</w:t>
      </w:r>
    </w:p>
    <w:p>
      <w:pPr>
        <w:pStyle w:val="2"/>
      </w:pPr>
      <w:r>
        <w:rPr>
          <w:rFonts w:hint="eastAsia"/>
        </w:rPr>
        <w:t>1.5.1 适用于本工程的国家标准规范、和（或）行业标准规范、和（或）工程所在地方的标准规范、</w:t>
      </w:r>
    </w:p>
    <w:p>
      <w:pPr>
        <w:pStyle w:val="2"/>
        <w:ind w:left="0"/>
      </w:pPr>
      <w:r>
        <w:rPr>
          <w:rFonts w:hint="eastAsia"/>
        </w:rPr>
        <w:t>和（或）企业标准规范的名称（或编号），在专用条款中约定。</w:t>
      </w:r>
    </w:p>
    <w:p>
      <w:pPr>
        <w:pStyle w:val="2"/>
      </w:pPr>
      <w:r>
        <w:rPr>
          <w:rFonts w:hint="eastAsia"/>
        </w:rPr>
        <w:t>1.5.2 发包人使用国外标准、规范的，负责提供原文版本和中文译本，并在专用条款中约定提供的</w:t>
      </w:r>
    </w:p>
    <w:p>
      <w:pPr>
        <w:pStyle w:val="2"/>
        <w:ind w:left="0"/>
      </w:pPr>
      <w:r>
        <w:rPr>
          <w:rFonts w:hint="eastAsia"/>
        </w:rPr>
        <w:t>标准、规范的名称、份数和时间。</w:t>
      </w:r>
    </w:p>
    <w:p>
      <w:pPr>
        <w:pStyle w:val="2"/>
      </w:pPr>
      <w:r>
        <w:rPr>
          <w:rFonts w:hint="eastAsia"/>
        </w:rPr>
        <w:t>1.5.3 没有相应成文规定的标准、规范时，由发包人在专用条款中约定的时 间向承包人列明技术</w:t>
      </w:r>
    </w:p>
    <w:p>
      <w:pPr>
        <w:pStyle w:val="2"/>
        <w:ind w:left="0"/>
      </w:pPr>
      <w:r>
        <w:rPr>
          <w:rFonts w:hint="eastAsia"/>
        </w:rPr>
        <w:t>要求，承包人按约定的时间和技术要求提出实施方法，经发包人认可后执行。承包人需要对实施方法进行研发试验的，或须对施工人员进行 特殊培训的，除合同价格已包含此项费用外，双方应另行签订协议作为本合同附件，其费用由发包人承担。</w:t>
      </w:r>
    </w:p>
    <w:p>
      <w:pPr>
        <w:pStyle w:val="2"/>
      </w:pPr>
      <w:r>
        <w:rPr>
          <w:rFonts w:hint="eastAsia"/>
        </w:rPr>
        <w:t>1.5.4 在基准日期之后，因国家颁布新的强制性规范、标准导致承包人的费用增加的，发包人应合</w:t>
      </w:r>
    </w:p>
    <w:p>
      <w:pPr>
        <w:pStyle w:val="2"/>
        <w:ind w:left="0"/>
      </w:pPr>
      <w:r>
        <w:rPr>
          <w:rFonts w:hint="eastAsia"/>
        </w:rPr>
        <w:t>理增加合同价格；导致关键路径工期延误的，发包人应合理延长工期。</w:t>
      </w:r>
    </w:p>
    <w:p>
      <w:pPr>
        <w:pStyle w:val="6"/>
        <w:numPr>
          <w:ilvl w:val="1"/>
          <w:numId w:val="12"/>
        </w:numPr>
      </w:pPr>
      <w:r>
        <w:rPr>
          <w:rFonts w:hint="eastAsia"/>
        </w:rPr>
        <w:t>保密事项</w:t>
      </w:r>
    </w:p>
    <w:p>
      <w:pPr>
        <w:pStyle w:val="2"/>
      </w:pPr>
      <w:r>
        <w:rPr>
          <w:rFonts w:hint="eastAsia"/>
        </w:rPr>
        <w:t>当事人一方对在订立和履行合同过程中知悉的另一方的商业秘密、技术秘密，以及任何一方明确要</w:t>
      </w:r>
    </w:p>
    <w:p>
      <w:pPr>
        <w:pStyle w:val="2"/>
        <w:ind w:left="0"/>
      </w:pPr>
      <w:r>
        <w:rPr>
          <w:rFonts w:hint="eastAsia"/>
        </w:rPr>
        <w:t>求保密的其它信息，负有保密责任，未经同意，不得对外泄露或用于本合同以外的目的。一方泄露或者在本合同以外使用该商业秘密、 技术秘密等保密信息给另一方造成损失的，应承担损害赔偿责任。当事人为履行合同所需要的信息，另一方应予以提供。当事人认为必要时，可签订保密协议，作为合同附件。</w:t>
      </w:r>
    </w:p>
    <w:p>
      <w:pPr>
        <w:pStyle w:val="5"/>
        <w:numPr>
          <w:ilvl w:val="0"/>
          <w:numId w:val="12"/>
        </w:numPr>
      </w:pPr>
      <w:r>
        <w:rPr>
          <w:rFonts w:hint="eastAsia"/>
        </w:rPr>
        <w:t>发包人</w:t>
      </w:r>
    </w:p>
    <w:p>
      <w:pPr>
        <w:pStyle w:val="6"/>
        <w:numPr>
          <w:ilvl w:val="1"/>
          <w:numId w:val="12"/>
        </w:numPr>
      </w:pPr>
      <w:r>
        <w:rPr>
          <w:rFonts w:hint="eastAsia"/>
        </w:rPr>
        <w:t>发包人的主要权利和义务</w:t>
      </w:r>
    </w:p>
    <w:p>
      <w:pPr>
        <w:pStyle w:val="2"/>
      </w:pPr>
      <w:r>
        <w:rPr>
          <w:rFonts w:hint="eastAsia"/>
        </w:rPr>
        <w:t>2.1.1 负责办理项目的审批、核准或备案手续，取得项目用地的使用权，完成拆迁补偿工作，使项</w:t>
      </w:r>
    </w:p>
    <w:p>
      <w:pPr>
        <w:pStyle w:val="2"/>
        <w:ind w:left="0"/>
      </w:pPr>
      <w:r>
        <w:rPr>
          <w:rFonts w:hint="eastAsia"/>
        </w:rPr>
        <w:t>目具备法律规定的及合同约定的开工条件，并提供立项文件。</w:t>
      </w:r>
    </w:p>
    <w:p>
      <w:pPr>
        <w:pStyle w:val="2"/>
      </w:pPr>
      <w:r>
        <w:rPr>
          <w:rFonts w:hint="eastAsia"/>
        </w:rPr>
        <w:t>2.1.2 履行合同中约定的合同价格调整、付款、竣工结算义务。</w:t>
      </w:r>
    </w:p>
    <w:p>
      <w:pPr>
        <w:pStyle w:val="2"/>
      </w:pPr>
      <w:r>
        <w:rPr>
          <w:rFonts w:hint="eastAsia"/>
        </w:rPr>
        <w:t>2.1.3 有权按照合同约定和适用法律关于安全、质量、环境保护和职业健康 等强制性标准、规范</w:t>
      </w:r>
    </w:p>
    <w:p>
      <w:pPr>
        <w:pStyle w:val="2"/>
        <w:ind w:left="0"/>
      </w:pPr>
      <w:r>
        <w:rPr>
          <w:rFonts w:hint="eastAsia"/>
        </w:rPr>
        <w:t>的规定，对承包人的设计、釆购、施工、竣工试验等实施工 作提出建议、修改和变更，但不得违反国家强制性标准、规范的规定。</w:t>
      </w:r>
    </w:p>
    <w:p>
      <w:pPr>
        <w:pStyle w:val="2"/>
      </w:pPr>
      <w:r>
        <w:rPr>
          <w:rFonts w:hint="eastAsia"/>
        </w:rPr>
        <w:t>2.1.4 有权根据合同约定，对因承包人原因给发包人带来的任何损失和损害，提出赔偿。</w:t>
      </w:r>
    </w:p>
    <w:p>
      <w:pPr>
        <w:pStyle w:val="2"/>
      </w:pPr>
      <w:r>
        <w:rPr>
          <w:rFonts w:hint="eastAsia"/>
        </w:rPr>
        <w:t>2.1.5 发包人认为必要时，有权以书面形式发出暂停通知。其中，因发包人 原因造成的暂停，给</w:t>
      </w:r>
    </w:p>
    <w:p>
      <w:pPr>
        <w:pStyle w:val="2"/>
        <w:ind w:left="0"/>
      </w:pPr>
      <w:r>
        <w:rPr>
          <w:rFonts w:hint="eastAsia"/>
        </w:rPr>
        <w:t>承包人造成的费用增加由发包人承担，造成关键路径延误的， 竣工日期相应顺延。</w:t>
      </w:r>
    </w:p>
    <w:p>
      <w:pPr>
        <w:pStyle w:val="6"/>
        <w:numPr>
          <w:ilvl w:val="1"/>
          <w:numId w:val="12"/>
        </w:numPr>
      </w:pPr>
      <w:r>
        <w:rPr>
          <w:rFonts w:hint="eastAsia"/>
        </w:rPr>
        <w:t>发包人代表</w:t>
      </w:r>
    </w:p>
    <w:p>
      <w:pPr>
        <w:pStyle w:val="2"/>
      </w:pPr>
      <w:r>
        <w:rPr>
          <w:rFonts w:hint="eastAsia"/>
        </w:rPr>
        <w:t>发包人委派代表，行使发包人委托的权利，履行发包人的义务，但发包人代表无权修改合同。发包</w:t>
      </w:r>
    </w:p>
    <w:p>
      <w:pPr>
        <w:pStyle w:val="2"/>
        <w:ind w:left="0"/>
      </w:pPr>
      <w:r>
        <w:rPr>
          <w:rFonts w:hint="eastAsia"/>
        </w:rPr>
        <w:t>人代表依据本合同并在其授权范围内履行其职责。发包人 代表根据合同约定的范围和事项，向承包人发出的书面通知，由其本人签字后送交项目经理。发包人代表的姓名、职务和职责在专用条款约定。发包人决定替换 其代表时，应将新任代表的姓名、职务、职权和任命时间在其到任的15日前， 以书面形式通知承包人。</w:t>
      </w:r>
    </w:p>
    <w:p>
      <w:pPr>
        <w:pStyle w:val="6"/>
        <w:numPr>
          <w:ilvl w:val="1"/>
          <w:numId w:val="12"/>
        </w:numPr>
      </w:pPr>
      <w:r>
        <w:rPr>
          <w:rFonts w:hint="eastAsia"/>
        </w:rPr>
        <w:t>监理人</w:t>
      </w:r>
    </w:p>
    <w:p>
      <w:pPr>
        <w:pStyle w:val="2"/>
      </w:pPr>
      <w:r>
        <w:rPr>
          <w:rFonts w:hint="eastAsia"/>
        </w:rPr>
        <w:t>2.3.1 发包人需对工程实行监理的，监理人的名称、工程总监、监理范围、内容和权限在专用条款</w:t>
      </w:r>
    </w:p>
    <w:p>
      <w:pPr>
        <w:pStyle w:val="2"/>
        <w:ind w:left="0"/>
      </w:pPr>
      <w:r>
        <w:rPr>
          <w:rFonts w:hint="eastAsia"/>
        </w:rPr>
        <w:t>中写明。</w:t>
      </w:r>
    </w:p>
    <w:p>
      <w:pPr>
        <w:pStyle w:val="2"/>
      </w:pPr>
      <w:r>
        <w:rPr>
          <w:rFonts w:hint="eastAsia"/>
        </w:rPr>
        <w:t>监理人按发包人委托监理的范围、内容、职权和权限，代表发包人对承包人 实施监督。监理人向</w:t>
      </w:r>
    </w:p>
    <w:p>
      <w:pPr>
        <w:pStyle w:val="2"/>
        <w:ind w:left="0"/>
      </w:pPr>
      <w:r>
        <w:rPr>
          <w:rFonts w:hint="eastAsia"/>
        </w:rPr>
        <w:t>承包人发出的通知，以书面形式由工程总监签字后送交承包 人实施，并抄送发包人。</w:t>
      </w:r>
    </w:p>
    <w:p>
      <w:pPr>
        <w:pStyle w:val="2"/>
      </w:pPr>
      <w:r>
        <w:rPr>
          <w:rFonts w:hint="eastAsia"/>
        </w:rPr>
        <w:t>2.3.2 工程总监的职权与发包人代表的职权相重叠或不明确时，由发包人予以协调和明确，并以书</w:t>
      </w:r>
    </w:p>
    <w:p>
      <w:pPr>
        <w:pStyle w:val="2"/>
        <w:ind w:left="0"/>
      </w:pPr>
      <w:r>
        <w:rPr>
          <w:rFonts w:hint="eastAsia"/>
        </w:rPr>
        <w:t>面形式通知承包人。</w:t>
      </w:r>
    </w:p>
    <w:p>
      <w:pPr>
        <w:pStyle w:val="2"/>
      </w:pPr>
      <w:r>
        <w:rPr>
          <w:rFonts w:hint="eastAsia"/>
        </w:rPr>
        <w:t>2.3.3 除专用条款另有约定外，工程总监无权改变本合同当事人的任何权利 和义务。</w:t>
      </w:r>
    </w:p>
    <w:p>
      <w:pPr>
        <w:pStyle w:val="2"/>
      </w:pPr>
      <w:r>
        <w:rPr>
          <w:rFonts w:hint="eastAsia"/>
        </w:rPr>
        <w:t>2.3.4 发包人更换工程总监时，应提前5日以书面形式通知承包人，并在通 知中写明替换者的姓</w:t>
      </w:r>
    </w:p>
    <w:p>
      <w:pPr>
        <w:pStyle w:val="2"/>
        <w:ind w:left="0"/>
      </w:pPr>
      <w:r>
        <w:rPr>
          <w:rFonts w:hint="eastAsia"/>
        </w:rPr>
        <w:t>名、职务、职权、权限和任命时间。</w:t>
      </w:r>
    </w:p>
    <w:p>
      <w:pPr>
        <w:pStyle w:val="6"/>
        <w:numPr>
          <w:ilvl w:val="1"/>
          <w:numId w:val="12"/>
        </w:numPr>
      </w:pPr>
      <w:r>
        <w:rPr>
          <w:rFonts w:hint="eastAsia"/>
        </w:rPr>
        <w:t>安全保证</w:t>
      </w:r>
    </w:p>
    <w:p>
      <w:pPr>
        <w:pStyle w:val="2"/>
      </w:pPr>
      <w:r>
        <w:rPr>
          <w:rFonts w:hint="eastAsia"/>
        </w:rPr>
        <w:t>2.4.1 除专用条款另有约定外，发包人应负责协调处理施工现场周围的地下、地上已有设施和邻近</w:t>
      </w:r>
    </w:p>
    <w:p>
      <w:pPr>
        <w:pStyle w:val="2"/>
        <w:ind w:left="0"/>
      </w:pPr>
      <w:r>
        <w:rPr>
          <w:rFonts w:hint="eastAsia"/>
        </w:rPr>
        <w:t>建筑物、构筑物、古树名木、文物及坟墓等的安全保护 工作，维护现场周围的正常秩序，并承担相关费用。</w:t>
      </w:r>
    </w:p>
    <w:p>
      <w:pPr>
        <w:pStyle w:val="2"/>
      </w:pPr>
      <w:r>
        <w:rPr>
          <w:rFonts w:hint="eastAsia"/>
        </w:rPr>
        <w:t>2.4.2 除专用条款另有约定外，发包人应负责对工程现场临近发包人正在使 用、运行、或由发包</w:t>
      </w:r>
    </w:p>
    <w:p>
      <w:pPr>
        <w:pStyle w:val="2"/>
        <w:ind w:left="0"/>
      </w:pPr>
      <w:r>
        <w:rPr>
          <w:rFonts w:hint="eastAsia"/>
        </w:rPr>
        <w:t>人用于生产的建筑物、构筑物、生产装置、设施、设备等，设置隔离设施，竖立禁止入内、禁止动火的明显标志，并以书面形式通知承包人须遵守的安全规定和位置范围。因发包人的原因给承包人造成的损失和伤害，由发包人负责。</w:t>
      </w:r>
    </w:p>
    <w:p>
      <w:pPr>
        <w:pStyle w:val="2"/>
      </w:pPr>
      <w:r>
        <w:rPr>
          <w:rFonts w:hint="eastAsia"/>
        </w:rPr>
        <w:t>2.4.3 本合同未作约定，而在工程主体结构或工程主要装置完成后，发包人要求进行涉及建筑主体</w:t>
      </w:r>
    </w:p>
    <w:p>
      <w:pPr>
        <w:pStyle w:val="2"/>
        <w:ind w:left="0"/>
      </w:pPr>
      <w:r>
        <w:rPr>
          <w:rFonts w:hint="eastAsia"/>
        </w:rPr>
        <w:t>及承重结构变动、或涉及重大工艺变化的装修工程时，双方可另行签订委托合同，作为本合同附件。</w:t>
      </w:r>
    </w:p>
    <w:p>
      <w:pPr>
        <w:pStyle w:val="2"/>
      </w:pPr>
      <w:r>
        <w:rPr>
          <w:rFonts w:hint="eastAsia"/>
        </w:rPr>
        <w:t>发包人自行决定此类装修或发包人与第三方签订委托合同，由发包人或发包人另行委托的第三方</w:t>
      </w:r>
    </w:p>
    <w:p>
      <w:pPr>
        <w:pStyle w:val="2"/>
        <w:ind w:left="0"/>
      </w:pPr>
      <w:r>
        <w:rPr>
          <w:rFonts w:hint="eastAsia"/>
        </w:rPr>
        <w:t>提出设计方案及施工的，由此造成的损失、损害由发包人负责。</w:t>
      </w:r>
    </w:p>
    <w:p>
      <w:pPr>
        <w:pStyle w:val="2"/>
      </w:pPr>
      <w:r>
        <w:rPr>
          <w:rFonts w:hint="eastAsia"/>
        </w:rPr>
        <w:t>2.4.4 发包人负责对其代表、雇员、监理人及其委托的其他人员进行安全教育，并遵守承包人工程</w:t>
      </w:r>
    </w:p>
    <w:p>
      <w:pPr>
        <w:pStyle w:val="2"/>
        <w:ind w:left="0"/>
      </w:pPr>
      <w:r>
        <w:rPr>
          <w:rFonts w:hint="eastAsia"/>
        </w:rPr>
        <w:t>现场的安全规定。承包人应在工程现场以标牌明示相关安全规定，或将安全规定发送给发包人。因发包人的代表、雇员、监理人及其委托的其他人员未能遵守承包人工程现场的安全规定所发生的人身伤害、安全事故，由发包人负责。</w:t>
      </w:r>
    </w:p>
    <w:p>
      <w:pPr>
        <w:pStyle w:val="2"/>
      </w:pPr>
      <w:r>
        <w:rPr>
          <w:rFonts w:hint="eastAsia"/>
        </w:rPr>
        <w:t>2.4.5 发包人、发包人代表、雇员、监理人及其委托的其他人员应遵守7.8 款职业健康、安全和环</w:t>
      </w:r>
    </w:p>
    <w:p>
      <w:pPr>
        <w:pStyle w:val="2"/>
        <w:ind w:left="0"/>
      </w:pPr>
      <w:r>
        <w:rPr>
          <w:rFonts w:hint="eastAsia"/>
        </w:rPr>
        <w:t>境保护的相关约定。</w:t>
      </w:r>
    </w:p>
    <w:p>
      <w:pPr>
        <w:pStyle w:val="6"/>
        <w:numPr>
          <w:ilvl w:val="1"/>
          <w:numId w:val="12"/>
        </w:numPr>
      </w:pPr>
      <w:r>
        <w:rPr>
          <w:rFonts w:hint="eastAsia"/>
        </w:rPr>
        <w:t>保安责任</w:t>
      </w:r>
    </w:p>
    <w:p>
      <w:pPr>
        <w:pStyle w:val="2"/>
      </w:pPr>
      <w:r>
        <w:rPr>
          <w:rFonts w:hint="eastAsia"/>
        </w:rPr>
        <w:t>2.5.1 现场保安工作的责任主体由专用条款约定。承担现场保安工作的一方负责与当地有关治安部</w:t>
      </w:r>
    </w:p>
    <w:p>
      <w:pPr>
        <w:pStyle w:val="2"/>
        <w:ind w:left="0"/>
      </w:pPr>
      <w:r>
        <w:rPr>
          <w:rFonts w:hint="eastAsia"/>
        </w:rPr>
        <w:t>门的联系、沟通和协调，并承担所发生的相关费用。</w:t>
      </w:r>
    </w:p>
    <w:p>
      <w:pPr>
        <w:pStyle w:val="2"/>
      </w:pPr>
      <w:r>
        <w:rPr>
          <w:rFonts w:hint="eastAsia"/>
        </w:rPr>
        <w:t>2.5.2 发包人与承包人商定工程实施阶段及区域的保安责任划分，并编制各自的相关保安制度、责</w:t>
      </w:r>
    </w:p>
    <w:p>
      <w:pPr>
        <w:pStyle w:val="2"/>
        <w:ind w:left="0"/>
      </w:pPr>
      <w:r>
        <w:rPr>
          <w:rFonts w:hint="eastAsia"/>
        </w:rPr>
        <w:t>任制度和报告制度，作为合同附件。</w:t>
      </w:r>
    </w:p>
    <w:p>
      <w:pPr>
        <w:pStyle w:val="2"/>
      </w:pPr>
      <w:r>
        <w:rPr>
          <w:rFonts w:hint="eastAsia"/>
        </w:rPr>
        <w:t>2.5.3 发包人按合同约定占用的区域、接收的单项工程和工程，由发包人承担相关保安工作，及因</w:t>
      </w:r>
    </w:p>
    <w:p>
      <w:pPr>
        <w:pStyle w:val="2"/>
        <w:ind w:left="0"/>
      </w:pPr>
      <w:r>
        <w:rPr>
          <w:rFonts w:hint="eastAsia"/>
        </w:rPr>
        <w:t>此产生的费用、损害和责任。</w:t>
      </w:r>
    </w:p>
    <w:p>
      <w:pPr>
        <w:pStyle w:val="5"/>
        <w:numPr>
          <w:ilvl w:val="0"/>
          <w:numId w:val="12"/>
        </w:numPr>
      </w:pPr>
      <w:r>
        <w:rPr>
          <w:rFonts w:hint="eastAsia"/>
        </w:rPr>
        <w:t>承包人</w:t>
      </w:r>
    </w:p>
    <w:p>
      <w:pPr>
        <w:pStyle w:val="6"/>
        <w:numPr>
          <w:ilvl w:val="1"/>
          <w:numId w:val="12"/>
        </w:numPr>
      </w:pPr>
      <w:r>
        <w:rPr>
          <w:rFonts w:hint="eastAsia"/>
        </w:rPr>
        <w:t>承包人的主要权利和义务</w:t>
      </w:r>
    </w:p>
    <w:p>
      <w:pPr>
        <w:pStyle w:val="2"/>
      </w:pPr>
      <w:r>
        <w:rPr>
          <w:rFonts w:hint="eastAsia"/>
        </w:rPr>
        <w:t>3.1.1 承包人应按照合同约定的标准、规范、工程的功能、规模、考核目标和竣工日期，完成设计、</w:t>
      </w:r>
    </w:p>
    <w:p>
      <w:pPr>
        <w:pStyle w:val="2"/>
        <w:ind w:left="0"/>
      </w:pPr>
      <w:r>
        <w:rPr>
          <w:rFonts w:hint="eastAsia"/>
        </w:rPr>
        <w:t>采购、施工、竣工试验和（或）指导竣工后试验等工作， 不得违反国家强制性标准、规范的规定。</w:t>
      </w:r>
    </w:p>
    <w:p>
      <w:pPr>
        <w:pStyle w:val="2"/>
      </w:pPr>
      <w:r>
        <w:rPr>
          <w:rFonts w:hint="eastAsia"/>
        </w:rPr>
        <w:t>本工程的具体承包范围，应依据合同协议书第一项“工程概况”中有关“工程承包范围”的约定。</w:t>
      </w:r>
    </w:p>
    <w:p>
      <w:pPr>
        <w:pStyle w:val="2"/>
      </w:pPr>
      <w:r>
        <w:rPr>
          <w:rFonts w:hint="eastAsia"/>
        </w:rPr>
        <w:t>3.1.2 承包人应按合同约定，自费修复因承包人原因引起的设计、文件、设 备、材料、部件、施</w:t>
      </w:r>
    </w:p>
    <w:p>
      <w:pPr>
        <w:pStyle w:val="2"/>
        <w:ind w:left="0"/>
      </w:pPr>
      <w:r>
        <w:rPr>
          <w:rFonts w:hint="eastAsia"/>
        </w:rPr>
        <w:t>工中存在的缺陷、或在竣工试验和竣工后试验中发现的缺陷。</w:t>
      </w:r>
    </w:p>
    <w:p>
      <w:pPr>
        <w:pStyle w:val="2"/>
      </w:pPr>
      <w:r>
        <w:rPr>
          <w:rFonts w:hint="eastAsia"/>
        </w:rPr>
        <w:t>3.1.3 承包人应按合同约定和发包人的要求，提交相关报表。报表的类别、名称、内容、报告期、</w:t>
      </w:r>
    </w:p>
    <w:p>
      <w:pPr>
        <w:pStyle w:val="2"/>
        <w:ind w:left="0"/>
      </w:pPr>
      <w:r>
        <w:rPr>
          <w:rFonts w:hint="eastAsia"/>
        </w:rPr>
        <w:t>提交时间和份数，在专用条款中约定。</w:t>
      </w:r>
    </w:p>
    <w:p>
      <w:pPr>
        <w:pStyle w:val="2"/>
      </w:pPr>
      <w:r>
        <w:rPr>
          <w:rFonts w:hint="eastAsia"/>
        </w:rPr>
        <w:t>3.1.4 承包人有权根据4.6.4款承包人的复工要求、14.9款付款时间延误和17条不可抗力的约定，</w:t>
      </w:r>
    </w:p>
    <w:p>
      <w:pPr>
        <w:pStyle w:val="2"/>
        <w:ind w:left="0"/>
      </w:pPr>
      <w:r>
        <w:rPr>
          <w:rFonts w:hint="eastAsia"/>
        </w:rPr>
        <w:t>以书面形式向发包人发出暂停通知。除此之外，凡因承 包人原因的暂停，造成承包人的费用增加由其自负，造成关键路径延误的应自费赶上。</w:t>
      </w:r>
    </w:p>
    <w:p>
      <w:pPr>
        <w:pStyle w:val="2"/>
      </w:pPr>
      <w:r>
        <w:rPr>
          <w:rFonts w:hint="eastAsia"/>
        </w:rPr>
        <w:t>3.1.5 对因发包人原因给承包人带来任何损失、损害或造成工程关键路径延误的，承包人有权要求</w:t>
      </w:r>
    </w:p>
    <w:p>
      <w:pPr>
        <w:pStyle w:val="2"/>
        <w:ind w:left="0"/>
      </w:pPr>
      <w:r>
        <w:rPr>
          <w:rFonts w:hint="eastAsia"/>
        </w:rPr>
        <w:t>赔偿或（和）延长竣工日期。</w:t>
      </w:r>
    </w:p>
    <w:p>
      <w:pPr>
        <w:pStyle w:val="6"/>
        <w:numPr>
          <w:ilvl w:val="1"/>
          <w:numId w:val="12"/>
        </w:numPr>
      </w:pPr>
      <w:r>
        <w:rPr>
          <w:rFonts w:hint="eastAsia"/>
        </w:rPr>
        <w:t>项目经理</w:t>
      </w:r>
    </w:p>
    <w:p>
      <w:pPr>
        <w:pStyle w:val="2"/>
      </w:pPr>
      <w:r>
        <w:rPr>
          <w:rFonts w:hint="eastAsia"/>
        </w:rPr>
        <w:t>3.2.1 项目经理，应是当事人双方所确认的人选。项目经理经授权并代表承包人负责履行本合同。</w:t>
      </w:r>
    </w:p>
    <w:p>
      <w:pPr>
        <w:pStyle w:val="2"/>
        <w:ind w:left="0"/>
      </w:pPr>
      <w:r>
        <w:rPr>
          <w:rFonts w:hint="eastAsia"/>
        </w:rPr>
        <w:t>项目经理的姓名、职责和权限在专用条款中约定。</w:t>
      </w:r>
    </w:p>
    <w:p>
      <w:pPr>
        <w:pStyle w:val="2"/>
      </w:pPr>
      <w:r>
        <w:rPr>
          <w:rFonts w:hint="eastAsia"/>
        </w:rPr>
        <w:t>项目经理应是承包人的员工，承包人应在合同生效后10日内向发包人提交项目经理与承包人之间</w:t>
      </w:r>
    </w:p>
    <w:p>
      <w:pPr>
        <w:pStyle w:val="2"/>
        <w:ind w:left="0"/>
      </w:pPr>
      <w:r>
        <w:rPr>
          <w:rFonts w:hint="eastAsia"/>
        </w:rPr>
        <w:t>的劳动合同，以及承包人为项目经理缴纳社会保险的有效证明，承包人不提交上述文件的，项目经理无权履行职责，由此影响工程进度或发生其它问题的，由承包人承担责任。</w:t>
      </w:r>
    </w:p>
    <w:p>
      <w:pPr>
        <w:pStyle w:val="2"/>
      </w:pPr>
      <w:r>
        <w:rPr>
          <w:rFonts w:hint="eastAsia"/>
        </w:rPr>
        <w:t>项目经理应常驻项目现场，且每月在现场时间不得少于专用条款约定的天数。项目经理不得同时担</w:t>
      </w:r>
    </w:p>
    <w:p>
      <w:pPr>
        <w:pStyle w:val="2"/>
        <w:ind w:left="0"/>
      </w:pPr>
      <w:r>
        <w:rPr>
          <w:rFonts w:hint="eastAsia"/>
        </w:rPr>
        <w:t>任其它项目的项目经理。项目经理确需离开项目现场时应事先取得发包人同意，并指定一名有经验的人员临时代行其职责。</w:t>
      </w:r>
    </w:p>
    <w:p>
      <w:pPr>
        <w:pStyle w:val="2"/>
      </w:pPr>
      <w:r>
        <w:rPr>
          <w:rFonts w:hint="eastAsia"/>
        </w:rPr>
        <w:t>承包人违反上述约定的，按照专用条款的约定，承担违约责任。</w:t>
      </w:r>
    </w:p>
    <w:p>
      <w:pPr>
        <w:pStyle w:val="2"/>
      </w:pPr>
      <w:r>
        <w:rPr>
          <w:rFonts w:hint="eastAsia"/>
        </w:rPr>
        <w:t>3.2.2 项目经理按合同约定的项目进度计划，并按发包人代表和（或）工程总监依据合同发出的指</w:t>
      </w:r>
    </w:p>
    <w:p>
      <w:pPr>
        <w:pStyle w:val="2"/>
        <w:ind w:left="0"/>
      </w:pPr>
      <w:r>
        <w:rPr>
          <w:rFonts w:hint="eastAsia"/>
        </w:rPr>
        <w:t>令组织项目实施。在紧急情况下，且无法与发包人代表和（或）工程总监取得联系时，项目经理有权釆取必要的措施保证人身、工程和财产的安全，但须在事后48小时内向发包人代表和（或）工程总监送交书面报告。</w:t>
      </w:r>
    </w:p>
    <w:p>
      <w:pPr>
        <w:pStyle w:val="2"/>
      </w:pPr>
      <w:r>
        <w:rPr>
          <w:rFonts w:hint="eastAsia"/>
        </w:rPr>
        <w:t>3.2.3 承包人需更换项目经理时，提前15日以书面形式通知发包人，并征得发包人的同意。继任</w:t>
      </w:r>
    </w:p>
    <w:p>
      <w:pPr>
        <w:pStyle w:val="2"/>
        <w:ind w:left="0"/>
      </w:pPr>
      <w:r>
        <w:rPr>
          <w:rFonts w:hint="eastAsia"/>
        </w:rPr>
        <w:t>的项目经理须继续履行第321款约定的职责和权限。未经发包人同意，承包人不得擅自更换项目经理。承包人擅自更换项目经理的，按专用条款的约定，承担违约责任。</w:t>
      </w:r>
    </w:p>
    <w:p>
      <w:pPr>
        <w:pStyle w:val="2"/>
      </w:pPr>
      <w:r>
        <w:rPr>
          <w:rFonts w:hint="eastAsia"/>
        </w:rPr>
        <w:t>3.2.4 发包人有权以书面形式通知更换其认为不称职的项目经理，应说明更换因由，承包人应在接</w:t>
      </w:r>
    </w:p>
    <w:p>
      <w:pPr>
        <w:pStyle w:val="2"/>
        <w:ind w:left="0"/>
      </w:pPr>
      <w:r>
        <w:rPr>
          <w:rFonts w:hint="eastAsia"/>
        </w:rPr>
        <w:t>到更换通知后15日内向发包人提出书面的改进报告。发包人收到改进报告后仍以书面形式通知更换的，承包人应在接到第二次更换通知后的30日内进行更换，并将新任命的项目经理的姓名、简历以书面形式通知发包人。新任项目经理继续履行第3.2.1款约定的职责和权限。</w:t>
      </w:r>
    </w:p>
    <w:p>
      <w:pPr>
        <w:pStyle w:val="6"/>
        <w:numPr>
          <w:ilvl w:val="1"/>
          <w:numId w:val="12"/>
        </w:numPr>
      </w:pPr>
      <w:r>
        <w:rPr>
          <w:rFonts w:hint="eastAsia"/>
        </w:rPr>
        <w:t>工程质量保证</w:t>
      </w:r>
    </w:p>
    <w:p>
      <w:pPr>
        <w:pStyle w:val="2"/>
      </w:pPr>
      <w:r>
        <w:rPr>
          <w:rFonts w:hint="eastAsia"/>
        </w:rPr>
        <w:t>承包人应按合同约定的质量标准规范，确保设计、釆购、加工制造、施工、竣工试验等各项工作的</w:t>
      </w:r>
    </w:p>
    <w:p>
      <w:pPr>
        <w:pStyle w:val="2"/>
        <w:ind w:left="0"/>
      </w:pPr>
      <w:r>
        <w:rPr>
          <w:rFonts w:hint="eastAsia"/>
        </w:rPr>
        <w:t>质量，建立有效的质量保证体系，并按照国家有关规定，通过质量保修责任书的形式约定保修范围、保修期限和保修责任。</w:t>
      </w:r>
    </w:p>
    <w:p>
      <w:pPr>
        <w:pStyle w:val="6"/>
        <w:numPr>
          <w:ilvl w:val="1"/>
          <w:numId w:val="12"/>
        </w:numPr>
      </w:pPr>
      <w:r>
        <w:rPr>
          <w:rFonts w:hint="eastAsia"/>
        </w:rPr>
        <w:t>安全保证</w:t>
      </w:r>
    </w:p>
    <w:p>
      <w:pPr>
        <w:pStyle w:val="2"/>
      </w:pPr>
      <w:r>
        <w:rPr>
          <w:rFonts w:hint="eastAsia"/>
        </w:rPr>
        <w:t>3.4.1工程安全性能</w:t>
      </w:r>
    </w:p>
    <w:p>
      <w:pPr>
        <w:pStyle w:val="2"/>
      </w:pPr>
      <w:r>
        <w:rPr>
          <w:rFonts w:hint="eastAsia"/>
        </w:rPr>
        <w:t>承包人应按照合同约定和国家有关安全生产的法律规定，进行设计、釆购、施工、竣工试验，保证</w:t>
      </w:r>
    </w:p>
    <w:p>
      <w:pPr>
        <w:pStyle w:val="2"/>
        <w:ind w:left="0"/>
      </w:pPr>
      <w:r>
        <w:rPr>
          <w:rFonts w:hint="eastAsia"/>
        </w:rPr>
        <w:t>工程的安全性能。</w:t>
      </w:r>
    </w:p>
    <w:p>
      <w:pPr>
        <w:pStyle w:val="2"/>
      </w:pPr>
      <w:r>
        <w:rPr>
          <w:rFonts w:hint="eastAsia"/>
        </w:rPr>
        <w:t>3.4.2安全施工</w:t>
      </w:r>
    </w:p>
    <w:p>
      <w:pPr>
        <w:pStyle w:val="2"/>
      </w:pPr>
      <w:r>
        <w:rPr>
          <w:rFonts w:hint="eastAsia"/>
        </w:rPr>
        <w:t>承包人应遵守7.8款职业健康、安全和环境保护的约定。</w:t>
      </w:r>
    </w:p>
    <w:p>
      <w:pPr>
        <w:pStyle w:val="2"/>
      </w:pPr>
      <w:r>
        <w:rPr>
          <w:rFonts w:hint="eastAsia"/>
        </w:rPr>
        <w:t>3.4.3因承包人未遵守发包人按2.4.2款通知的安全规定和位置范围限定所造成的损失和伤害，由</w:t>
      </w:r>
    </w:p>
    <w:p>
      <w:pPr>
        <w:pStyle w:val="2"/>
        <w:ind w:left="0"/>
      </w:pPr>
      <w:r>
        <w:rPr>
          <w:rFonts w:hint="eastAsia"/>
        </w:rPr>
        <w:t>承包人负责。</w:t>
      </w:r>
    </w:p>
    <w:p>
      <w:pPr>
        <w:pStyle w:val="2"/>
      </w:pPr>
      <w:r>
        <w:rPr>
          <w:rFonts w:hint="eastAsia"/>
        </w:rPr>
        <w:t>3.4.4承包人全面负责其施工场地的安全管理,保障所有进入施工场地的人员的安全。因承包人原因</w:t>
      </w:r>
    </w:p>
    <w:p>
      <w:pPr>
        <w:pStyle w:val="2"/>
        <w:ind w:left="0"/>
      </w:pPr>
      <w:r>
        <w:rPr>
          <w:rFonts w:hint="eastAsia"/>
        </w:rPr>
        <w:t>所发生的人身伤害、安全事故，由承包人负责。</w:t>
      </w:r>
    </w:p>
    <w:p>
      <w:pPr>
        <w:pStyle w:val="6"/>
        <w:numPr>
          <w:ilvl w:val="1"/>
          <w:numId w:val="12"/>
        </w:numPr>
      </w:pPr>
      <w:r>
        <w:rPr>
          <w:rFonts w:hint="eastAsia"/>
        </w:rPr>
        <w:t>职业健康和环境保护保证</w:t>
      </w:r>
    </w:p>
    <w:p>
      <w:pPr>
        <w:pStyle w:val="2"/>
      </w:pPr>
      <w:r>
        <w:rPr>
          <w:rFonts w:hint="eastAsia"/>
        </w:rPr>
        <w:t>3.5.1 工程设计</w:t>
      </w:r>
    </w:p>
    <w:p>
      <w:pPr>
        <w:pStyle w:val="2"/>
      </w:pPr>
      <w:r>
        <w:rPr>
          <w:rFonts w:hint="eastAsia"/>
        </w:rPr>
        <w:t>承包人应按照合同约定，并遵照《建设工程勘察设计管理条例》、《建设工程 环境保护条例》及其</w:t>
      </w:r>
    </w:p>
    <w:p>
      <w:pPr>
        <w:pStyle w:val="2"/>
        <w:ind w:left="0"/>
      </w:pPr>
      <w:r>
        <w:rPr>
          <w:rFonts w:hint="eastAsia"/>
        </w:rPr>
        <w:t>它相关法律规定进行工程的环境保护设计及职业健康防护设计，保证工程符合环境保护和职业健康相关法律和标准规定。</w:t>
      </w:r>
    </w:p>
    <w:p>
      <w:pPr>
        <w:pStyle w:val="2"/>
      </w:pPr>
      <w:r>
        <w:rPr>
          <w:rFonts w:hint="eastAsia"/>
        </w:rPr>
        <w:t>3.5.2 职业健康和环境保护</w:t>
      </w:r>
    </w:p>
    <w:p>
      <w:pPr>
        <w:pStyle w:val="2"/>
      </w:pPr>
      <w:r>
        <w:rPr>
          <w:rFonts w:hint="eastAsia"/>
        </w:rPr>
        <w:t>承包人应遵守7.8款职业健康、安全和环境保护的约定。</w:t>
      </w:r>
    </w:p>
    <w:p>
      <w:pPr>
        <w:pStyle w:val="6"/>
        <w:numPr>
          <w:ilvl w:val="1"/>
          <w:numId w:val="12"/>
        </w:numPr>
      </w:pPr>
      <w:r>
        <w:rPr>
          <w:rFonts w:hint="eastAsia"/>
        </w:rPr>
        <w:t>进度保证</w:t>
      </w:r>
    </w:p>
    <w:p>
      <w:pPr>
        <w:pStyle w:val="2"/>
      </w:pPr>
      <w:r>
        <w:rPr>
          <w:rFonts w:hint="eastAsia"/>
        </w:rPr>
        <w:t>承包人按4.1款约定的项目进度计划，合理有序地组织设计、釆购、施工、竣工试验所需要的各类</w:t>
      </w:r>
    </w:p>
    <w:p>
      <w:pPr>
        <w:pStyle w:val="2"/>
        <w:ind w:left="0"/>
      </w:pPr>
      <w:r>
        <w:rPr>
          <w:rFonts w:hint="eastAsia"/>
        </w:rPr>
        <w:t>资源，以及派出有经验的竣工后试验的指导人员，釆用有 效的实施方法和组织措施，保证项目进度计划的实现。</w:t>
      </w:r>
    </w:p>
    <w:p>
      <w:pPr>
        <w:pStyle w:val="6"/>
        <w:numPr>
          <w:ilvl w:val="1"/>
          <w:numId w:val="12"/>
        </w:numPr>
      </w:pPr>
      <w:r>
        <w:rPr>
          <w:rFonts w:hint="eastAsia"/>
        </w:rPr>
        <w:t>现场保安</w:t>
      </w:r>
    </w:p>
    <w:p>
      <w:pPr>
        <w:pStyle w:val="2"/>
      </w:pPr>
      <w:r>
        <w:rPr>
          <w:rFonts w:hint="eastAsia"/>
        </w:rPr>
        <w:t>承包人承担其进入现场、施工开工至发包人接收单项工程或（和）工程之前的现场保安责任（含承</w:t>
      </w:r>
    </w:p>
    <w:p>
      <w:pPr>
        <w:pStyle w:val="2"/>
        <w:ind w:left="0"/>
      </w:pPr>
      <w:r>
        <w:rPr>
          <w:rFonts w:hint="eastAsia"/>
        </w:rPr>
        <w:t>包人的预制加工场地、办公及生活营区），并负责编制相 关的保安制度、责任制度和报告制度，提交给发包人。</w:t>
      </w:r>
    </w:p>
    <w:p>
      <w:pPr>
        <w:pStyle w:val="6"/>
        <w:numPr>
          <w:ilvl w:val="1"/>
          <w:numId w:val="12"/>
        </w:numPr>
      </w:pPr>
      <w:r>
        <w:rPr>
          <w:rFonts w:hint="eastAsia"/>
        </w:rPr>
        <w:t>分包</w:t>
      </w:r>
    </w:p>
    <w:p>
      <w:pPr>
        <w:pStyle w:val="2"/>
      </w:pPr>
      <w:r>
        <w:rPr>
          <w:rFonts w:hint="eastAsia"/>
        </w:rPr>
        <w:t>3.8.1 分包约定</w:t>
      </w:r>
    </w:p>
    <w:p>
      <w:pPr>
        <w:pStyle w:val="2"/>
      </w:pPr>
      <w:r>
        <w:rPr>
          <w:rFonts w:hint="eastAsia"/>
        </w:rPr>
        <w:t>承包人只能对专用条款约定列出的工作事项（含设计、釆购、施工、劳务服 务、竣工试验等）进</w:t>
      </w:r>
    </w:p>
    <w:p>
      <w:pPr>
        <w:pStyle w:val="2"/>
        <w:ind w:left="0"/>
      </w:pPr>
      <w:r>
        <w:rPr>
          <w:rFonts w:hint="eastAsia"/>
        </w:rPr>
        <w:t>行分包。</w:t>
      </w:r>
    </w:p>
    <w:p>
      <w:pPr>
        <w:pStyle w:val="2"/>
      </w:pPr>
      <w:r>
        <w:rPr>
          <w:rFonts w:hint="eastAsia"/>
        </w:rPr>
        <w:t>专用条款未列出的分包事项，承包人可在工程实施阶段分批分期就分包事项 向发包人提交申请，</w:t>
      </w:r>
    </w:p>
    <w:p>
      <w:pPr>
        <w:pStyle w:val="2"/>
        <w:ind w:left="0"/>
      </w:pPr>
      <w:r>
        <w:rPr>
          <w:rFonts w:hint="eastAsia"/>
        </w:rPr>
        <w:t>发包人在接到分包事项申请后的15日内，予以批准或提出 意见。发包人未能在15日批准亦未提出意见的，承包人有权在提交该分包事项 后的第16日开始，将提出的拟分包事项对外分包。</w:t>
      </w:r>
    </w:p>
    <w:p>
      <w:pPr>
        <w:pStyle w:val="2"/>
      </w:pPr>
      <w:r>
        <w:rPr>
          <w:rFonts w:hint="eastAsia"/>
        </w:rPr>
        <w:t>3.8.2 分包人资质</w:t>
      </w:r>
    </w:p>
    <w:p>
      <w:pPr>
        <w:pStyle w:val="2"/>
      </w:pPr>
      <w:r>
        <w:rPr>
          <w:rFonts w:hint="eastAsia"/>
        </w:rPr>
        <w:t>分包人应符合国家法律规定的企业资质等级，否则不能作为分包人。承包人 有义务对分包人的资</w:t>
      </w:r>
    </w:p>
    <w:p>
      <w:pPr>
        <w:pStyle w:val="2"/>
        <w:ind w:left="0"/>
      </w:pPr>
      <w:r>
        <w:rPr>
          <w:rFonts w:hint="eastAsia"/>
        </w:rPr>
        <w:t>质进行审査。</w:t>
      </w:r>
    </w:p>
    <w:p>
      <w:pPr>
        <w:pStyle w:val="2"/>
      </w:pPr>
      <w:r>
        <w:rPr>
          <w:rFonts w:hint="eastAsia"/>
        </w:rPr>
        <w:t>3.8.3 承包人不得将承包的工程对外转包，也不得以肢解方式将承包的全部工程对外分包。</w:t>
      </w:r>
    </w:p>
    <w:p>
      <w:pPr>
        <w:pStyle w:val="2"/>
      </w:pPr>
      <w:r>
        <w:rPr>
          <w:rFonts w:hint="eastAsia"/>
        </w:rPr>
        <w:t>3.8.4 设计、施工和工程物资等分包人，应严格执行国家有关分包事项的管理规定。</w:t>
      </w:r>
    </w:p>
    <w:p>
      <w:pPr>
        <w:pStyle w:val="2"/>
      </w:pPr>
      <w:r>
        <w:rPr>
          <w:rFonts w:hint="eastAsia"/>
        </w:rPr>
        <w:t>3.8.5 对分包人的付款</w:t>
      </w:r>
    </w:p>
    <w:p>
      <w:pPr>
        <w:pStyle w:val="2"/>
      </w:pPr>
      <w:r>
        <w:rPr>
          <w:rFonts w:hint="eastAsia"/>
        </w:rPr>
        <w:t>承包人应按分包合同约定，按时向分包人支付合同价款。除非专用条款另有约定外，未经承包人同</w:t>
      </w:r>
    </w:p>
    <w:p>
      <w:pPr>
        <w:pStyle w:val="2"/>
        <w:ind w:left="0"/>
      </w:pPr>
      <w:r>
        <w:rPr>
          <w:rFonts w:hint="eastAsia"/>
        </w:rPr>
        <w:t>意，发包人不得以任何形式向分包人支付任何款项。</w:t>
      </w:r>
    </w:p>
    <w:p>
      <w:pPr>
        <w:pStyle w:val="2"/>
      </w:pPr>
      <w:r>
        <w:rPr>
          <w:rFonts w:hint="eastAsia"/>
        </w:rPr>
        <w:t>3.8.6 承包人对发包人负责</w:t>
      </w:r>
    </w:p>
    <w:p>
      <w:pPr>
        <w:pStyle w:val="2"/>
      </w:pPr>
      <w:r>
        <w:rPr>
          <w:rFonts w:hint="eastAsia"/>
        </w:rPr>
        <w:t>承包人对分包人的行为向发包人负责，承包人和分包人就分包工作向发包人承担连带责任。</w:t>
      </w:r>
    </w:p>
    <w:p>
      <w:pPr>
        <w:pStyle w:val="5"/>
        <w:numPr>
          <w:ilvl w:val="0"/>
          <w:numId w:val="12"/>
        </w:numPr>
      </w:pPr>
      <w:r>
        <w:rPr>
          <w:rFonts w:hint="eastAsia"/>
        </w:rPr>
        <w:t>进度计划、延误和暂停</w:t>
      </w:r>
    </w:p>
    <w:p>
      <w:pPr>
        <w:pStyle w:val="6"/>
        <w:numPr>
          <w:ilvl w:val="1"/>
          <w:numId w:val="12"/>
        </w:numPr>
      </w:pPr>
      <w:r>
        <w:rPr>
          <w:rFonts w:hint="eastAsia"/>
        </w:rPr>
        <w:t>项目进度计划</w:t>
      </w:r>
    </w:p>
    <w:p>
      <w:pPr>
        <w:pStyle w:val="2"/>
      </w:pPr>
      <w:r>
        <w:rPr>
          <w:rFonts w:hint="eastAsia"/>
        </w:rPr>
        <w:t>4.1.1 项目进度计划</w:t>
      </w:r>
    </w:p>
    <w:p>
      <w:pPr>
        <w:pStyle w:val="2"/>
      </w:pPr>
      <w:r>
        <w:rPr>
          <w:rFonts w:hint="eastAsia"/>
        </w:rPr>
        <w:t>承包人负责编制项目进度计划，项目进度计划中的施工期限（含竣工试验），应符合合同协议书的</w:t>
      </w:r>
    </w:p>
    <w:p>
      <w:pPr>
        <w:pStyle w:val="2"/>
        <w:ind w:left="0"/>
      </w:pPr>
      <w:r>
        <w:rPr>
          <w:rFonts w:hint="eastAsia"/>
        </w:rPr>
        <w:t>约定。关键路径及关键路径变化的确定原则、承包人提交项目进度计划的份数和时间，在专用条款约定。</w:t>
      </w:r>
    </w:p>
    <w:p>
      <w:pPr>
        <w:pStyle w:val="2"/>
      </w:pPr>
      <w:r>
        <w:rPr>
          <w:rFonts w:hint="eastAsia"/>
        </w:rPr>
        <w:t>项目进度计划经发包人批准后实施，但发包人的批准并不能减轻或免除承包人的合同责任。</w:t>
      </w:r>
    </w:p>
    <w:p>
      <w:pPr>
        <w:pStyle w:val="2"/>
      </w:pPr>
      <w:r>
        <w:rPr>
          <w:rFonts w:hint="eastAsia"/>
        </w:rPr>
        <w:t>4.1.2 自费赶上项目进度计划</w:t>
      </w:r>
    </w:p>
    <w:p>
      <w:pPr>
        <w:pStyle w:val="2"/>
      </w:pPr>
      <w:r>
        <w:rPr>
          <w:rFonts w:hint="eastAsia"/>
        </w:rPr>
        <w:t>因承包人原因使工程实际进度明显落后于项目进度计划时，承包人有义务、发包人也有权利要求</w:t>
      </w:r>
    </w:p>
    <w:p>
      <w:pPr>
        <w:pStyle w:val="2"/>
        <w:ind w:left="0"/>
      </w:pPr>
      <w:r>
        <w:rPr>
          <w:rFonts w:hint="eastAsia"/>
        </w:rPr>
        <w:t>承包人自费釆取措施，赶上项目进度计划。</w:t>
      </w:r>
    </w:p>
    <w:p>
      <w:pPr>
        <w:pStyle w:val="2"/>
      </w:pPr>
      <w:r>
        <w:rPr>
          <w:rFonts w:hint="eastAsia"/>
        </w:rPr>
        <w:t>4.1.3 项目进度计划的调整</w:t>
      </w:r>
    </w:p>
    <w:p>
      <w:pPr>
        <w:pStyle w:val="2"/>
      </w:pPr>
      <w:r>
        <w:rPr>
          <w:rFonts w:hint="eastAsia"/>
        </w:rPr>
        <w:t>出现下列情况，竣工日期相应顺延，并对项目进度计划进行调整：</w:t>
      </w:r>
    </w:p>
    <w:p>
      <w:pPr>
        <w:pStyle w:val="2"/>
        <w:numPr>
          <w:ilvl w:val="0"/>
          <w:numId w:val="13"/>
        </w:numPr>
      </w:pPr>
      <w:r>
        <w:rPr>
          <w:rFonts w:hint="eastAsia"/>
        </w:rPr>
        <w:t>发包人根据5.2.1款提供的项目基础资料和现场障碍资料不真实、不准确、不齐全、不及时，</w:t>
      </w:r>
    </w:p>
    <w:p>
      <w:pPr>
        <w:pStyle w:val="2"/>
        <w:ind w:left="0"/>
      </w:pPr>
      <w:r>
        <w:rPr>
          <w:rFonts w:hint="eastAsia"/>
        </w:rPr>
        <w:t>或未能按14.3.1款约定的预付款金额和（或）14.3.2款约定的预付款时间付款，导致422款约定的设计开工日期延误，或4.3.2款约定的 采购开始日期延误，或造成4.4.2款施工开工日期延误的。</w:t>
      </w:r>
    </w:p>
    <w:p>
      <w:pPr>
        <w:pStyle w:val="2"/>
      </w:pPr>
      <w:r>
        <w:rPr>
          <w:rFonts w:hint="eastAsia"/>
        </w:rPr>
        <w:t>（2）根据4.2.4款第（2）项的约定，因发包人原因，导致某个设计阶段审核会议时间的延误。</w:t>
      </w:r>
    </w:p>
    <w:p>
      <w:pPr>
        <w:pStyle w:val="2"/>
      </w:pPr>
      <w:r>
        <w:rPr>
          <w:rFonts w:hint="eastAsia"/>
        </w:rPr>
        <w:t>（3）根据4.2.4款第（3）项的约定，相关设计审查部门批准时间较合同约定的时间延长的。</w:t>
      </w:r>
    </w:p>
    <w:p>
      <w:pPr>
        <w:pStyle w:val="2"/>
      </w:pPr>
      <w:r>
        <w:rPr>
          <w:rFonts w:hint="eastAsia"/>
        </w:rPr>
        <w:t>（4）合同约定的其它可延长竣工日期的情况。</w:t>
      </w:r>
    </w:p>
    <w:p>
      <w:pPr>
        <w:pStyle w:val="2"/>
      </w:pPr>
      <w:r>
        <w:rPr>
          <w:rFonts w:hint="eastAsia"/>
        </w:rPr>
        <w:t>4.1.4发包人的赶工要求</w:t>
      </w:r>
    </w:p>
    <w:p>
      <w:pPr>
        <w:pStyle w:val="2"/>
      </w:pPr>
      <w:r>
        <w:rPr>
          <w:rFonts w:hint="eastAsia"/>
        </w:rPr>
        <w:t>合同实施过程中发包人书面提出加快设计、釆购、施工、竣工试验的赶工要求，被承包人接受时，</w:t>
      </w:r>
    </w:p>
    <w:p>
      <w:pPr>
        <w:pStyle w:val="2"/>
        <w:ind w:left="0"/>
      </w:pPr>
      <w:r>
        <w:rPr>
          <w:rFonts w:hint="eastAsia"/>
        </w:rPr>
        <w:t>承包人应提交赶工方案，釆取赶工措施。因赶工引起的费用增加，按13.2.4款的变更约定执行。</w:t>
      </w:r>
    </w:p>
    <w:p>
      <w:pPr>
        <w:pStyle w:val="6"/>
        <w:numPr>
          <w:ilvl w:val="1"/>
          <w:numId w:val="12"/>
        </w:numPr>
      </w:pPr>
      <w:r>
        <w:rPr>
          <w:rFonts w:hint="eastAsia"/>
        </w:rPr>
        <w:t>设计进度计划</w:t>
      </w:r>
    </w:p>
    <w:p>
      <w:pPr>
        <w:pStyle w:val="2"/>
      </w:pPr>
      <w:r>
        <w:rPr>
          <w:rFonts w:hint="eastAsia"/>
        </w:rPr>
        <w:t>4.2.1 设计进度计划</w:t>
      </w:r>
    </w:p>
    <w:p>
      <w:pPr>
        <w:pStyle w:val="2"/>
      </w:pPr>
      <w:r>
        <w:rPr>
          <w:rFonts w:hint="eastAsia"/>
        </w:rPr>
        <w:t>承包人根据批准的项目进度计划和5.3.1款约定的设计审査阶段及发包人组织的设计阶段审查会议</w:t>
      </w:r>
    </w:p>
    <w:p>
      <w:pPr>
        <w:pStyle w:val="2"/>
        <w:ind w:left="0"/>
      </w:pPr>
      <w:r>
        <w:rPr>
          <w:rFonts w:hint="eastAsia"/>
        </w:rPr>
        <w:t>的时间安排，编制设计进度计划。设计进度计划经发包人认可后执行。发包人的认可并不能减轻或免除承包人的合同责任。</w:t>
      </w:r>
    </w:p>
    <w:p>
      <w:pPr>
        <w:pStyle w:val="2"/>
      </w:pPr>
      <w:r>
        <w:rPr>
          <w:rFonts w:hint="eastAsia"/>
        </w:rPr>
        <w:t>4.2.2 设计开工日期</w:t>
      </w:r>
    </w:p>
    <w:p>
      <w:pPr>
        <w:pStyle w:val="2"/>
      </w:pPr>
      <w:r>
        <w:rPr>
          <w:rFonts w:hint="eastAsia"/>
        </w:rPr>
        <w:t>承包人收到发包人按5.2.1款提供的项目基础资料、现场障碍资料，及14.3.2 款的预付款收到后</w:t>
      </w:r>
    </w:p>
    <w:p>
      <w:pPr>
        <w:pStyle w:val="2"/>
        <w:ind w:left="0"/>
      </w:pPr>
      <w:r>
        <w:rPr>
          <w:rFonts w:hint="eastAsia"/>
        </w:rPr>
        <w:t>的第5 S,作为设计开工日期。</w:t>
      </w:r>
    </w:p>
    <w:p>
      <w:pPr>
        <w:pStyle w:val="2"/>
      </w:pPr>
      <w:r>
        <w:rPr>
          <w:rFonts w:hint="eastAsia"/>
        </w:rPr>
        <w:t>4.2.3 设计开工日期延误</w:t>
      </w:r>
    </w:p>
    <w:p>
      <w:pPr>
        <w:pStyle w:val="2"/>
      </w:pPr>
      <w:r>
        <w:rPr>
          <w:rFonts w:hint="eastAsia"/>
        </w:rPr>
        <w:t>因发包人未能按5.2.1款的约定提供设计基础资料、现场障碍资料等相关资料、或未按14.3.1款</w:t>
      </w:r>
    </w:p>
    <w:p>
      <w:pPr>
        <w:pStyle w:val="2"/>
        <w:ind w:left="0"/>
      </w:pPr>
      <w:r>
        <w:rPr>
          <w:rFonts w:hint="eastAsia"/>
        </w:rPr>
        <w:t>和14.3.2款约定的预付款金额和支付时间支付预付款，造成设计开工日期延误的，设计开工日期和工程竣工日期相应顺延；因承包人原因造成设计开工日期延误的，按4.1.2款的约定，自费赶上。因发包人原因给承包人造成经济损失的，应支付相应费用。</w:t>
      </w:r>
    </w:p>
    <w:p>
      <w:pPr>
        <w:pStyle w:val="2"/>
      </w:pPr>
      <w:r>
        <w:rPr>
          <w:rFonts w:hint="eastAsia"/>
        </w:rPr>
        <w:t>4.2.4 设计阶段审査日期的延误</w:t>
      </w:r>
    </w:p>
    <w:p>
      <w:pPr>
        <w:pStyle w:val="2"/>
        <w:numPr>
          <w:ilvl w:val="0"/>
          <w:numId w:val="14"/>
        </w:numPr>
      </w:pPr>
      <w:r>
        <w:rPr>
          <w:rFonts w:hint="eastAsia"/>
        </w:rPr>
        <w:t>因承包人原因，未能按照合同约定的设计审查阶段及其审査会议的时间安排提交相关阶段的</w:t>
      </w:r>
    </w:p>
    <w:p>
      <w:pPr>
        <w:pStyle w:val="2"/>
        <w:ind w:left="0"/>
      </w:pPr>
      <w:r>
        <w:rPr>
          <w:rFonts w:hint="eastAsia"/>
        </w:rPr>
        <w:t>设计文件、或提交的相关设计文件不符合相关审核阶段的设计深度要求时，造成设计审査会议延误的，由承包人依据4.1.2款的约定，自费釆取措施赶上；造成关键路径延误，或给发包人造成损失(审核会议准备费用)的，由承包人承担。</w:t>
      </w:r>
    </w:p>
    <w:p>
      <w:pPr>
        <w:pStyle w:val="2"/>
        <w:numPr>
          <w:ilvl w:val="0"/>
          <w:numId w:val="14"/>
        </w:numPr>
      </w:pPr>
      <w:r>
        <w:rPr>
          <w:rFonts w:hint="eastAsia"/>
        </w:rPr>
        <w:t>因发包人原因，未能遵守合同约定的设计阶段审査会议的时间安排，造成某个设计阶段审査</w:t>
      </w:r>
    </w:p>
    <w:p>
      <w:pPr>
        <w:pStyle w:val="2"/>
        <w:ind w:left="0"/>
      </w:pPr>
      <w:r>
        <w:rPr>
          <w:rFonts w:hint="eastAsia"/>
        </w:rPr>
        <w:t>会议延误的，竣工日期相应顺延。因此给承包人带来的窝工损失，由发包人承担。</w:t>
      </w:r>
    </w:p>
    <w:p>
      <w:pPr>
        <w:pStyle w:val="2"/>
        <w:numPr>
          <w:ilvl w:val="0"/>
          <w:numId w:val="14"/>
        </w:numPr>
      </w:pPr>
      <w:r>
        <w:rPr>
          <w:rFonts w:hint="eastAsia"/>
        </w:rPr>
        <w:t>政府相关设计审査部门批准时间较合同约定时间延长的，竣工日期相应顺延。因此给双方带</w:t>
      </w:r>
    </w:p>
    <w:p>
      <w:pPr>
        <w:pStyle w:val="2"/>
        <w:ind w:left="0"/>
      </w:pPr>
      <w:r>
        <w:rPr>
          <w:rFonts w:hint="eastAsia"/>
        </w:rPr>
        <w:t>来的费用增加，由双方各自承担。</w:t>
      </w:r>
    </w:p>
    <w:p>
      <w:pPr>
        <w:pStyle w:val="6"/>
        <w:numPr>
          <w:ilvl w:val="1"/>
          <w:numId w:val="12"/>
        </w:numPr>
      </w:pPr>
      <w:r>
        <w:rPr>
          <w:rFonts w:hint="eastAsia"/>
        </w:rPr>
        <w:t>釆购进度计划</w:t>
      </w:r>
    </w:p>
    <w:p>
      <w:pPr>
        <w:pStyle w:val="2"/>
      </w:pPr>
      <w:r>
        <w:rPr>
          <w:rFonts w:hint="eastAsia"/>
        </w:rPr>
        <w:t>4.3.1 釆购进度计划</w:t>
      </w:r>
    </w:p>
    <w:p>
      <w:pPr>
        <w:pStyle w:val="2"/>
      </w:pPr>
      <w:r>
        <w:rPr>
          <w:rFonts w:hint="eastAsia"/>
        </w:rPr>
        <w:t>承包人的采购进度计划应符合项目进度计划的时间安排，并与设计、施工和 (或)竣工试验及竣工</w:t>
      </w:r>
    </w:p>
    <w:p>
      <w:pPr>
        <w:pStyle w:val="2"/>
        <w:ind w:left="0"/>
      </w:pPr>
      <w:r>
        <w:rPr>
          <w:rFonts w:hint="eastAsia"/>
        </w:rPr>
        <w:t>后试验的进度计划相衔接。釆购进度计划的提交份数和日期，在专用条款约定。</w:t>
      </w:r>
    </w:p>
    <w:p>
      <w:pPr>
        <w:pStyle w:val="2"/>
      </w:pPr>
      <w:r>
        <w:rPr>
          <w:rFonts w:hint="eastAsia"/>
        </w:rPr>
        <w:t>4.3.2 釆购开始日期</w:t>
      </w:r>
    </w:p>
    <w:p>
      <w:pPr>
        <w:pStyle w:val="2"/>
      </w:pPr>
      <w:r>
        <w:rPr>
          <w:rFonts w:hint="eastAsia"/>
        </w:rPr>
        <w:t>釆购开始日期在专用条款约定。</w:t>
      </w:r>
    </w:p>
    <w:p>
      <w:pPr>
        <w:pStyle w:val="2"/>
      </w:pPr>
      <w:r>
        <w:rPr>
          <w:rFonts w:hint="eastAsia"/>
        </w:rPr>
        <w:t>4.3.3 釆购进度延误</w:t>
      </w:r>
    </w:p>
    <w:p>
      <w:pPr>
        <w:pStyle w:val="2"/>
      </w:pPr>
      <w:r>
        <w:rPr>
          <w:rFonts w:hint="eastAsia"/>
        </w:rPr>
        <w:t>因承包人的原因导致釆购延误，造成的停工、窝工损失和竣工日期延误，由承包人负责。因发包人</w:t>
      </w:r>
    </w:p>
    <w:p>
      <w:pPr>
        <w:pStyle w:val="2"/>
        <w:ind w:left="0"/>
      </w:pPr>
      <w:r>
        <w:rPr>
          <w:rFonts w:hint="eastAsia"/>
        </w:rPr>
        <w:t>原因导致釆购延误，给承包人造成的停工、窝工损失，由发包人承担，若造成关键路径延误，竣工日期相应顺延。</w:t>
      </w:r>
    </w:p>
    <w:p>
      <w:pPr>
        <w:pStyle w:val="6"/>
        <w:numPr>
          <w:ilvl w:val="1"/>
          <w:numId w:val="12"/>
        </w:numPr>
      </w:pPr>
      <w:r>
        <w:rPr>
          <w:rFonts w:hint="eastAsia"/>
        </w:rPr>
        <w:t>施工进度计划</w:t>
      </w:r>
    </w:p>
    <w:p>
      <w:pPr>
        <w:pStyle w:val="2"/>
      </w:pPr>
      <w:r>
        <w:rPr>
          <w:rFonts w:hint="eastAsia"/>
        </w:rPr>
        <w:t>4.4.1 施工进度计划</w:t>
      </w:r>
    </w:p>
    <w:p>
      <w:pPr>
        <w:pStyle w:val="2"/>
      </w:pPr>
      <w:r>
        <w:rPr>
          <w:rFonts w:hint="eastAsia"/>
        </w:rPr>
        <w:t>承包人应在现场施工开工15日前向发包人提交一份包括施工进度计划在内的总体施工组织设计。</w:t>
      </w:r>
    </w:p>
    <w:p>
      <w:pPr>
        <w:pStyle w:val="2"/>
        <w:ind w:left="0"/>
      </w:pPr>
      <w:r>
        <w:rPr>
          <w:rFonts w:hint="eastAsia"/>
        </w:rPr>
        <w:t>施工进度计划的开竣工时间，应符合合同协议书对施工开工和工程竣工日期的约定，并与项目进度计划的安排协调一致。发包人需承包人提交关键单项工程或（和）关键分部分项工程施工进度计划的，在专用条款中约定提交的份数和时间。</w:t>
      </w:r>
    </w:p>
    <w:p>
      <w:pPr>
        <w:pStyle w:val="2"/>
      </w:pPr>
      <w:r>
        <w:rPr>
          <w:rFonts w:hint="eastAsia"/>
        </w:rPr>
        <w:t>4.4.2 施工开工日期延误</w:t>
      </w:r>
    </w:p>
    <w:p>
      <w:pPr>
        <w:pStyle w:val="2"/>
      </w:pPr>
      <w:r>
        <w:rPr>
          <w:rFonts w:hint="eastAsia"/>
        </w:rPr>
        <w:t>施工开工日期延误的，根据下列约定确定延长竣工日期：</w:t>
      </w:r>
    </w:p>
    <w:p>
      <w:pPr>
        <w:pStyle w:val="2"/>
        <w:numPr>
          <w:ilvl w:val="0"/>
          <w:numId w:val="15"/>
        </w:numPr>
      </w:pPr>
      <w:r>
        <w:rPr>
          <w:rFonts w:hint="eastAsia"/>
        </w:rPr>
        <w:t>因发包人原因造成承包人不能按时开工的，开竣工日期相应顺延。给承包人造成经济损失的</w:t>
      </w:r>
    </w:p>
    <w:p>
      <w:pPr>
        <w:pStyle w:val="2"/>
        <w:ind w:left="0"/>
      </w:pPr>
      <w:r>
        <w:rPr>
          <w:rFonts w:hint="eastAsia"/>
        </w:rPr>
        <w:t>应支付相应费用。</w:t>
      </w:r>
    </w:p>
    <w:p>
      <w:pPr>
        <w:pStyle w:val="2"/>
        <w:numPr>
          <w:ilvl w:val="0"/>
          <w:numId w:val="15"/>
        </w:numPr>
      </w:pPr>
      <w:r>
        <w:rPr>
          <w:rFonts w:hint="eastAsia"/>
        </w:rPr>
        <w:t>因承包人原因不能按时开工的，需说明正当理由，自费釆取措施及早开工，竣工日期不予延</w:t>
      </w:r>
    </w:p>
    <w:p>
      <w:pPr>
        <w:pStyle w:val="2"/>
        <w:ind w:left="0"/>
      </w:pPr>
      <w:r>
        <w:rPr>
          <w:rFonts w:hint="eastAsia"/>
        </w:rPr>
        <w:t>长。</w:t>
      </w:r>
    </w:p>
    <w:p>
      <w:pPr>
        <w:pStyle w:val="2"/>
      </w:pPr>
      <w:r>
        <w:rPr>
          <w:rFonts w:hint="eastAsia"/>
        </w:rPr>
        <w:t>（3）因不可抗力造成施工开工日期延误的，竣工日期相应顺延。</w:t>
      </w:r>
    </w:p>
    <w:p>
      <w:pPr>
        <w:pStyle w:val="2"/>
      </w:pPr>
      <w:r>
        <w:rPr>
          <w:rFonts w:hint="eastAsia"/>
        </w:rPr>
        <w:t>4.4.3竣工日期</w:t>
      </w:r>
    </w:p>
    <w:p>
      <w:pPr>
        <w:pStyle w:val="2"/>
      </w:pPr>
      <w:r>
        <w:rPr>
          <w:rFonts w:hint="eastAsia"/>
        </w:rPr>
        <w:t>（1）承包项目的实施阶段含竣工试验阶段时，按以下方式确定计划竣工日期和实际竣工日期：</w:t>
      </w:r>
    </w:p>
    <w:p>
      <w:pPr>
        <w:pStyle w:val="2"/>
        <w:ind w:firstLine="440" w:firstLineChars="200"/>
      </w:pPr>
      <w:r>
        <w:rPr>
          <w:rFonts w:hint="eastAsia"/>
        </w:rPr>
        <w:t>1）根据专用条款（9.1款工程接收）约定的单项工程竣工日期，为单项工程的计划竣工日期；工程中最后一个单项工程的计划竣工日期，为工程的计划竣工日期；</w:t>
      </w:r>
    </w:p>
    <w:p>
      <w:pPr>
        <w:pStyle w:val="2"/>
        <w:ind w:firstLine="440" w:firstLineChars="200"/>
      </w:pPr>
      <w:r>
        <w:rPr>
          <w:rFonts w:hint="eastAsia"/>
        </w:rPr>
        <w:t>2）单项工程中最后一项竣工试验通过的日期，为该单项工程的实际竣工日期；</w:t>
      </w:r>
    </w:p>
    <w:p>
      <w:pPr>
        <w:pStyle w:val="2"/>
        <w:ind w:firstLine="440" w:firstLineChars="200"/>
      </w:pPr>
      <w:r>
        <w:rPr>
          <w:rFonts w:hint="eastAsia"/>
        </w:rPr>
        <w:t>3）工程中最后一个单项工程通过竣工试验的日期，为工程的实际竣工日期。</w:t>
      </w:r>
    </w:p>
    <w:p>
      <w:pPr>
        <w:pStyle w:val="2"/>
      </w:pPr>
      <w:r>
        <w:rPr>
          <w:rFonts w:hint="eastAsia"/>
        </w:rPr>
        <w:t>（2）承包项目的实施阶段不含竣工试验阶段时，按以下方式确定计划竣工日期和实际竣工日期：</w:t>
      </w:r>
    </w:p>
    <w:p>
      <w:pPr>
        <w:pStyle w:val="2"/>
        <w:ind w:firstLine="440" w:firstLineChars="200"/>
      </w:pPr>
      <w:r>
        <w:rPr>
          <w:rFonts w:hint="eastAsia"/>
        </w:rPr>
        <w:t>1）根据专用条款（9.1款工程接收）中所约定的单项工程竣工日期，为单项工程的计划竣工日期；工程中最后一个单项工程的计划竣工日期，为工程的计划竣工日期；</w:t>
      </w:r>
    </w:p>
    <w:p>
      <w:pPr>
        <w:pStyle w:val="2"/>
        <w:ind w:firstLine="440" w:firstLineChars="200"/>
      </w:pPr>
      <w:r>
        <w:rPr>
          <w:rFonts w:hint="eastAsia"/>
        </w:rPr>
        <w:t>2）承包人按合同约定，完成施工图纸规定的单项工程中的全部施工作业，且符合合同约定的质量标准的日期，为单项工程的实际竣工日期；</w:t>
      </w:r>
    </w:p>
    <w:p>
      <w:pPr>
        <w:pStyle w:val="2"/>
        <w:ind w:firstLine="440" w:firstLineChars="200"/>
      </w:pPr>
      <w:r>
        <w:rPr>
          <w:rFonts w:hint="eastAsia"/>
        </w:rPr>
        <w:t>3）承包人按合同约定，完成施工图纸规定的工程中最后一个单项工程的全部施工作业，且符合合同约定的质量标准的日期，为工程的实际竣工日期。</w:t>
      </w:r>
    </w:p>
    <w:p>
      <w:pPr>
        <w:pStyle w:val="2"/>
      </w:pPr>
      <w:r>
        <w:rPr>
          <w:rFonts w:hint="eastAsia"/>
        </w:rPr>
        <w:t>（3）承包人为竣工试验、或竣工后试验预留的施工部位、或发包人要求预 留的施工部位、不影响发包人实质操作使用的未完扫尾工程和缺陷修复，不影响竣工日期的确定。</w:t>
      </w:r>
    </w:p>
    <w:p>
      <w:pPr>
        <w:pStyle w:val="6"/>
        <w:numPr>
          <w:ilvl w:val="1"/>
          <w:numId w:val="12"/>
        </w:numPr>
      </w:pPr>
      <w:r>
        <w:rPr>
          <w:rFonts w:hint="eastAsia"/>
        </w:rPr>
        <w:t>误期损害赔偿</w:t>
      </w:r>
    </w:p>
    <w:p>
      <w:pPr>
        <w:pStyle w:val="2"/>
      </w:pPr>
      <w:r>
        <w:rPr>
          <w:rFonts w:hint="eastAsia"/>
        </w:rPr>
        <w:t>因承包人原因，造成工程竣工日期延误的，由承包人承担误期损害赔偿责任。每日延误的赔偿金额，</w:t>
      </w:r>
    </w:p>
    <w:p>
      <w:pPr>
        <w:pStyle w:val="2"/>
        <w:ind w:left="0"/>
      </w:pPr>
      <w:r>
        <w:rPr>
          <w:rFonts w:hint="eastAsia"/>
        </w:rPr>
        <w:t>及累计的最高赔偿金额在专用条款中约定。发包人有权从工程进度款、竣工结算款或约定提交的履约保函中扣除赔偿金额。</w:t>
      </w:r>
    </w:p>
    <w:p>
      <w:pPr>
        <w:pStyle w:val="6"/>
        <w:numPr>
          <w:ilvl w:val="1"/>
          <w:numId w:val="12"/>
        </w:numPr>
      </w:pPr>
      <w:r>
        <w:rPr>
          <w:rFonts w:hint="eastAsia"/>
        </w:rPr>
        <w:t>暂停</w:t>
      </w:r>
    </w:p>
    <w:p>
      <w:pPr>
        <w:pStyle w:val="2"/>
      </w:pPr>
      <w:r>
        <w:rPr>
          <w:rFonts w:hint="eastAsia"/>
        </w:rPr>
        <w:t>4.6.1 因发包人原因的暂停</w:t>
      </w:r>
    </w:p>
    <w:p>
      <w:pPr>
        <w:pStyle w:val="2"/>
      </w:pPr>
      <w:r>
        <w:rPr>
          <w:rFonts w:hint="eastAsia"/>
        </w:rPr>
        <w:t>因发包人原因通知的暂停，应列明暂停的日期及预计暂停的期限。双方应遵守2.1.5款和3.1.4</w:t>
      </w:r>
    </w:p>
    <w:p>
      <w:pPr>
        <w:pStyle w:val="2"/>
        <w:ind w:left="0"/>
      </w:pPr>
      <w:r>
        <w:rPr>
          <w:rFonts w:hint="eastAsia"/>
        </w:rPr>
        <w:t>款的相关约定。</w:t>
      </w:r>
    </w:p>
    <w:p>
      <w:pPr>
        <w:pStyle w:val="2"/>
      </w:pPr>
      <w:r>
        <w:rPr>
          <w:rFonts w:hint="eastAsia"/>
        </w:rPr>
        <w:t>4.6.2 因不可抗力造成的暂停</w:t>
      </w:r>
    </w:p>
    <w:p>
      <w:pPr>
        <w:pStyle w:val="2"/>
      </w:pPr>
      <w:r>
        <w:rPr>
          <w:rFonts w:hint="eastAsia"/>
        </w:rPr>
        <w:t>因不可抗力造成工程暂停时，双方根据17.1款不可抗力发生时的义务和17.2 款不可抗力的后果的</w:t>
      </w:r>
    </w:p>
    <w:p>
      <w:pPr>
        <w:pStyle w:val="2"/>
        <w:ind w:left="0"/>
      </w:pPr>
      <w:r>
        <w:rPr>
          <w:rFonts w:hint="eastAsia"/>
        </w:rPr>
        <w:t>条款的约定，安排各自的工作。</w:t>
      </w:r>
    </w:p>
    <w:p>
      <w:pPr>
        <w:pStyle w:val="2"/>
      </w:pPr>
      <w:r>
        <w:rPr>
          <w:rFonts w:hint="eastAsia"/>
        </w:rPr>
        <w:t>4.6.3 暂停时承包人的工作</w:t>
      </w:r>
    </w:p>
    <w:p>
      <w:pPr>
        <w:pStyle w:val="2"/>
      </w:pPr>
      <w:r>
        <w:rPr>
          <w:rFonts w:hint="eastAsia"/>
        </w:rPr>
        <w:t>当发生4.6.1款发包人的暂停和4.6.2款因不可抗力约定的暂停时，承包人应立即停止现场的实施</w:t>
      </w:r>
    </w:p>
    <w:p>
      <w:pPr>
        <w:pStyle w:val="2"/>
        <w:ind w:left="0"/>
      </w:pPr>
      <w:r>
        <w:rPr>
          <w:rFonts w:hint="eastAsia"/>
        </w:rPr>
        <w:t>工作，并根据合同约定负责在暂停期间，对工程、工程物资及承包人文件等进行照管和保护。因承包人未能尽到照管、保护的责任，造成损坏、丢失等，使发包人的费用增加，和（或）竣工日期延误的，由承包人负责。</w:t>
      </w:r>
    </w:p>
    <w:p>
      <w:pPr>
        <w:pStyle w:val="2"/>
      </w:pPr>
      <w:r>
        <w:rPr>
          <w:rFonts w:hint="eastAsia"/>
        </w:rPr>
        <w:t>4.6.4 承包人的复工要求</w:t>
      </w:r>
    </w:p>
    <w:p>
      <w:pPr>
        <w:pStyle w:val="2"/>
      </w:pPr>
      <w:r>
        <w:rPr>
          <w:rFonts w:hint="eastAsia"/>
        </w:rPr>
        <w:t>根据发包人通知暂停的，承包人有权在暂停45日后向发包人发出要求复工的通知。不能复工时，</w:t>
      </w:r>
    </w:p>
    <w:p>
      <w:pPr>
        <w:pStyle w:val="2"/>
        <w:ind w:left="0"/>
      </w:pPr>
      <w:r>
        <w:rPr>
          <w:rFonts w:hint="eastAsia"/>
        </w:rPr>
        <w:t>承包人有权根据13.2.5款调减部分工程的约定，以变更方式调减受暂停影响的部分工程。</w:t>
      </w:r>
    </w:p>
    <w:p>
      <w:pPr>
        <w:pStyle w:val="2"/>
      </w:pPr>
      <w:r>
        <w:rPr>
          <w:rFonts w:hint="eastAsia"/>
        </w:rPr>
        <w:t>发包人的暂停超过45日且暂停影响到整个工程，或发包人的暂停超过180日，或因不可抗力的暂</w:t>
      </w:r>
    </w:p>
    <w:p>
      <w:pPr>
        <w:pStyle w:val="2"/>
        <w:ind w:left="0"/>
      </w:pPr>
      <w:r>
        <w:rPr>
          <w:rFonts w:hint="eastAsia"/>
        </w:rPr>
        <w:t>停致使合同无法履行，承包人有权根据18.2款由承包人 解除合同的约定，发出解除合同的通知。</w:t>
      </w:r>
    </w:p>
    <w:p>
      <w:pPr>
        <w:pStyle w:val="2"/>
      </w:pPr>
      <w:r>
        <w:rPr>
          <w:rFonts w:hint="eastAsia"/>
        </w:rPr>
        <w:t>4.6.5 发包人的复工</w:t>
      </w:r>
    </w:p>
    <w:p>
      <w:pPr>
        <w:pStyle w:val="2"/>
      </w:pPr>
      <w:r>
        <w:rPr>
          <w:rFonts w:hint="eastAsia"/>
        </w:rPr>
        <w:t>发包人发出复工通知后，有权组织承包人对受暂停影响的工程、工程物资进行检査，承包人应将检</w:t>
      </w:r>
    </w:p>
    <w:p>
      <w:pPr>
        <w:pStyle w:val="2"/>
        <w:ind w:left="0"/>
      </w:pPr>
      <w:r>
        <w:rPr>
          <w:rFonts w:hint="eastAsia"/>
        </w:rPr>
        <w:t>査结果及需要恢复、修复的内容和估算通知发包人，经发包人确认后，所发生的恢复、修复价款由发包人承担。因恢复、修复造成工程关 键路径延误的，竣工日期相应延长。</w:t>
      </w:r>
    </w:p>
    <w:p>
      <w:pPr>
        <w:pStyle w:val="2"/>
      </w:pPr>
      <w:r>
        <w:rPr>
          <w:rFonts w:hint="eastAsia"/>
        </w:rPr>
        <w:t>4.6.6 因承包人原因的暂停</w:t>
      </w:r>
    </w:p>
    <w:p>
      <w:pPr>
        <w:pStyle w:val="2"/>
      </w:pPr>
      <w:r>
        <w:rPr>
          <w:rFonts w:hint="eastAsia"/>
        </w:rPr>
        <w:t>因承包人原因造成部分工程或工程的暂停的，所发生的损失、损害及竣工日期延误，由承包人负责。</w:t>
      </w:r>
    </w:p>
    <w:p>
      <w:pPr>
        <w:pStyle w:val="2"/>
      </w:pPr>
      <w:r>
        <w:rPr>
          <w:rFonts w:hint="eastAsia"/>
        </w:rPr>
        <w:t>4.6.7 工程暂停时的付款</w:t>
      </w:r>
    </w:p>
    <w:p>
      <w:pPr>
        <w:pStyle w:val="2"/>
      </w:pPr>
      <w:r>
        <w:rPr>
          <w:rFonts w:hint="eastAsia"/>
        </w:rPr>
        <w:t>因发包人原因暂停的复工后，未影响到整个工程实施时，双方应依据2.1.5 款的约定商定因该暂停</w:t>
      </w:r>
    </w:p>
    <w:p>
      <w:pPr>
        <w:pStyle w:val="2"/>
        <w:ind w:left="0"/>
      </w:pPr>
      <w:r>
        <w:rPr>
          <w:rFonts w:hint="eastAsia"/>
        </w:rPr>
        <w:t>给承包人所增加的合理费用，承包人应将其款项纳入当期的付款申请，由发包人审査支付。</w:t>
      </w:r>
    </w:p>
    <w:p>
      <w:pPr>
        <w:pStyle w:val="2"/>
      </w:pPr>
      <w:r>
        <w:rPr>
          <w:rFonts w:hint="eastAsia"/>
        </w:rPr>
        <w:t>因发包人原因暂停的复工后，影响到部分工程实施时，且承包人根据4.6.4 款要求调减部分工程并</w:t>
      </w:r>
    </w:p>
    <w:p>
      <w:pPr>
        <w:pStyle w:val="2"/>
        <w:ind w:left="0"/>
      </w:pPr>
      <w:r>
        <w:rPr>
          <w:rFonts w:hint="eastAsia"/>
        </w:rPr>
        <w:t>经发包人批准，发包人应从合同价格中调减该部分款项，双方还应依据2.1.5款的约定商定承包人因该暂停所增加的合理费用，承包人应 将其增减的款项纳入当期付款申请，由发包人审査支付。</w:t>
      </w:r>
    </w:p>
    <w:p>
      <w:pPr>
        <w:pStyle w:val="2"/>
      </w:pPr>
      <w:r>
        <w:rPr>
          <w:rFonts w:hint="eastAsia"/>
        </w:rPr>
        <w:t>因发包人原因的暂停，致使合同无法履行时，且承包人根据4.6.4款第二段的约定发出解除合同的</w:t>
      </w:r>
    </w:p>
    <w:p>
      <w:pPr>
        <w:pStyle w:val="2"/>
        <w:ind w:left="0"/>
      </w:pPr>
      <w:r>
        <w:rPr>
          <w:rFonts w:hint="eastAsia"/>
        </w:rPr>
        <w:t>通知后，双方应根据18.2款由承包人解除合同的相关约定，办理结算和付款</w:t>
      </w:r>
    </w:p>
    <w:p>
      <w:pPr>
        <w:pStyle w:val="5"/>
        <w:numPr>
          <w:ilvl w:val="0"/>
          <w:numId w:val="12"/>
        </w:numPr>
      </w:pPr>
      <w:r>
        <w:rPr>
          <w:rFonts w:hint="eastAsia"/>
        </w:rPr>
        <w:t>技术与设计</w:t>
      </w:r>
    </w:p>
    <w:p>
      <w:pPr>
        <w:pStyle w:val="6"/>
        <w:numPr>
          <w:ilvl w:val="1"/>
          <w:numId w:val="12"/>
        </w:numPr>
      </w:pPr>
      <w:r>
        <w:rPr>
          <w:rFonts w:hint="eastAsia"/>
        </w:rPr>
        <w:t>生产工艺技术、建筑设计方案</w:t>
      </w:r>
    </w:p>
    <w:p>
      <w:pPr>
        <w:pStyle w:val="2"/>
      </w:pPr>
      <w:r>
        <w:rPr>
          <w:rFonts w:hint="eastAsia"/>
        </w:rPr>
        <w:t>5.1.1 承包人提供的生产工艺技术和（或）建筑设计方案</w:t>
      </w:r>
    </w:p>
    <w:p>
      <w:pPr>
        <w:pStyle w:val="2"/>
      </w:pPr>
      <w:r>
        <w:rPr>
          <w:rFonts w:hint="eastAsia"/>
        </w:rPr>
        <w:t>承包人负责提供生产工艺技术（含专利技术、专有技术、工艺包）和（或）建筑设计方案（含总体</w:t>
      </w:r>
    </w:p>
    <w:p>
      <w:pPr>
        <w:pStyle w:val="2"/>
        <w:ind w:left="0"/>
      </w:pPr>
      <w:r>
        <w:rPr>
          <w:rFonts w:hint="eastAsia"/>
        </w:rPr>
        <w:t>布局、功能分区、建筑造型和主体结构等）时，应对所提供的工艺流程、工艺技术数据、工艺条件、软件、分析手册、操作指导书、设备制造指导书和其它资料要求，和（或）总体布局、功能分区、建筑造型及其结构 设计等负责。</w:t>
      </w:r>
    </w:p>
    <w:p>
      <w:pPr>
        <w:pStyle w:val="2"/>
      </w:pPr>
      <w:r>
        <w:rPr>
          <w:rFonts w:hint="eastAsia"/>
        </w:rPr>
        <w:t>承包人应对专用条款约定的试运行考核保证值、和（或）使用功能保证的说明负责。该试运行考核</w:t>
      </w:r>
    </w:p>
    <w:p>
      <w:pPr>
        <w:pStyle w:val="2"/>
        <w:ind w:left="0"/>
      </w:pPr>
      <w:r>
        <w:rPr>
          <w:rFonts w:hint="eastAsia"/>
        </w:rPr>
        <w:t>保证值、和（或）使用功能保证的说明，作为发包人根据10.3.3款进行试运行考核的评价依据。</w:t>
      </w:r>
    </w:p>
    <w:p>
      <w:pPr>
        <w:pStyle w:val="2"/>
      </w:pPr>
      <w:r>
        <w:rPr>
          <w:rFonts w:hint="eastAsia"/>
        </w:rPr>
        <w:t>5.1.2 发包人提供的生产工艺技术和（或）建筑设计方案</w:t>
      </w:r>
    </w:p>
    <w:p>
      <w:pPr>
        <w:pStyle w:val="2"/>
      </w:pPr>
      <w:r>
        <w:rPr>
          <w:rFonts w:hint="eastAsia"/>
        </w:rPr>
        <w:t>发包人负责提供的生产工艺技术（含专利技术、专有技术、工艺包）和（或）建筑设计方案（含总</w:t>
      </w:r>
    </w:p>
    <w:p>
      <w:pPr>
        <w:pStyle w:val="2"/>
        <w:ind w:left="0"/>
      </w:pPr>
      <w:r>
        <w:rPr>
          <w:rFonts w:hint="eastAsia"/>
        </w:rPr>
        <w:t>体布局、功能分区、建筑造型、主体结构，或发包人委托第 三方设计单位提供的建筑设计方案）时，应对所提供的工艺流程、工艺技术数据、 工艺条件、软件、分析手册、操作指导书、设备制造指导书和其他承包人的文件 资料、发包人的要求，和（或）总体布局、功能分区、建筑造型、主体结构等，或第三方设计单位提供的建筑设计方案负责。</w:t>
      </w:r>
    </w:p>
    <w:p>
      <w:pPr>
        <w:pStyle w:val="2"/>
      </w:pPr>
      <w:r>
        <w:rPr>
          <w:rFonts w:hint="eastAsia"/>
        </w:rPr>
        <w:t>发包人有义务指导、审查由承包人根据发包人提供的上述资料所进行的生产工艺设计和（或）建筑</w:t>
      </w:r>
    </w:p>
    <w:p>
      <w:pPr>
        <w:pStyle w:val="2"/>
        <w:ind w:left="0"/>
      </w:pPr>
      <w:r>
        <w:rPr>
          <w:rFonts w:hint="eastAsia"/>
        </w:rPr>
        <w:t>设计，并予以确认。工程和（或）单项工程试运行考核的各项保证值、或使用功能保证说明及双方各自应承担的考核责任，在专用条款中约定，并作为发包人根据10.3.3款进行试运行考核和考核责任的评价依据。</w:t>
      </w:r>
    </w:p>
    <w:p>
      <w:pPr>
        <w:pStyle w:val="6"/>
        <w:numPr>
          <w:ilvl w:val="1"/>
          <w:numId w:val="12"/>
        </w:numPr>
      </w:pPr>
      <w:r>
        <w:rPr>
          <w:rFonts w:hint="eastAsia"/>
        </w:rPr>
        <w:t>设计</w:t>
      </w:r>
    </w:p>
    <w:p>
      <w:pPr>
        <w:pStyle w:val="2"/>
      </w:pPr>
      <w:r>
        <w:rPr>
          <w:rFonts w:hint="eastAsia"/>
        </w:rPr>
        <w:t>5.2.1 发包人的义务</w:t>
      </w:r>
    </w:p>
    <w:p>
      <w:pPr>
        <w:pStyle w:val="2"/>
        <w:numPr>
          <w:ilvl w:val="0"/>
          <w:numId w:val="16"/>
        </w:numPr>
      </w:pPr>
      <w:r>
        <w:rPr>
          <w:rFonts w:hint="eastAsia"/>
        </w:rPr>
        <w:t>提供项目基础资料。发包人应按合同约定、法律或行业规定，向承包人提供设计需要的项目</w:t>
      </w:r>
    </w:p>
    <w:p>
      <w:pPr>
        <w:pStyle w:val="2"/>
        <w:ind w:left="0"/>
      </w:pPr>
      <w:r>
        <w:rPr>
          <w:rFonts w:hint="eastAsia"/>
        </w:rPr>
        <w:t>基础资料，并对其真实性、准确性、齐全性和及时性负责。上述项目基础资料不真实、不准确或不齐全时，发包人有义务按约定的时间向承包人提供进一步补充资料。提供项目基础资料的类别、内容、份数和时间在专用条款中约定。其中，工程场地的基准坐标资料（包括基准控制点、基准控制标高 和基准坐标控制线），发包人应按约定的时间，有义务配合承包人在现场的实测复验。承包人因纠正坐标资料中的错误，造成费用增加或（和）工期延误，由发包人负责其相关费用增加，竣工日期给予合理延长。</w:t>
      </w:r>
    </w:p>
    <w:p>
      <w:pPr>
        <w:pStyle w:val="2"/>
      </w:pPr>
      <w:r>
        <w:rPr>
          <w:rFonts w:hint="eastAsia"/>
        </w:rPr>
        <w:t>发包人提供的项目基础资料中有专利商提供的技术或工艺包，或是第三方设 计单位提供的建筑造</w:t>
      </w:r>
    </w:p>
    <w:p>
      <w:pPr>
        <w:pStyle w:val="2"/>
        <w:ind w:left="0"/>
      </w:pPr>
      <w:r>
        <w:rPr>
          <w:rFonts w:hint="eastAsia"/>
        </w:rPr>
        <w:t>型等，发包人应组织专利商或第三方设计单位与承包人进行数据、条件和资料的交换、协调和交接。</w:t>
      </w:r>
    </w:p>
    <w:p>
      <w:pPr>
        <w:pStyle w:val="2"/>
      </w:pPr>
      <w:r>
        <w:rPr>
          <w:rFonts w:hint="eastAsia"/>
        </w:rPr>
        <w:t>发包人未能按约定时间提供项目基础资料及其补充资料、或提供的资料不真实、不准确、不齐全、</w:t>
      </w:r>
    </w:p>
    <w:p>
      <w:pPr>
        <w:pStyle w:val="2"/>
        <w:ind w:left="0"/>
      </w:pPr>
      <w:r>
        <w:rPr>
          <w:rFonts w:hint="eastAsia"/>
        </w:rPr>
        <w:t>或发包人计划变更，造成承包人设计停工、返工或修改的， 发包人应按承包人额外增加的设计工作量赔偿其损失。造成工程关键路径延误的，竣工日期相应顺延。</w:t>
      </w:r>
    </w:p>
    <w:p>
      <w:pPr>
        <w:pStyle w:val="2"/>
        <w:numPr>
          <w:ilvl w:val="0"/>
          <w:numId w:val="16"/>
        </w:numPr>
      </w:pPr>
      <w:r>
        <w:rPr>
          <w:rFonts w:hint="eastAsia"/>
        </w:rPr>
        <w:t>提供现场障碍资料。除专用条款另有约定外，发包人应按合同约定和适用法律规定，在设计</w:t>
      </w:r>
    </w:p>
    <w:p>
      <w:pPr>
        <w:pStyle w:val="2"/>
        <w:ind w:left="0"/>
      </w:pPr>
      <w:r>
        <w:rPr>
          <w:rFonts w:hint="eastAsia"/>
        </w:rPr>
        <w:t>开始前，提供与设计、施工有关的地上、地下已有的建筑 物、构筑物等现场障碍资料，并对其真实性、准确性、齐全性和及时性负责。因 提供的资料不真实、不准确、不齐全、不及时，造承包人的设计停工、返工和修改的，发包人应按承包人额外增加的设计工作量赔偿其损失。造成工程关键路径延误的，竣工日期相应顺延。提供项目障碍资料的类别、内容、份数和时间安排，在专用条款中约定。</w:t>
      </w:r>
    </w:p>
    <w:p>
      <w:pPr>
        <w:pStyle w:val="2"/>
        <w:numPr>
          <w:ilvl w:val="0"/>
          <w:numId w:val="16"/>
        </w:numPr>
      </w:pPr>
      <w:r>
        <w:rPr>
          <w:rFonts w:hint="eastAsia"/>
        </w:rPr>
        <w:t>承包人无法核实发包人所提供的项目基础资料中的数据、条件和资料的，发包人有义务给予</w:t>
      </w:r>
    </w:p>
    <w:p>
      <w:pPr>
        <w:pStyle w:val="2"/>
        <w:ind w:left="0"/>
      </w:pPr>
      <w:r>
        <w:rPr>
          <w:rFonts w:hint="eastAsia"/>
        </w:rPr>
        <w:t>进一步确认。</w:t>
      </w:r>
    </w:p>
    <w:p>
      <w:pPr>
        <w:pStyle w:val="2"/>
      </w:pPr>
      <w:r>
        <w:rPr>
          <w:rFonts w:hint="eastAsia"/>
        </w:rPr>
        <w:t>5.2.2 承包人的义务</w:t>
      </w:r>
    </w:p>
    <w:p>
      <w:pPr>
        <w:pStyle w:val="2"/>
        <w:numPr>
          <w:ilvl w:val="0"/>
          <w:numId w:val="17"/>
        </w:numPr>
      </w:pPr>
      <w:r>
        <w:rPr>
          <w:rFonts w:hint="eastAsia"/>
        </w:rPr>
        <w:t>承包人与发包人（及其专利商、第三方设计单位）应以书面形式交接发包人按521款第（1）</w:t>
      </w:r>
    </w:p>
    <w:p>
      <w:pPr>
        <w:pStyle w:val="2"/>
        <w:ind w:left="0"/>
      </w:pPr>
      <w:r>
        <w:rPr>
          <w:rFonts w:hint="eastAsia"/>
        </w:rPr>
        <w:t>项提供与设计有关的项目基础资料、第（2）项提供的与设计有关的现场障碍资料。对这些资料中的短缺、遗漏、错误、疑问，承包人应在收到发包人提供的上述资料后15日内向发包人提出进一步的要求。因承包 人未能在上述时间内提出要求而发生的损失由承包人自行承担；由此造成工程关键路径延误的，竣工日期不予顺延。其中，对工程场地的基准坐标资料（包括基准控制点、基准控制标高和基准坐标控制线），承包人有义务约定实测复验的时 间并纠正其错误（如果有），因承包人对此项工作的延误，导致的费用增加和关键路线延误，由承包人承担。</w:t>
      </w:r>
    </w:p>
    <w:p>
      <w:pPr>
        <w:pStyle w:val="2"/>
        <w:numPr>
          <w:ilvl w:val="0"/>
          <w:numId w:val="17"/>
        </w:numPr>
      </w:pPr>
      <w:r>
        <w:rPr>
          <w:rFonts w:hint="eastAsia"/>
        </w:rPr>
        <w:t>承包人有义务按照发包人提供的项目基础资料、现场障碍资料和国家有关部门、行业工程建</w:t>
      </w:r>
    </w:p>
    <w:p>
      <w:pPr>
        <w:pStyle w:val="2"/>
        <w:ind w:left="0"/>
      </w:pPr>
      <w:r>
        <w:rPr>
          <w:rFonts w:hint="eastAsia"/>
        </w:rPr>
        <w:t>设标准规范规定的设计深度开展工程设计，并对其设计的工艺技术和（或）建筑功能，及工程的安全、环境保护、职业健康的标准，设备材料的质量、工程质量和完成时间负责。因承包人设计的原因，造成的费用增加、竣工日期延误，由承包人承担。</w:t>
      </w:r>
    </w:p>
    <w:p>
      <w:pPr>
        <w:pStyle w:val="2"/>
      </w:pPr>
      <w:r>
        <w:rPr>
          <w:rFonts w:hint="eastAsia"/>
        </w:rPr>
        <w:t>5.2.3 遵守标准、规范</w:t>
      </w:r>
    </w:p>
    <w:p>
      <w:pPr>
        <w:pStyle w:val="2"/>
      </w:pPr>
      <w:r>
        <w:rPr>
          <w:rFonts w:hint="eastAsia"/>
        </w:rPr>
        <w:t>（1）1.5款约定的标准、规范，适用于发包人按单项工程接收和（或）整个工程接收。</w:t>
      </w:r>
    </w:p>
    <w:p>
      <w:pPr>
        <w:pStyle w:val="2"/>
      </w:pPr>
      <w:r>
        <w:rPr>
          <w:rFonts w:hint="eastAsia"/>
        </w:rPr>
        <w:t>（2）在合同实施过程中国家颁布了新的标准或规范时，承包人应向发包人 提交有关新标准、新规</w:t>
      </w:r>
    </w:p>
    <w:p>
      <w:pPr>
        <w:pStyle w:val="2"/>
        <w:ind w:left="0"/>
      </w:pPr>
      <w:r>
        <w:rPr>
          <w:rFonts w:hint="eastAsia"/>
        </w:rPr>
        <w:t>范的建议书。对其中的强制性标准、规范，承包人应严格遵守，发包人作为变更处理；对于非强制性的标准、规范，发包人可决定釆用或不釆用，决定釆用时，作为变更处理。</w:t>
      </w:r>
    </w:p>
    <w:p>
      <w:pPr>
        <w:pStyle w:val="2"/>
        <w:numPr>
          <w:ilvl w:val="0"/>
          <w:numId w:val="17"/>
        </w:numPr>
      </w:pPr>
      <w:r>
        <w:rPr>
          <w:rFonts w:hint="eastAsia"/>
        </w:rPr>
        <w:t>依据适用法律和合同约定的标准、规范所完成的设计图纸、设计文件中的技术数据和技术条</w:t>
      </w:r>
    </w:p>
    <w:p>
      <w:pPr>
        <w:pStyle w:val="2"/>
        <w:ind w:left="0"/>
      </w:pPr>
      <w:r>
        <w:rPr>
          <w:rFonts w:hint="eastAsia"/>
        </w:rPr>
        <w:t>件，是工程物资釆购质量、施工质量及竣工试验质量的依据。</w:t>
      </w:r>
    </w:p>
    <w:p>
      <w:pPr>
        <w:pStyle w:val="2"/>
      </w:pPr>
      <w:r>
        <w:rPr>
          <w:rFonts w:hint="eastAsia"/>
        </w:rPr>
        <w:t>5.2.4 操作维修手册</w:t>
      </w:r>
    </w:p>
    <w:p>
      <w:pPr>
        <w:pStyle w:val="2"/>
      </w:pPr>
      <w:r>
        <w:rPr>
          <w:rFonts w:hint="eastAsia"/>
        </w:rPr>
        <w:t>由承包人指导竣工后试验和试运行考核试验，并编制操作维修手册的，发包人应按5.2.1款第（1）</w:t>
      </w:r>
    </w:p>
    <w:p>
      <w:pPr>
        <w:pStyle w:val="2"/>
        <w:ind w:left="0"/>
      </w:pPr>
      <w:r>
        <w:rPr>
          <w:rFonts w:hint="eastAsia"/>
        </w:rPr>
        <w:t>项第二段的约定，责令其专利商或发包人的其他承包人向承包人提供其操作指南及分析手册，并对其资料的真实性、准确性、齐全性和及时性负责，专用条款另有约定时除外。发包人提交操作指南、分析手册，及承包人提交操作维修手册的份数、提交期限，在专用条款中约定。</w:t>
      </w:r>
    </w:p>
    <w:p>
      <w:pPr>
        <w:pStyle w:val="2"/>
      </w:pPr>
      <w:r>
        <w:rPr>
          <w:rFonts w:hint="eastAsia"/>
        </w:rPr>
        <w:t>5.2.5 设计文件的份数和提交时间</w:t>
      </w:r>
    </w:p>
    <w:p>
      <w:pPr>
        <w:pStyle w:val="2"/>
      </w:pPr>
      <w:r>
        <w:rPr>
          <w:rFonts w:hint="eastAsia"/>
        </w:rPr>
        <w:t>相关设计阶段的设计文件、资料和图纸的提交份数和时间在专用条款中约定。</w:t>
      </w:r>
    </w:p>
    <w:p>
      <w:pPr>
        <w:pStyle w:val="2"/>
      </w:pPr>
      <w:r>
        <w:rPr>
          <w:rFonts w:hint="eastAsia"/>
        </w:rPr>
        <w:t>5.2.6 设计缺陷的自费修复，自费赶上</w:t>
      </w:r>
    </w:p>
    <w:p>
      <w:pPr>
        <w:pStyle w:val="2"/>
      </w:pPr>
      <w:r>
        <w:rPr>
          <w:rFonts w:hint="eastAsia"/>
        </w:rPr>
        <w:t>因承包人原因，造成设计文件存在遗漏、错误、缺陷和不足的，承包人应自费修复、弥补、纠正</w:t>
      </w:r>
    </w:p>
    <w:p>
      <w:pPr>
        <w:pStyle w:val="2"/>
        <w:ind w:left="0"/>
      </w:pPr>
      <w:r>
        <w:rPr>
          <w:rFonts w:hint="eastAsia"/>
        </w:rPr>
        <w:t>和完善。造成设计进度延误时，应自费釆取措施赶上。</w:t>
      </w:r>
    </w:p>
    <w:p>
      <w:pPr>
        <w:pStyle w:val="6"/>
        <w:numPr>
          <w:ilvl w:val="1"/>
          <w:numId w:val="12"/>
        </w:numPr>
      </w:pPr>
      <w:r>
        <w:rPr>
          <w:rFonts w:hint="eastAsia"/>
        </w:rPr>
        <w:t>设计阶段审査</w:t>
      </w:r>
    </w:p>
    <w:p>
      <w:pPr>
        <w:pStyle w:val="2"/>
      </w:pPr>
      <w:r>
        <w:rPr>
          <w:rFonts w:hint="eastAsia"/>
        </w:rPr>
        <w:t>5.3.1 本工程的设计阶段、设计阶段审査会议的组织和时间安排，在专用条款约定。发包人负责组</w:t>
      </w:r>
    </w:p>
    <w:p>
      <w:pPr>
        <w:pStyle w:val="2"/>
        <w:ind w:left="0"/>
      </w:pPr>
      <w:r>
        <w:rPr>
          <w:rFonts w:hint="eastAsia"/>
        </w:rPr>
        <w:t>织设计阶段审査会议，并承担会议费用及发包人的上级单位、政府有关部门参加审查会议的费用。</w:t>
      </w:r>
    </w:p>
    <w:p>
      <w:pPr>
        <w:pStyle w:val="2"/>
      </w:pPr>
      <w:r>
        <w:rPr>
          <w:rFonts w:hint="eastAsia"/>
        </w:rPr>
        <w:t>5.3.2 承包人应根据5.3.1款的约定，向发包人提交相关设计审査阶段的设计文件，设计文件应符</w:t>
      </w:r>
    </w:p>
    <w:p>
      <w:pPr>
        <w:pStyle w:val="2"/>
        <w:ind w:left="0"/>
      </w:pPr>
      <w:r>
        <w:rPr>
          <w:rFonts w:hint="eastAsia"/>
        </w:rPr>
        <w:t>合国家有关部门、行业工程建设标准规范对相关设计阶段的设计文件、图纸和资料的深度规定。承包人有义务自费参加发包人组织的设计 审查会议、向审查者介绍、解答、解释其设计文件，并自费提供审查过程中需提供的补充资料。</w:t>
      </w:r>
    </w:p>
    <w:p>
      <w:pPr>
        <w:pStyle w:val="2"/>
      </w:pPr>
      <w:r>
        <w:rPr>
          <w:rFonts w:hint="eastAsia"/>
        </w:rPr>
        <w:t>5.3.3 发包人有义务向承包人提供设计审査会议的批准文件和纪要。承包人有义务按相关设计审査</w:t>
      </w:r>
    </w:p>
    <w:p>
      <w:pPr>
        <w:pStyle w:val="2"/>
        <w:ind w:left="0"/>
      </w:pPr>
      <w:r>
        <w:rPr>
          <w:rFonts w:hint="eastAsia"/>
        </w:rPr>
        <w:t>阶段批准的文件和纪要，并依据合同约定及相关设计规定，对相关设计进行修改、补充和完善。</w:t>
      </w:r>
    </w:p>
    <w:p>
      <w:pPr>
        <w:pStyle w:val="2"/>
      </w:pPr>
      <w:r>
        <w:rPr>
          <w:rFonts w:hint="eastAsia"/>
        </w:rPr>
        <w:t>5.3.4 因承包人原因，未能按5.2.5款约定的时间，向发包人提交相关设计审查阶段的完整设计文</w:t>
      </w:r>
    </w:p>
    <w:p>
      <w:pPr>
        <w:pStyle w:val="2"/>
        <w:ind w:left="0"/>
      </w:pPr>
      <w:r>
        <w:rPr>
          <w:rFonts w:hint="eastAsia"/>
        </w:rPr>
        <w:t>件、图纸和资料，致使相关设计审查阶段的会议无法进行或无法按期进行，造成的竣工日期延误、窝工损失，及发包人增加的组织会议费用，由承包人承担。</w:t>
      </w:r>
    </w:p>
    <w:p>
      <w:pPr>
        <w:pStyle w:val="2"/>
      </w:pPr>
      <w:r>
        <w:rPr>
          <w:rFonts w:hint="eastAsia"/>
        </w:rPr>
        <w:t>5.3.5 发包人有权在5.3.1款约定的各设计审査阶段之前，对相关设计阶段的设计文件、图纸和资</w:t>
      </w:r>
    </w:p>
    <w:p>
      <w:pPr>
        <w:pStyle w:val="2"/>
        <w:ind w:left="0"/>
      </w:pPr>
      <w:r>
        <w:rPr>
          <w:rFonts w:hint="eastAsia"/>
        </w:rPr>
        <w:t>料提出建议、进行预审和确认，发包人的任何建议、预审和确认，并不能减轻或免除承包人的合同责任和义务。</w:t>
      </w:r>
    </w:p>
    <w:p>
      <w:pPr>
        <w:pStyle w:val="6"/>
        <w:numPr>
          <w:ilvl w:val="1"/>
          <w:numId w:val="12"/>
        </w:numPr>
      </w:pPr>
      <w:r>
        <w:rPr>
          <w:rFonts w:hint="eastAsia"/>
        </w:rPr>
        <w:t>操作维修人员的培训</w:t>
      </w:r>
    </w:p>
    <w:p>
      <w:pPr>
        <w:pStyle w:val="2"/>
      </w:pPr>
      <w:r>
        <w:rPr>
          <w:rFonts w:hint="eastAsia"/>
        </w:rPr>
        <w:t>发包人委托承包人对发包人的操作维修人员进行培训的，另行签订培训委托合同，作为本合同的</w:t>
      </w:r>
    </w:p>
    <w:p>
      <w:pPr>
        <w:pStyle w:val="2"/>
        <w:ind w:left="0"/>
      </w:pPr>
      <w:r>
        <w:rPr>
          <w:rFonts w:hint="eastAsia"/>
        </w:rPr>
        <w:t>附件。</w:t>
      </w:r>
    </w:p>
    <w:p>
      <w:pPr>
        <w:pStyle w:val="6"/>
        <w:numPr>
          <w:ilvl w:val="1"/>
          <w:numId w:val="12"/>
        </w:numPr>
      </w:pPr>
      <w:r>
        <w:rPr>
          <w:rFonts w:hint="eastAsia"/>
        </w:rPr>
        <w:t>知识产权</w:t>
      </w:r>
    </w:p>
    <w:p>
      <w:pPr>
        <w:pStyle w:val="2"/>
      </w:pPr>
      <w:r>
        <w:rPr>
          <w:rFonts w:hint="eastAsia"/>
        </w:rPr>
        <w:t>双方可就本合同涉及的合同一方、或合同双方(含一方或双方相关的专利商、第三方设计单位或设</w:t>
      </w:r>
    </w:p>
    <w:p>
      <w:pPr>
        <w:pStyle w:val="2"/>
        <w:ind w:left="0"/>
      </w:pPr>
      <w:r>
        <w:rPr>
          <w:rFonts w:hint="eastAsia"/>
        </w:rPr>
        <w:t>计人)的技术专利、建筑设计方案、专有技术、设计文件著作权等知识产权，签订知识产权及保密协议，作为本合同的组成部分</w:t>
      </w:r>
    </w:p>
    <w:p>
      <w:pPr>
        <w:pStyle w:val="5"/>
        <w:numPr>
          <w:ilvl w:val="0"/>
          <w:numId w:val="12"/>
        </w:numPr>
      </w:pPr>
      <w:r>
        <w:rPr>
          <w:rFonts w:hint="eastAsia"/>
        </w:rPr>
        <w:t>工程物资</w:t>
      </w:r>
    </w:p>
    <w:p>
      <w:pPr>
        <w:pStyle w:val="6"/>
        <w:numPr>
          <w:ilvl w:val="1"/>
          <w:numId w:val="12"/>
        </w:numPr>
      </w:pPr>
      <w:r>
        <w:rPr>
          <w:rFonts w:hint="eastAsia"/>
        </w:rPr>
        <w:t>工程物资的提供</w:t>
      </w:r>
    </w:p>
    <w:p>
      <w:pPr>
        <w:pStyle w:val="2"/>
      </w:pPr>
      <w:r>
        <w:rPr>
          <w:rFonts w:hint="eastAsia"/>
        </w:rPr>
        <w:t>6.1.1 发包人提供的工程物资</w:t>
      </w:r>
    </w:p>
    <w:p>
      <w:pPr>
        <w:pStyle w:val="2"/>
        <w:numPr>
          <w:ilvl w:val="0"/>
          <w:numId w:val="18"/>
        </w:numPr>
      </w:pPr>
      <w:r>
        <w:rPr>
          <w:rFonts w:hint="eastAsia"/>
        </w:rPr>
        <w:t>发包人应依据5.2.3款第(3)项设计文件规定的技术参数、技术条件、性能要求、使用要求和</w:t>
      </w:r>
    </w:p>
    <w:p>
      <w:pPr>
        <w:pStyle w:val="2"/>
        <w:ind w:left="0"/>
      </w:pPr>
      <w:r>
        <w:rPr>
          <w:rFonts w:hint="eastAsia"/>
        </w:rPr>
        <w:t>数量，负责组织工程物资(包括其备品备件、专用工具及厂商提交的技术文件)的釆购，负责运抵现场，并对其需用量、质量检査结果和性能负责。</w:t>
      </w:r>
    </w:p>
    <w:p>
      <w:pPr>
        <w:pStyle w:val="2"/>
      </w:pPr>
      <w:r>
        <w:rPr>
          <w:rFonts w:hint="eastAsia"/>
        </w:rPr>
        <w:t>由发包人负责提供的工程物资的类别、数量，在专用条款中列出。</w:t>
      </w:r>
    </w:p>
    <w:p>
      <w:pPr>
        <w:pStyle w:val="2"/>
        <w:numPr>
          <w:ilvl w:val="0"/>
          <w:numId w:val="18"/>
        </w:numPr>
      </w:pPr>
      <w:r>
        <w:rPr>
          <w:rFonts w:hint="eastAsia"/>
        </w:rPr>
        <w:t>因发包人釆购提供的工程物资（包括建筑构件等）不符合国家强制性标准、规范的规定，存</w:t>
      </w:r>
    </w:p>
    <w:p>
      <w:pPr>
        <w:pStyle w:val="2"/>
        <w:ind w:left="0"/>
      </w:pPr>
      <w:r>
        <w:rPr>
          <w:rFonts w:hint="eastAsia"/>
        </w:rPr>
        <w:t>在质量缺陷、延误抵达现场，给承包人造成窝工、停工、或导致关键路径延误的，按13条变更和合同价款调整的约定执行。</w:t>
      </w:r>
    </w:p>
    <w:p>
      <w:pPr>
        <w:pStyle w:val="2"/>
      </w:pPr>
      <w:r>
        <w:rPr>
          <w:rFonts w:hint="eastAsia"/>
        </w:rPr>
        <w:t>在履行合同过程中，由于国家新颁布的强制性标准、规范，造成发包人负责提供的工程物资（包括</w:t>
      </w:r>
    </w:p>
    <w:p>
      <w:pPr>
        <w:pStyle w:val="2"/>
        <w:ind w:left="0"/>
      </w:pPr>
      <w:r>
        <w:rPr>
          <w:rFonts w:hint="eastAsia"/>
        </w:rPr>
        <w:t>建筑构件等）不符合新颁布的强制性标准时，由发包人负责修复或重新订货。如委托承包人修复，作为一项变更。</w:t>
      </w:r>
    </w:p>
    <w:p>
      <w:pPr>
        <w:pStyle w:val="2"/>
        <w:numPr>
          <w:ilvl w:val="0"/>
          <w:numId w:val="18"/>
        </w:numPr>
      </w:pPr>
      <w:r>
        <w:rPr>
          <w:rFonts w:hint="eastAsia"/>
        </w:rPr>
        <w:t>发包人请承包人参加境外釆购工作时，所发生的费用由发包人承担。</w:t>
      </w:r>
    </w:p>
    <w:p>
      <w:pPr>
        <w:pStyle w:val="2"/>
      </w:pPr>
      <w:r>
        <w:rPr>
          <w:rFonts w:hint="eastAsia"/>
        </w:rPr>
        <w:t>6.1.2 承包人提供的工程物资</w:t>
      </w:r>
    </w:p>
    <w:p>
      <w:pPr>
        <w:pStyle w:val="2"/>
        <w:numPr>
          <w:ilvl w:val="0"/>
          <w:numId w:val="19"/>
        </w:numPr>
      </w:pPr>
      <w:r>
        <w:rPr>
          <w:rFonts w:hint="eastAsia"/>
        </w:rPr>
        <w:t>承包人应依据5.2.3款第（3）项设计文件规定的技术参数、技术条件、性能要求、使用要求</w:t>
      </w:r>
    </w:p>
    <w:p>
      <w:pPr>
        <w:pStyle w:val="2"/>
        <w:ind w:left="0"/>
      </w:pPr>
      <w:r>
        <w:rPr>
          <w:rFonts w:hint="eastAsia"/>
        </w:rPr>
        <w:t>和数量，负责组织工程物资采购（包括备品备件、专用工具 及厂商提交的技术文件），负责运抵现场，并对其需用量、质量检査结果和性能负责。</w:t>
      </w:r>
    </w:p>
    <w:p>
      <w:pPr>
        <w:pStyle w:val="2"/>
      </w:pPr>
      <w:r>
        <w:rPr>
          <w:rFonts w:hint="eastAsia"/>
        </w:rPr>
        <w:t>由承包人负责提供的工程物资的类别、数量，在专用条款中列出。</w:t>
      </w:r>
    </w:p>
    <w:p>
      <w:pPr>
        <w:pStyle w:val="2"/>
        <w:numPr>
          <w:ilvl w:val="0"/>
          <w:numId w:val="19"/>
        </w:numPr>
      </w:pPr>
      <w:r>
        <w:rPr>
          <w:rFonts w:hint="eastAsia"/>
        </w:rPr>
        <w:t>因承包人提供的工程物资（包括建筑构件等）不符合国家强制性标准、规范的规定或合同约</w:t>
      </w:r>
    </w:p>
    <w:p>
      <w:pPr>
        <w:pStyle w:val="2"/>
        <w:ind w:left="0"/>
      </w:pPr>
      <w:r>
        <w:rPr>
          <w:rFonts w:hint="eastAsia"/>
        </w:rPr>
        <w:t>定的标准、规范，所造成的质量缺陷，由承包人自费修复，竣工日期不予延长。</w:t>
      </w:r>
    </w:p>
    <w:p>
      <w:pPr>
        <w:pStyle w:val="2"/>
      </w:pPr>
      <w:r>
        <w:rPr>
          <w:rFonts w:hint="eastAsia"/>
        </w:rPr>
        <w:t>在履行合同过程中，由于国家新颁布的强制性标准、规范，造成承包人负责提供的工程物资（包括</w:t>
      </w:r>
    </w:p>
    <w:p>
      <w:pPr>
        <w:pStyle w:val="2"/>
        <w:ind w:left="0"/>
      </w:pPr>
      <w:r>
        <w:rPr>
          <w:rFonts w:hint="eastAsia"/>
        </w:rPr>
        <w:t>建筑构件等），虽符合合同约定的标准，但不符合新颁布的强制性标准时，由承包人负责修复或重新订货，并作为一项变更。</w:t>
      </w:r>
    </w:p>
    <w:p>
      <w:pPr>
        <w:pStyle w:val="2"/>
      </w:pPr>
      <w:r>
        <w:rPr>
          <w:rFonts w:hint="eastAsia"/>
        </w:rPr>
        <w:t>（3）由承包人提供的竣工后试验的生产性材料，在专用条款中列出类别或 （和）清单。</w:t>
      </w:r>
    </w:p>
    <w:p>
      <w:pPr>
        <w:pStyle w:val="2"/>
      </w:pPr>
      <w:r>
        <w:rPr>
          <w:rFonts w:hint="eastAsia"/>
        </w:rPr>
        <w:t>6.1.3 承包人对供应商的选择</w:t>
      </w:r>
    </w:p>
    <w:p>
      <w:pPr>
        <w:pStyle w:val="2"/>
      </w:pPr>
      <w:r>
        <w:rPr>
          <w:rFonts w:hint="eastAsia"/>
        </w:rPr>
        <w:t>承包人应通过招标等竞争性方式选择相关工程物资的供货商或制造厂。对于依法必须进行招标的工</w:t>
      </w:r>
    </w:p>
    <w:p>
      <w:pPr>
        <w:pStyle w:val="2"/>
        <w:ind w:left="0"/>
      </w:pPr>
      <w:r>
        <w:rPr>
          <w:rFonts w:hint="eastAsia"/>
        </w:rPr>
        <w:t>程建设项目，应按国家相关规定进行招标。</w:t>
      </w:r>
    </w:p>
    <w:p>
      <w:pPr>
        <w:pStyle w:val="2"/>
      </w:pPr>
      <w:r>
        <w:rPr>
          <w:rFonts w:hint="eastAsia"/>
        </w:rPr>
        <w:t>承包人不得在设计文件中或以口头暗示方式指定供应商和制造厂，只有唯一厂家的除外。发包人不</w:t>
      </w:r>
    </w:p>
    <w:p>
      <w:pPr>
        <w:pStyle w:val="2"/>
        <w:ind w:left="0"/>
      </w:pPr>
      <w:r>
        <w:rPr>
          <w:rFonts w:hint="eastAsia"/>
        </w:rPr>
        <w:t>得以任何方式指定供应商和制造厂。</w:t>
      </w:r>
    </w:p>
    <w:p>
      <w:pPr>
        <w:pStyle w:val="2"/>
      </w:pPr>
      <w:r>
        <w:rPr>
          <w:rFonts w:hint="eastAsia"/>
        </w:rPr>
        <w:t>6.1.4 工程物资所有权</w:t>
      </w:r>
    </w:p>
    <w:p>
      <w:pPr>
        <w:pStyle w:val="2"/>
      </w:pPr>
      <w:r>
        <w:rPr>
          <w:rFonts w:hint="eastAsia"/>
        </w:rPr>
        <w:t>承包人根据6.1.2款约定提供的工程物资，在运抵现场的交货地点并支付了釆购进度款，其所有权</w:t>
      </w:r>
    </w:p>
    <w:p>
      <w:pPr>
        <w:pStyle w:val="2"/>
        <w:ind w:left="0"/>
      </w:pPr>
      <w:r>
        <w:rPr>
          <w:rFonts w:hint="eastAsia"/>
        </w:rPr>
        <w:t>转为发包人所有。在发包人接收工程前，承包人有义务对工程物资进行保管、维护和保养，未经发包人批准不得运出现场。</w:t>
      </w:r>
    </w:p>
    <w:p>
      <w:pPr>
        <w:pStyle w:val="6"/>
        <w:numPr>
          <w:ilvl w:val="1"/>
          <w:numId w:val="12"/>
        </w:numPr>
      </w:pPr>
      <w:r>
        <w:rPr>
          <w:rFonts w:hint="eastAsia"/>
        </w:rPr>
        <w:t>检验</w:t>
      </w:r>
    </w:p>
    <w:p>
      <w:pPr>
        <w:pStyle w:val="2"/>
      </w:pPr>
      <w:r>
        <w:rPr>
          <w:rFonts w:hint="eastAsia"/>
        </w:rPr>
        <w:t>6.2.1 工厂检验与报告</w:t>
      </w:r>
    </w:p>
    <w:p>
      <w:pPr>
        <w:pStyle w:val="2"/>
        <w:numPr>
          <w:ilvl w:val="0"/>
          <w:numId w:val="20"/>
        </w:numPr>
      </w:pPr>
      <w:r>
        <w:rPr>
          <w:rFonts w:hint="eastAsia"/>
        </w:rPr>
        <w:t>承包人应遵守相关法律规定，负责6.1.2款约定的工程物资的强制性检查、检验、监测和试</w:t>
      </w:r>
    </w:p>
    <w:p>
      <w:pPr>
        <w:pStyle w:val="2"/>
        <w:ind w:left="0"/>
      </w:pPr>
      <w:r>
        <w:rPr>
          <w:rFonts w:hint="eastAsia"/>
        </w:rPr>
        <w:t>验，并向发包人提供相关报告。报告提供日期、报告内容和提交份数，在专用条款中约定。</w:t>
      </w:r>
    </w:p>
    <w:p>
      <w:pPr>
        <w:pStyle w:val="2"/>
        <w:numPr>
          <w:ilvl w:val="0"/>
          <w:numId w:val="20"/>
        </w:numPr>
      </w:pPr>
      <w:r>
        <w:rPr>
          <w:rFonts w:hint="eastAsia"/>
        </w:rPr>
        <w:t>承包人邀请发包人参检时，应在进行相关加工制造阶段的检査、检验、监测和试验之前，以</w:t>
      </w:r>
    </w:p>
    <w:p>
      <w:pPr>
        <w:pStyle w:val="2"/>
        <w:ind w:left="0"/>
      </w:pPr>
      <w:r>
        <w:rPr>
          <w:rFonts w:hint="eastAsia"/>
        </w:rPr>
        <w:t>书面形式通知发包人参检的内容、地点和时间。发包人在接到邀请后的5日内，以书面形式通知承包人参检或不参检。</w:t>
      </w:r>
    </w:p>
    <w:p>
      <w:pPr>
        <w:pStyle w:val="2"/>
        <w:numPr>
          <w:ilvl w:val="0"/>
          <w:numId w:val="20"/>
        </w:numPr>
      </w:pPr>
      <w:r>
        <w:rPr>
          <w:rFonts w:hint="eastAsia"/>
        </w:rPr>
        <w:t>发包人承担其参检人员在参检期间的工资、补贴、差旅费和住宿费等，承包人负责办理进入</w:t>
      </w:r>
    </w:p>
    <w:p>
      <w:pPr>
        <w:pStyle w:val="2"/>
        <w:ind w:left="0"/>
      </w:pPr>
      <w:r>
        <w:rPr>
          <w:rFonts w:hint="eastAsia"/>
        </w:rPr>
        <w:t>相关厂家的许可，并提供方便。</w:t>
      </w:r>
    </w:p>
    <w:p>
      <w:pPr>
        <w:pStyle w:val="2"/>
        <w:numPr>
          <w:ilvl w:val="0"/>
          <w:numId w:val="20"/>
        </w:numPr>
      </w:pPr>
      <w:r>
        <w:rPr>
          <w:rFonts w:hint="eastAsia"/>
        </w:rPr>
        <w:t>发包人委托有资格、有经验的第三方代表发包人自费参检时，应在接到承包人邀请函后5日</w:t>
      </w:r>
    </w:p>
    <w:p>
      <w:pPr>
        <w:pStyle w:val="2"/>
        <w:ind w:left="0"/>
      </w:pPr>
      <w:r>
        <w:rPr>
          <w:rFonts w:hint="eastAsia"/>
        </w:rPr>
        <w:t>内，以书面形式通知承包人，并写明受托单位及受托人员的名称、姓名及授予的职权。</w:t>
      </w:r>
    </w:p>
    <w:p>
      <w:pPr>
        <w:pStyle w:val="2"/>
      </w:pPr>
      <w:r>
        <w:rPr>
          <w:rFonts w:hint="eastAsia"/>
        </w:rPr>
        <w:t>（5）发包人及其委托人的参检，并不能解除承包人对其釆购的工程物资的质量责任。</w:t>
      </w:r>
    </w:p>
    <w:p>
      <w:pPr>
        <w:pStyle w:val="2"/>
      </w:pPr>
      <w:r>
        <w:rPr>
          <w:rFonts w:hint="eastAsia"/>
        </w:rPr>
        <w:t>6.2.2 覆盖和包装的后果</w:t>
      </w:r>
    </w:p>
    <w:p>
      <w:pPr>
        <w:pStyle w:val="2"/>
      </w:pPr>
      <w:r>
        <w:rPr>
          <w:rFonts w:hint="eastAsia"/>
        </w:rPr>
        <w:t>发包人已在6.2.1款约定的日期内以书面形式通知承包人参检，并依据约定日期提前或按时到达指</w:t>
      </w:r>
    </w:p>
    <w:p>
      <w:pPr>
        <w:pStyle w:val="2"/>
        <w:ind w:left="0"/>
      </w:pPr>
      <w:r>
        <w:rPr>
          <w:rFonts w:hint="eastAsia"/>
        </w:rPr>
        <w:t>定地点，但加工制造的工程物资未经发包人现场检验已经被覆盖、包装或已运抵启运地点时，发包人有权责令承包人将其运回原地、拆除 覆盖、包装，重新进行检査或检验或检测或试验及复原，承包人应承担由此发生的费用。造成工程关键路径延误的，竣工日期不予延长。</w:t>
      </w:r>
    </w:p>
    <w:p>
      <w:pPr>
        <w:pStyle w:val="2"/>
      </w:pPr>
      <w:r>
        <w:rPr>
          <w:rFonts w:hint="eastAsia"/>
        </w:rPr>
        <w:t>6.2.3 未能按时参检</w:t>
      </w:r>
    </w:p>
    <w:p>
      <w:pPr>
        <w:pStyle w:val="2"/>
      </w:pPr>
      <w:r>
        <w:rPr>
          <w:rFonts w:hint="eastAsia"/>
        </w:rPr>
        <w:t>发包人未能按6.2.1款的约定时间参检，承包人可自行组织检査、检验、检测和试验，质检结果视</w:t>
      </w:r>
    </w:p>
    <w:p>
      <w:pPr>
        <w:pStyle w:val="2"/>
        <w:ind w:left="0"/>
      </w:pPr>
      <w:r>
        <w:rPr>
          <w:rFonts w:hint="eastAsia"/>
        </w:rPr>
        <w:t>为是真实的。发包人有权在此后，以变更指令通知承包人 重新检查、检验、检测和试验，或增加试验细节或改变试验地点。工程物资经质检合格的，所发生的费用由发包人承担，造成工程关键路径延误的，竣工日期相应顺延；工程物资经质检不合格时，所发生的费用由承包人承担，竣工日期不予延长。</w:t>
      </w:r>
    </w:p>
    <w:p>
      <w:pPr>
        <w:pStyle w:val="2"/>
      </w:pPr>
      <w:r>
        <w:rPr>
          <w:rFonts w:hint="eastAsia"/>
        </w:rPr>
        <w:t>6.2.4 现场清点与检查</w:t>
      </w:r>
    </w:p>
    <w:p>
      <w:pPr>
        <w:pStyle w:val="2"/>
        <w:numPr>
          <w:ilvl w:val="0"/>
          <w:numId w:val="21"/>
        </w:numPr>
      </w:pPr>
      <w:r>
        <w:rPr>
          <w:rFonts w:hint="eastAsia"/>
        </w:rPr>
        <w:t>发包人应在其根据6.1.1款约定负责提供的工程物资运抵现场前5日通知承包人。发包人（或</w:t>
      </w:r>
    </w:p>
    <w:p>
      <w:pPr>
        <w:pStyle w:val="2"/>
        <w:ind w:left="0"/>
      </w:pPr>
      <w:r>
        <w:rPr>
          <w:rFonts w:hint="eastAsia"/>
        </w:rPr>
        <w:t>包括为发包人提供工程物资的供应商）与承包人（或包括 其分包人）按每批货物的提货单据清点箱件数量及进行外观检查，并根据装箱单 清点箱内数量、出厂合格证、图纸、文件资料等，并进行外观检査。经检査清点 后双方人员签署交接清单。</w:t>
      </w:r>
    </w:p>
    <w:p>
      <w:pPr>
        <w:pStyle w:val="2"/>
      </w:pPr>
      <w:r>
        <w:rPr>
          <w:rFonts w:hint="eastAsia"/>
        </w:rPr>
        <w:t>经现场检査清点发现箱件短缺，箱件内的物资数量、图纸、资料短缺，或有外观缺陷的，发包人应</w:t>
      </w:r>
    </w:p>
    <w:p>
      <w:pPr>
        <w:pStyle w:val="2"/>
        <w:ind w:left="0"/>
      </w:pPr>
      <w:r>
        <w:rPr>
          <w:rFonts w:hint="eastAsia"/>
        </w:rPr>
        <w:t>负责补齐或自费修复，工程物资在缺陷未能修复之前不得用于工程。当发包人委托承包人修复缺陷时，另行签订追加合同。因上述情况造成工程关键路径延误的，竣工日期相应顺延。</w:t>
      </w:r>
    </w:p>
    <w:p>
      <w:pPr>
        <w:pStyle w:val="2"/>
        <w:numPr>
          <w:ilvl w:val="0"/>
          <w:numId w:val="21"/>
        </w:numPr>
      </w:pPr>
      <w:r>
        <w:rPr>
          <w:rFonts w:hint="eastAsia"/>
        </w:rPr>
        <w:t>承包人应在其根据6.1.2款约定负责提供的工程物资运抵现场前5日通知发包人。承包人（或</w:t>
      </w:r>
    </w:p>
    <w:p>
      <w:pPr>
        <w:pStyle w:val="2"/>
        <w:ind w:left="0"/>
      </w:pPr>
      <w:r>
        <w:rPr>
          <w:rFonts w:hint="eastAsia"/>
        </w:rPr>
        <w:t>包括为承包人提供工程物资的供应商、或分包人）与发包人（包括代表、或其监理人）按每批货物的提货单据清点箱件数量及进行外观检查，并根据装箱单清点箱内数量、出厂合格证、图纸、文件资料等，并进行外观检査。经检査清点后，双方人员签署开箱检验证明。</w:t>
      </w:r>
    </w:p>
    <w:p>
      <w:pPr>
        <w:pStyle w:val="2"/>
      </w:pPr>
      <w:r>
        <w:rPr>
          <w:rFonts w:hint="eastAsia"/>
        </w:rPr>
        <w:t>经现场检査清点发现箱件短缺，箱件内的数量、图纸、资料短缺，或有外观缺陷的，承包人应负责</w:t>
      </w:r>
    </w:p>
    <w:p>
      <w:pPr>
        <w:pStyle w:val="2"/>
        <w:ind w:left="0"/>
      </w:pPr>
      <w:r>
        <w:rPr>
          <w:rFonts w:hint="eastAsia"/>
        </w:rPr>
        <w:t>补齐或自费修复，工程物资在缺陷未能修复之前不得用于工程。因此造成的费用增加、竣工日期延误，由承包人负责。</w:t>
      </w:r>
    </w:p>
    <w:p>
      <w:pPr>
        <w:pStyle w:val="2"/>
      </w:pPr>
      <w:r>
        <w:rPr>
          <w:rFonts w:hint="eastAsia"/>
        </w:rPr>
        <w:t>6.2.5 质量监督部门及消防、环保等部门的参检</w:t>
      </w:r>
    </w:p>
    <w:p>
      <w:pPr>
        <w:pStyle w:val="2"/>
      </w:pPr>
      <w:r>
        <w:rPr>
          <w:rFonts w:hint="eastAsia"/>
        </w:rPr>
        <w:t>发包人、承包人随时接受质量监督部门、消防部门、环保部门、行业等专业检査人员对制造、安装</w:t>
      </w:r>
    </w:p>
    <w:p>
      <w:pPr>
        <w:pStyle w:val="2"/>
        <w:ind w:left="0"/>
      </w:pPr>
      <w:r>
        <w:rPr>
          <w:rFonts w:hint="eastAsia"/>
        </w:rPr>
        <w:t>及试验过程的现场检查，其费用由发包人承担。承包人为此提供方便。造成工程关键路径延误的，竣工日期相应顺延。</w:t>
      </w:r>
    </w:p>
    <w:p>
      <w:pPr>
        <w:pStyle w:val="2"/>
      </w:pPr>
      <w:r>
        <w:rPr>
          <w:rFonts w:hint="eastAsia"/>
        </w:rPr>
        <w:t>因上述部门在参检中提出的修改、更换等意见所增加的相关费用，应根据 6.1.1款或6.1.2款约定</w:t>
      </w:r>
    </w:p>
    <w:p>
      <w:pPr>
        <w:pStyle w:val="2"/>
        <w:ind w:left="0"/>
      </w:pPr>
      <w:r>
        <w:rPr>
          <w:rFonts w:hint="eastAsia"/>
        </w:rPr>
        <w:t>的提供工程物资的责任方来承担；因此造成工程关键路径延误的，责任方为承包人时，竣工日期不予延长；责任方为发包人时，竣工日期相应顺延。</w:t>
      </w:r>
    </w:p>
    <w:p>
      <w:pPr>
        <w:pStyle w:val="6"/>
        <w:numPr>
          <w:ilvl w:val="1"/>
          <w:numId w:val="12"/>
        </w:numPr>
      </w:pPr>
      <w:r>
        <w:rPr>
          <w:rFonts w:hint="eastAsia"/>
        </w:rPr>
        <w:t>进口工程物资的采购、报关、清关和商检</w:t>
      </w:r>
    </w:p>
    <w:p>
      <w:pPr>
        <w:pStyle w:val="2"/>
      </w:pPr>
      <w:r>
        <w:rPr>
          <w:rFonts w:hint="eastAsia"/>
        </w:rPr>
        <w:t>6.3.1 工程物资的进口釆购责任方，及釆购方式，在专用条款中约定。釆购责任方负责报关、清关</w:t>
      </w:r>
    </w:p>
    <w:p>
      <w:pPr>
        <w:pStyle w:val="2"/>
        <w:ind w:left="0"/>
      </w:pPr>
      <w:r>
        <w:rPr>
          <w:rFonts w:hint="eastAsia"/>
        </w:rPr>
        <w:t>和商检，另一方有义务协助。</w:t>
      </w:r>
    </w:p>
    <w:p>
      <w:pPr>
        <w:pStyle w:val="2"/>
      </w:pPr>
      <w:r>
        <w:rPr>
          <w:rFonts w:hint="eastAsia"/>
        </w:rPr>
        <w:t>6.3.2 因工程物资报关、清关和商检的延误，造成工程关键路径延误时，承包人负责进口釆购的，</w:t>
      </w:r>
    </w:p>
    <w:p>
      <w:pPr>
        <w:pStyle w:val="2"/>
        <w:ind w:left="0"/>
      </w:pPr>
      <w:r>
        <w:rPr>
          <w:rFonts w:hint="eastAsia"/>
        </w:rPr>
        <w:t>竣工日期不予延长，增加的费用由承包人承担；发包人负责进口釆购的，竣工日期给予相应延长，承包人由此增加的费用由发包人承担。</w:t>
      </w:r>
    </w:p>
    <w:p>
      <w:pPr>
        <w:pStyle w:val="2"/>
        <w:rPr>
          <w:sz w:val="30"/>
          <w:szCs w:val="32"/>
        </w:rPr>
      </w:pPr>
      <w:r>
        <w:rPr>
          <w:rFonts w:hint="eastAsia"/>
          <w:sz w:val="30"/>
          <w:szCs w:val="32"/>
        </w:rPr>
        <w:t>6.4运输与超限物资运输</w:t>
      </w:r>
    </w:p>
    <w:p>
      <w:pPr>
        <w:pStyle w:val="2"/>
      </w:pPr>
      <w:r>
        <w:rPr>
          <w:rFonts w:hint="eastAsia"/>
        </w:rPr>
        <w:t>承包人负责采购的超限工程物资（超重、超长、超宽、超高）的运输，由承包人负责，该超限物资</w:t>
      </w:r>
    </w:p>
    <w:p>
      <w:pPr>
        <w:pStyle w:val="2"/>
        <w:ind w:left="0"/>
      </w:pPr>
      <w:r>
        <w:rPr>
          <w:rFonts w:hint="eastAsia"/>
        </w:rPr>
        <w:t>的运输费用及其运输途中的特殊措施、拆迁、赔偿等全部费用，包含在合同价格内。运输过程中的费用增加，由承包人承担。造成工程关键路径延误时，竣工日期不予延长。专用条款另有约定除外。</w:t>
      </w:r>
    </w:p>
    <w:p>
      <w:pPr>
        <w:pStyle w:val="2"/>
        <w:rPr>
          <w:sz w:val="30"/>
          <w:szCs w:val="32"/>
        </w:rPr>
      </w:pPr>
      <w:r>
        <w:rPr>
          <w:rFonts w:hint="eastAsia"/>
          <w:sz w:val="30"/>
          <w:szCs w:val="32"/>
        </w:rPr>
        <w:t>6.5重新订货及后果</w:t>
      </w:r>
    </w:p>
    <w:p>
      <w:pPr>
        <w:pStyle w:val="2"/>
      </w:pPr>
      <w:r>
        <w:rPr>
          <w:rFonts w:hint="eastAsia"/>
        </w:rPr>
        <w:t>6.5.1 依据6.1.1款及6.3.1款的约定，由发包人负责提供的工程物资存在缺陷时，经发包人组织</w:t>
      </w:r>
    </w:p>
    <w:p>
      <w:pPr>
        <w:pStyle w:val="2"/>
        <w:ind w:left="0"/>
      </w:pPr>
      <w:r>
        <w:rPr>
          <w:rFonts w:hint="eastAsia"/>
        </w:rPr>
        <w:t>修复仍不合格的，由发包人负责重新订货并运抵现场。因此 造成承包人停工、窝工的，由发包人承担所发生的实际费用；导致关键路径延误时，竣工日期相应顺延。</w:t>
      </w:r>
    </w:p>
    <w:p>
      <w:pPr>
        <w:pStyle w:val="2"/>
      </w:pPr>
      <w:r>
        <w:rPr>
          <w:rFonts w:hint="eastAsia"/>
        </w:rPr>
        <w:t>6.5.2 依据6.1.2款及6.3.1款的约定，由承包人负责提供的工程物资存在缺陷时，经承包人修复</w:t>
      </w:r>
    </w:p>
    <w:p>
      <w:pPr>
        <w:pStyle w:val="2"/>
        <w:ind w:left="0"/>
      </w:pPr>
      <w:r>
        <w:rPr>
          <w:rFonts w:hint="eastAsia"/>
        </w:rPr>
        <w:t>仍不合格的，由承包人负责重新订货并运抵现场。因此造成 的费用增加、竣工日期延误，由承包人承担。</w:t>
      </w:r>
    </w:p>
    <w:p>
      <w:pPr>
        <w:pStyle w:val="2"/>
        <w:rPr>
          <w:sz w:val="30"/>
          <w:szCs w:val="32"/>
        </w:rPr>
      </w:pPr>
      <w:r>
        <w:rPr>
          <w:rFonts w:hint="eastAsia"/>
          <w:sz w:val="30"/>
          <w:szCs w:val="32"/>
        </w:rPr>
        <w:t>6.6工程物资保管与剩余</w:t>
      </w:r>
    </w:p>
    <w:p>
      <w:pPr>
        <w:pStyle w:val="2"/>
      </w:pPr>
      <w:r>
        <w:rPr>
          <w:rFonts w:hint="eastAsia"/>
        </w:rPr>
        <w:t>6.6.1 工程物资保管</w:t>
      </w:r>
    </w:p>
    <w:p>
      <w:pPr>
        <w:pStyle w:val="2"/>
      </w:pPr>
      <w:r>
        <w:rPr>
          <w:rFonts w:hint="eastAsia"/>
        </w:rPr>
        <w:t>根据6.1.1款由发包人负责提供的工程物资、6.1.2款由承包人负责提供的工程物资的约定并委托</w:t>
      </w:r>
    </w:p>
    <w:p>
      <w:pPr>
        <w:pStyle w:val="2"/>
        <w:ind w:left="0"/>
      </w:pPr>
      <w:r>
        <w:rPr>
          <w:rFonts w:hint="eastAsia"/>
        </w:rPr>
        <w:t>承包人保管的，工程物资的类别和数量在专用条款中约定。</w:t>
      </w:r>
    </w:p>
    <w:p>
      <w:pPr>
        <w:pStyle w:val="2"/>
      </w:pPr>
      <w:r>
        <w:rPr>
          <w:rFonts w:hint="eastAsia"/>
        </w:rPr>
        <w:t>承包人应按说明书的相关规定对工程物资进行保管、维护、保养，防止变形、变质、污染和对人身</w:t>
      </w:r>
    </w:p>
    <w:p>
      <w:pPr>
        <w:pStyle w:val="2"/>
        <w:ind w:left="0"/>
      </w:pPr>
      <w:r>
        <w:rPr>
          <w:rFonts w:hint="eastAsia"/>
        </w:rPr>
        <w:t>造成伤害。承包人提交保管维护方案的时间在专用条款中约定，保管维护方案应包括：工程物资分类和保管、保养、保安、领用制度，以及库房、特殊保管库房、堆场、道路、照明、消防、设施、器具等规划。保管所需的一切费用，包含在合同价格内。由发包人提供的库房、堆场、设施和设备，在专用条款中约定。</w:t>
      </w:r>
    </w:p>
    <w:p>
      <w:pPr>
        <w:pStyle w:val="2"/>
      </w:pPr>
      <w:r>
        <w:rPr>
          <w:rFonts w:hint="eastAsia"/>
        </w:rPr>
        <w:t>6.6.2 剩余工程物资的移交</w:t>
      </w:r>
    </w:p>
    <w:p>
      <w:pPr>
        <w:pStyle w:val="2"/>
      </w:pPr>
      <w:r>
        <w:rPr>
          <w:rFonts w:hint="eastAsia"/>
        </w:rPr>
        <w:t>承包人保管的工程物资（含承包人负责釆购提供的工程物资并收到了釆购进度款，及发包人委托保</w:t>
      </w:r>
    </w:p>
    <w:p>
      <w:pPr>
        <w:pStyle w:val="2"/>
        <w:ind w:left="0"/>
      </w:pPr>
      <w:r>
        <w:rPr>
          <w:rFonts w:hint="eastAsia"/>
        </w:rPr>
        <w:t>管的工程物资），在竣工试验完成后，剩余部分由承包人 无偿移交给发包人，专用条款另有约定时除外。</w:t>
      </w:r>
    </w:p>
    <w:p>
      <w:pPr>
        <w:pStyle w:val="5"/>
        <w:numPr>
          <w:ilvl w:val="0"/>
          <w:numId w:val="12"/>
        </w:numPr>
      </w:pPr>
      <w:r>
        <w:rPr>
          <w:rFonts w:hint="eastAsia" w:ascii="宋体" w:hAnsi="宋体"/>
        </w:rPr>
        <w:t>施工</w:t>
      </w:r>
    </w:p>
    <w:p>
      <w:pPr>
        <w:pStyle w:val="6"/>
        <w:numPr>
          <w:ilvl w:val="1"/>
          <w:numId w:val="12"/>
        </w:numPr>
      </w:pPr>
      <w:r>
        <w:rPr>
          <w:rFonts w:hint="eastAsia"/>
        </w:rPr>
        <w:t>发包人的义务</w:t>
      </w:r>
    </w:p>
    <w:p>
      <w:pPr>
        <w:pStyle w:val="2"/>
      </w:pPr>
      <w:r>
        <w:rPr>
          <w:rFonts w:hint="eastAsia"/>
        </w:rPr>
        <w:t>7.1.1 基准坐标资料</w:t>
      </w:r>
    </w:p>
    <w:p>
      <w:pPr>
        <w:pStyle w:val="2"/>
      </w:pPr>
      <w:r>
        <w:rPr>
          <w:rFonts w:hint="eastAsia"/>
        </w:rPr>
        <w:t>承包人因放线需请发包人与相关单位联系的事项，发包人有义务协助。</w:t>
      </w:r>
    </w:p>
    <w:p>
      <w:pPr>
        <w:pStyle w:val="2"/>
      </w:pPr>
      <w:r>
        <w:rPr>
          <w:rFonts w:hint="eastAsia"/>
        </w:rPr>
        <w:t>7.1.2 审查总体施工组织设计</w:t>
      </w:r>
    </w:p>
    <w:p>
      <w:pPr>
        <w:pStyle w:val="2"/>
      </w:pPr>
      <w:r>
        <w:rPr>
          <w:rFonts w:hint="eastAsia"/>
        </w:rPr>
        <w:t>发包人有权对承包人根据7.2.2款约定提交的总体施工组织设计进行审査，并在接到总体施工组织</w:t>
      </w:r>
    </w:p>
    <w:p>
      <w:pPr>
        <w:pStyle w:val="2"/>
        <w:ind w:left="0"/>
      </w:pPr>
      <w:r>
        <w:rPr>
          <w:rFonts w:hint="eastAsia"/>
        </w:rPr>
        <w:t>设计后20日内提出建议和要求。发包人的建议和要求，并不能减轻或免除承包人的任何合同责任。发包人未能在20日内提出任何建议 和要求的，承包人有权按提交的总体施工组织设计实施。</w:t>
      </w:r>
    </w:p>
    <w:p>
      <w:pPr>
        <w:pStyle w:val="2"/>
      </w:pPr>
      <w:r>
        <w:rPr>
          <w:rFonts w:hint="eastAsia"/>
        </w:rPr>
        <w:t>7.1.3 进场条件和进场日期</w:t>
      </w:r>
    </w:p>
    <w:p>
      <w:pPr>
        <w:pStyle w:val="2"/>
      </w:pPr>
      <w:r>
        <w:rPr>
          <w:rFonts w:hint="eastAsia"/>
        </w:rPr>
        <w:t>除专用条款另有约定外，发包人应根据批准的初步设计和7.2.3款约定由承包人提交的临时占地资</w:t>
      </w:r>
    </w:p>
    <w:p>
      <w:pPr>
        <w:pStyle w:val="2"/>
        <w:ind w:left="0"/>
      </w:pPr>
      <w:r>
        <w:rPr>
          <w:rFonts w:hint="eastAsia"/>
        </w:rPr>
        <w:t>料，与承包人约定进场条件，确定进场日期。发包人应提供施工场地，完成进场道路、用地许可、拆迁及补偿等工作，保证承包人能够按时进入现场开始准备工作。进场条件和进场日期在专用条款中约定。</w:t>
      </w:r>
    </w:p>
    <w:p>
      <w:pPr>
        <w:pStyle w:val="2"/>
      </w:pPr>
      <w:r>
        <w:rPr>
          <w:rFonts w:hint="eastAsia"/>
        </w:rPr>
        <w:t>因发包人原因造成承包人进场时间延误的，竣工日期相应顺延。发包人承担承包人因此发生的相关</w:t>
      </w:r>
    </w:p>
    <w:p>
      <w:pPr>
        <w:pStyle w:val="2"/>
        <w:ind w:left="0"/>
      </w:pPr>
      <w:r>
        <w:rPr>
          <w:rFonts w:hint="eastAsia"/>
        </w:rPr>
        <w:t>窝工费用。</w:t>
      </w:r>
    </w:p>
    <w:p>
      <w:pPr>
        <w:pStyle w:val="2"/>
      </w:pPr>
      <w:r>
        <w:rPr>
          <w:rFonts w:hint="eastAsia"/>
        </w:rPr>
        <w:t>7.1.4 提供临时用水、用电等和节点铺设</w:t>
      </w:r>
    </w:p>
    <w:p>
      <w:pPr>
        <w:pStyle w:val="2"/>
      </w:pPr>
      <w:r>
        <w:rPr>
          <w:rFonts w:hint="eastAsia"/>
        </w:rPr>
        <w:t>除专用条款另有约定外，发包人应按7.2.4款的约定，在承包人进场前将施工临时用水、用电等接</w:t>
      </w:r>
    </w:p>
    <w:p>
      <w:pPr>
        <w:pStyle w:val="2"/>
        <w:ind w:left="0"/>
      </w:pPr>
      <w:r>
        <w:rPr>
          <w:rFonts w:hint="eastAsia"/>
        </w:rPr>
        <w:t>至约定的节点位置，并保证其需要。上述临时使用的水、电等的类别、取费单价在专用条款中约定，发包人按实际计量结果收费。发包人无法提供的水、电等在专用条款中约定，相关费用由承包人纳入报价并承担相关 责任。</w:t>
      </w:r>
    </w:p>
    <w:p>
      <w:pPr>
        <w:pStyle w:val="2"/>
      </w:pPr>
      <w:r>
        <w:rPr>
          <w:rFonts w:hint="eastAsia"/>
        </w:rPr>
        <w:t>发包人未能按约定的类别和时间完成节点铺设，使开工时间延误，竣工日期相应顺延。未能按约定</w:t>
      </w:r>
    </w:p>
    <w:p>
      <w:pPr>
        <w:pStyle w:val="2"/>
        <w:ind w:left="0"/>
      </w:pPr>
      <w:r>
        <w:rPr>
          <w:rFonts w:hint="eastAsia"/>
        </w:rPr>
        <w:t>的品质、数量和时间提供水、电等，给承包人造成的损失由发包人承担，导致工程关键路径延误的，竣工日期相应顺延。</w:t>
      </w:r>
    </w:p>
    <w:p>
      <w:pPr>
        <w:pStyle w:val="2"/>
      </w:pPr>
      <w:r>
        <w:rPr>
          <w:rFonts w:hint="eastAsia"/>
        </w:rPr>
        <w:t>7.1.5 办理开工等批准手续</w:t>
      </w:r>
    </w:p>
    <w:p>
      <w:pPr>
        <w:pStyle w:val="2"/>
      </w:pPr>
      <w:r>
        <w:rPr>
          <w:rFonts w:hint="eastAsia"/>
        </w:rPr>
        <w:t>发包人应在施工开工日期前，取得开工批准文件或施工许可证等许可、证件或批文，完成工程质量</w:t>
      </w:r>
    </w:p>
    <w:p>
      <w:pPr>
        <w:pStyle w:val="2"/>
        <w:ind w:left="0"/>
      </w:pPr>
      <w:r>
        <w:rPr>
          <w:rFonts w:hint="eastAsia"/>
        </w:rPr>
        <w:t>监督、安全监督等手续的办理。</w:t>
      </w:r>
    </w:p>
    <w:p>
      <w:pPr>
        <w:pStyle w:val="2"/>
      </w:pPr>
      <w:r>
        <w:rPr>
          <w:rFonts w:hint="eastAsia"/>
        </w:rPr>
        <w:t>7.1.6 施工过程中须由发包人办理的批准</w:t>
      </w:r>
    </w:p>
    <w:p>
      <w:pPr>
        <w:pStyle w:val="2"/>
      </w:pPr>
      <w:r>
        <w:rPr>
          <w:rFonts w:hint="eastAsia"/>
        </w:rPr>
        <w:t>承包人在施工过程中根据7.2.6款的约定，通知需由发包人办理的各项批准手续，由发包人申请办</w:t>
      </w:r>
    </w:p>
    <w:p>
      <w:pPr>
        <w:pStyle w:val="2"/>
        <w:ind w:left="0"/>
      </w:pPr>
      <w:r>
        <w:rPr>
          <w:rFonts w:hint="eastAsia"/>
        </w:rPr>
        <w:t>理。</w:t>
      </w:r>
    </w:p>
    <w:p>
      <w:pPr>
        <w:pStyle w:val="2"/>
      </w:pPr>
      <w:r>
        <w:rPr>
          <w:rFonts w:hint="eastAsia"/>
        </w:rPr>
        <w:t>因发包人未能按时办妥上述批准手续，给承包人造成的窝工损失，由发包人承担。导致工程关键路</w:t>
      </w:r>
    </w:p>
    <w:p>
      <w:pPr>
        <w:pStyle w:val="2"/>
        <w:ind w:left="0"/>
      </w:pPr>
      <w:r>
        <w:rPr>
          <w:rFonts w:hint="eastAsia"/>
        </w:rPr>
        <w:t>径延误的，竣工日期相应顺延。</w:t>
      </w:r>
    </w:p>
    <w:p>
      <w:pPr>
        <w:pStyle w:val="2"/>
      </w:pPr>
      <w:r>
        <w:rPr>
          <w:rFonts w:hint="eastAsia"/>
        </w:rPr>
        <w:t>7.1.7 提供施工障碍资料</w:t>
      </w:r>
    </w:p>
    <w:p>
      <w:pPr>
        <w:pStyle w:val="2"/>
      </w:pPr>
      <w:r>
        <w:rPr>
          <w:rFonts w:hint="eastAsia"/>
        </w:rPr>
        <w:t>发包人按合同约定的内容和时间提供与施工场地相关的地下和地上的建筑物、构筑物和其他设施的</w:t>
      </w:r>
    </w:p>
    <w:p>
      <w:pPr>
        <w:pStyle w:val="2"/>
        <w:ind w:left="0"/>
      </w:pPr>
      <w:r>
        <w:rPr>
          <w:rFonts w:hint="eastAsia"/>
        </w:rPr>
        <w:t>坐标位置。发包人根据5.2.1款第(1)项、第(2)项 的约定，已经提供的可不再提供。承包人对发包人在合同约定时间之后提供的障碍资料，可依据1323款施工变更的约定提交变更申请，对于承包人的合理请求 发包人应予以批准。因发包人未能提供上述施工障碍资料或提供的资料不真实、不准确、不齐全，给承包人造成损失或损害的，由发包人承担赔偿责任。导致工程关键路径延误的，竣工日期相应顺延。</w:t>
      </w:r>
    </w:p>
    <w:p>
      <w:pPr>
        <w:pStyle w:val="2"/>
      </w:pPr>
      <w:r>
        <w:rPr>
          <w:rFonts w:hint="eastAsia"/>
        </w:rPr>
        <w:t>7.1.8 承包人新发现的施工障碍</w:t>
      </w:r>
    </w:p>
    <w:p>
      <w:pPr>
        <w:pStyle w:val="2"/>
      </w:pPr>
      <w:r>
        <w:rPr>
          <w:rFonts w:hint="eastAsia"/>
        </w:rPr>
        <w:t>发包人应根据承包人按照7.2.8款的约定发出的通知，与有关单位进行联系、协调、处理施工场地</w:t>
      </w:r>
    </w:p>
    <w:p>
      <w:pPr>
        <w:pStyle w:val="2"/>
        <w:ind w:left="0"/>
      </w:pPr>
      <w:r>
        <w:rPr>
          <w:rFonts w:hint="eastAsia"/>
        </w:rPr>
        <w:t>周围及临近的影响工程实施的建筑物、构筑物、文物建筑、 古树、名木、地下管线、线缆、设施以及地下文物、化石和坟墓等的保护工作，并承担相关费用。</w:t>
      </w:r>
    </w:p>
    <w:p>
      <w:pPr>
        <w:pStyle w:val="2"/>
      </w:pPr>
      <w:r>
        <w:rPr>
          <w:rFonts w:hint="eastAsia"/>
        </w:rPr>
        <w:t>对于新发现的施工障碍，承包人可依据13.2.3款施工变更范围第(3)项的 约定提交变更申请，对</w:t>
      </w:r>
    </w:p>
    <w:p>
      <w:pPr>
        <w:pStyle w:val="2"/>
        <w:ind w:left="0"/>
      </w:pPr>
      <w:r>
        <w:rPr>
          <w:rFonts w:hint="eastAsia"/>
        </w:rPr>
        <w:t>于承包人的合理请求发包人应予以批准。施工障碍导致工程关键路径延误的，竣工日期相应顺延。</w:t>
      </w:r>
    </w:p>
    <w:p>
      <w:pPr>
        <w:pStyle w:val="2"/>
      </w:pPr>
      <w:r>
        <w:rPr>
          <w:rFonts w:hint="eastAsia"/>
        </w:rPr>
        <w:t>7.1.9 职业健康、安全、环境保护管理计划确认</w:t>
      </w:r>
    </w:p>
    <w:p>
      <w:pPr>
        <w:pStyle w:val="2"/>
      </w:pPr>
      <w:r>
        <w:rPr>
          <w:rFonts w:hint="eastAsia"/>
        </w:rPr>
        <w:t>发包人应在收到承包人根据7.8款约定提交的“职业健康、安全和环境保护”管理计划后20日内</w:t>
      </w:r>
    </w:p>
    <w:p>
      <w:pPr>
        <w:pStyle w:val="2"/>
        <w:ind w:left="0"/>
      </w:pPr>
      <w:r>
        <w:rPr>
          <w:rFonts w:hint="eastAsia"/>
        </w:rPr>
        <w:t>对之进行确认。发包人有权检查其实施情况并对检查中发现的问题提出整改建议，承包人应按照发包人合理建议自费整改。</w:t>
      </w:r>
    </w:p>
    <w:p>
      <w:pPr>
        <w:pStyle w:val="2"/>
      </w:pPr>
      <w:r>
        <w:rPr>
          <w:rFonts w:hint="eastAsia"/>
        </w:rPr>
        <w:t>7.1.10 其它义务</w:t>
      </w:r>
    </w:p>
    <w:p>
      <w:pPr>
        <w:pStyle w:val="2"/>
      </w:pPr>
      <w:r>
        <w:rPr>
          <w:rFonts w:hint="eastAsia"/>
        </w:rPr>
        <w:t>发包人应履行专用条款中约定的由发包人履行的其它义务。</w:t>
      </w:r>
    </w:p>
    <w:p>
      <w:pPr>
        <w:pStyle w:val="6"/>
        <w:numPr>
          <w:ilvl w:val="1"/>
          <w:numId w:val="12"/>
        </w:numPr>
      </w:pPr>
      <w:r>
        <w:rPr>
          <w:rFonts w:hint="eastAsia"/>
        </w:rPr>
        <w:t>承包人的义务</w:t>
      </w:r>
    </w:p>
    <w:p>
      <w:pPr>
        <w:pStyle w:val="2"/>
      </w:pPr>
      <w:r>
        <w:rPr>
          <w:rFonts w:hint="eastAsia"/>
        </w:rPr>
        <w:t>7.2.1 放线</w:t>
      </w:r>
    </w:p>
    <w:p>
      <w:pPr>
        <w:pStyle w:val="2"/>
      </w:pPr>
      <w:r>
        <w:rPr>
          <w:rFonts w:hint="eastAsia"/>
        </w:rPr>
        <w:t>承包人负责对工程、单项工程、施工部位的放线，并对放线的准确性负责。</w:t>
      </w:r>
    </w:p>
    <w:p>
      <w:pPr>
        <w:pStyle w:val="2"/>
      </w:pPr>
      <w:r>
        <w:rPr>
          <w:rFonts w:hint="eastAsia"/>
        </w:rPr>
        <w:t>7.2.2 施工组织设计</w:t>
      </w:r>
    </w:p>
    <w:p>
      <w:pPr>
        <w:pStyle w:val="2"/>
      </w:pPr>
      <w:r>
        <w:rPr>
          <w:rFonts w:hint="eastAsia"/>
        </w:rPr>
        <w:t>承包人应在施工开工15日前或双方约定的其它时间内，向发包人提交总体施工组织设计。随着施</w:t>
      </w:r>
    </w:p>
    <w:p>
      <w:pPr>
        <w:pStyle w:val="2"/>
        <w:ind w:left="0"/>
      </w:pPr>
      <w:r>
        <w:rPr>
          <w:rFonts w:hint="eastAsia"/>
        </w:rPr>
        <w:t>工进展向发包人提交主要单项工程和主要分部分项工程的施工组织设计。对发包人提出的合理建议和要求，承包人应自费修改完善。</w:t>
      </w:r>
    </w:p>
    <w:p>
      <w:pPr>
        <w:pStyle w:val="2"/>
      </w:pPr>
      <w:r>
        <w:rPr>
          <w:rFonts w:hint="eastAsia"/>
        </w:rPr>
        <w:t>总体施工组织设计提交的份数和时间，及需提交施工组织设计的主要单项工程和主要分部分项工程</w:t>
      </w:r>
    </w:p>
    <w:p>
      <w:pPr>
        <w:pStyle w:val="2"/>
        <w:ind w:left="0"/>
      </w:pPr>
      <w:r>
        <w:rPr>
          <w:rFonts w:hint="eastAsia"/>
        </w:rPr>
        <w:t>的名称、份数和时间，在专用条款中约定。</w:t>
      </w:r>
    </w:p>
    <w:p>
      <w:pPr>
        <w:pStyle w:val="2"/>
      </w:pPr>
      <w:r>
        <w:rPr>
          <w:rFonts w:hint="eastAsia"/>
        </w:rPr>
        <w:t>7.2.3 提交临时占地资料</w:t>
      </w:r>
    </w:p>
    <w:p>
      <w:pPr>
        <w:pStyle w:val="2"/>
      </w:pPr>
      <w:r>
        <w:rPr>
          <w:rFonts w:hint="eastAsia"/>
        </w:rPr>
        <w:t>承包人应按专用条款约定的时间向发包人提交以下临时占地资料：</w:t>
      </w:r>
    </w:p>
    <w:p>
      <w:pPr>
        <w:pStyle w:val="2"/>
        <w:numPr>
          <w:ilvl w:val="0"/>
          <w:numId w:val="22"/>
        </w:numPr>
      </w:pPr>
      <w:r>
        <w:rPr>
          <w:rFonts w:hint="eastAsia"/>
        </w:rPr>
        <w:t>根据6.6.1款保管工程物资所需的库房、堆场、道路用地的坐标位置、面积、占用时间、用</w:t>
      </w:r>
    </w:p>
    <w:p>
      <w:pPr>
        <w:pStyle w:val="2"/>
        <w:ind w:left="0"/>
      </w:pPr>
      <w:r>
        <w:rPr>
          <w:rFonts w:hint="eastAsia"/>
        </w:rPr>
        <w:t>途说明，并须单列需要由发包人租地的坐标位置、面积、占用时间和用途说明；</w:t>
      </w:r>
    </w:p>
    <w:p>
      <w:pPr>
        <w:pStyle w:val="2"/>
        <w:numPr>
          <w:ilvl w:val="0"/>
          <w:numId w:val="22"/>
        </w:numPr>
      </w:pPr>
      <w:r>
        <w:rPr>
          <w:rFonts w:hint="eastAsia"/>
        </w:rPr>
        <w:t>施工用地的坐标位置、面积、占用时间、用途说明，并须单列要求发包人租地的坐标位置、</w:t>
      </w:r>
    </w:p>
    <w:p>
      <w:pPr>
        <w:pStyle w:val="2"/>
        <w:ind w:left="0"/>
      </w:pPr>
      <w:r>
        <w:rPr>
          <w:rFonts w:hint="eastAsia"/>
        </w:rPr>
        <w:t>面积、占用时间和用途说明；</w:t>
      </w:r>
    </w:p>
    <w:p>
      <w:pPr>
        <w:pStyle w:val="2"/>
        <w:numPr>
          <w:ilvl w:val="0"/>
          <w:numId w:val="22"/>
        </w:numPr>
      </w:pPr>
      <w:r>
        <w:rPr>
          <w:rFonts w:hint="eastAsia"/>
        </w:rPr>
        <w:t>进入施工现场道路的入口坐标位置，并须指明要求发包人铺设与城乡公共道路相连接的道路</w:t>
      </w:r>
    </w:p>
    <w:p>
      <w:pPr>
        <w:pStyle w:val="2"/>
        <w:ind w:left="0"/>
      </w:pPr>
      <w:r>
        <w:rPr>
          <w:rFonts w:hint="eastAsia"/>
        </w:rPr>
        <w:t>走向、长度、路宽、等级、桥涵承重、转弯半径和时间要求。</w:t>
      </w:r>
    </w:p>
    <w:p>
      <w:pPr>
        <w:pStyle w:val="2"/>
      </w:pPr>
      <w:r>
        <w:rPr>
          <w:rFonts w:hint="eastAsia"/>
        </w:rPr>
        <w:t>因承包人未能按时提交上述资料，导致7.1.3款约定的进场日期延误的，由此增加的费用和（或）</w:t>
      </w:r>
    </w:p>
    <w:p>
      <w:pPr>
        <w:pStyle w:val="2"/>
        <w:ind w:left="0"/>
      </w:pPr>
      <w:r>
        <w:rPr>
          <w:rFonts w:hint="eastAsia"/>
        </w:rPr>
        <w:t>竣工日期延误，由承包人负责。</w:t>
      </w:r>
    </w:p>
    <w:p>
      <w:pPr>
        <w:pStyle w:val="2"/>
      </w:pPr>
      <w:r>
        <w:rPr>
          <w:rFonts w:hint="eastAsia"/>
        </w:rPr>
        <w:t>7.2.4 临时用水、用电等</w:t>
      </w:r>
    </w:p>
    <w:p>
      <w:pPr>
        <w:pStyle w:val="2"/>
      </w:pPr>
      <w:r>
        <w:rPr>
          <w:rFonts w:hint="eastAsia"/>
        </w:rPr>
        <w:t>承包人应在施工开工日期30日前或双方约定的其它时间，按本专用条款中约定的发包人能够提供</w:t>
      </w:r>
    </w:p>
    <w:p>
      <w:pPr>
        <w:pStyle w:val="2"/>
        <w:ind w:left="0"/>
      </w:pPr>
      <w:r>
        <w:rPr>
          <w:rFonts w:hint="eastAsia"/>
        </w:rPr>
        <w:t>的临时用水、用电等类别，向发包人提交施工（含工程物 资保管）所需的临时用水、用电等的品质、正常用量、高峰用量、使用时间和节点位置等资料。承包人自费负责计量仪器的购买、安装和维护，并依据7.1.4款 专用条款中约定的单价向发包人交费，双方另有约定时除外。</w:t>
      </w:r>
    </w:p>
    <w:p>
      <w:pPr>
        <w:pStyle w:val="2"/>
      </w:pPr>
      <w:r>
        <w:rPr>
          <w:rFonts w:hint="eastAsia"/>
        </w:rPr>
        <w:t>因承包人未能按合同约定提交上述资料,造成发包人费用增加和竣工日期延误时，由承包人负责。</w:t>
      </w:r>
    </w:p>
    <w:p>
      <w:pPr>
        <w:pStyle w:val="2"/>
      </w:pPr>
      <w:r>
        <w:rPr>
          <w:rFonts w:hint="eastAsia"/>
        </w:rPr>
        <w:t>7.2.5 协助发包人办理开工等批准手续</w:t>
      </w:r>
    </w:p>
    <w:p>
      <w:pPr>
        <w:pStyle w:val="2"/>
      </w:pPr>
      <w:r>
        <w:rPr>
          <w:rFonts w:hint="eastAsia"/>
        </w:rPr>
        <w:t>承包人应在工程开工20日前，通知发包人向有关部门办理须由发包人办理的开工批准或施工许可</w:t>
      </w:r>
    </w:p>
    <w:p>
      <w:pPr>
        <w:pStyle w:val="2"/>
        <w:ind w:left="0"/>
      </w:pPr>
      <w:r>
        <w:rPr>
          <w:rFonts w:hint="eastAsia"/>
        </w:rPr>
        <w:t>证、工程质量监督手续及其他许可、证件、批件等。发包人需要时，承包人有义务提供协助。发包人委托承包人代办并被承包人接受时，双方可另行签订协议，作为本合同的附件。</w:t>
      </w:r>
    </w:p>
    <w:p>
      <w:pPr>
        <w:pStyle w:val="2"/>
      </w:pPr>
      <w:r>
        <w:rPr>
          <w:rFonts w:hint="eastAsia"/>
        </w:rPr>
        <w:t>7.2.6 施工过程中需通知办理的批准</w:t>
      </w:r>
    </w:p>
    <w:p>
      <w:pPr>
        <w:pStyle w:val="2"/>
      </w:pPr>
      <w:r>
        <w:rPr>
          <w:rFonts w:hint="eastAsia"/>
        </w:rPr>
        <w:t>承包人在施工过程中因增加场外临时用地，临时要求停水、停电、中断道路 交通，爆破作业，或</w:t>
      </w:r>
    </w:p>
    <w:p>
      <w:pPr>
        <w:pStyle w:val="2"/>
        <w:ind w:left="0"/>
      </w:pPr>
      <w:r>
        <w:rPr>
          <w:rFonts w:hint="eastAsia"/>
        </w:rPr>
        <w:t>可能损坏道路、管线、电力、邮电、通讯等公共设施的，应提前10日通知发包人办理相关申请批准手续，并按发包人的要求，提供需要承 包人提供的相关文件、资料、证件等。</w:t>
      </w:r>
    </w:p>
    <w:p>
      <w:pPr>
        <w:pStyle w:val="2"/>
      </w:pPr>
      <w:r>
        <w:rPr>
          <w:rFonts w:hint="eastAsia"/>
        </w:rPr>
        <w:t>因承包人未能在10日前通知发包人或未能按时提供由发包人办理申请所需的承包人的相关文件、</w:t>
      </w:r>
    </w:p>
    <w:p>
      <w:pPr>
        <w:pStyle w:val="2"/>
        <w:ind w:left="0"/>
      </w:pPr>
      <w:r>
        <w:rPr>
          <w:rFonts w:hint="eastAsia"/>
        </w:rPr>
        <w:t>资料和证件等，造成承包人窝工、停工和竣工日期延误的，由承包人负责。</w:t>
      </w:r>
    </w:p>
    <w:p>
      <w:pPr>
        <w:pStyle w:val="2"/>
      </w:pPr>
      <w:r>
        <w:rPr>
          <w:rFonts w:hint="eastAsia"/>
        </w:rPr>
        <w:t>7.2.7 提供施工障碍资料</w:t>
      </w:r>
    </w:p>
    <w:p>
      <w:pPr>
        <w:pStyle w:val="2"/>
      </w:pPr>
      <w:r>
        <w:rPr>
          <w:rFonts w:hint="eastAsia"/>
        </w:rPr>
        <w:t>承包人应按合同约定，在每项地下或地上施工部位开工20日前，向发包人提交施工场地的具体范</w:t>
      </w:r>
    </w:p>
    <w:p>
      <w:pPr>
        <w:pStyle w:val="2"/>
        <w:ind w:left="0"/>
      </w:pPr>
      <w:r>
        <w:rPr>
          <w:rFonts w:hint="eastAsia"/>
        </w:rPr>
        <w:t>围及其坐标位置，发包人须就上述范围内提供相关的地下和地上的建筑物、构筑物和其它设施的坐标位置（不包括发包人根据5.2.1款第（1）项、第（2）项中已提供的现场障碍资料）。发包人在合同约定时间之后提出现场障碍资料的，按照13.2.3款的施工变更的约定办理。</w:t>
      </w:r>
    </w:p>
    <w:p>
      <w:pPr>
        <w:pStyle w:val="2"/>
      </w:pPr>
      <w:r>
        <w:rPr>
          <w:rFonts w:hint="eastAsia"/>
        </w:rPr>
        <w:t>发包人已提供上述相关资料，因承包人未能履行保护义务，造成的损失、损害和责任，由承包人负</w:t>
      </w:r>
    </w:p>
    <w:p>
      <w:pPr>
        <w:pStyle w:val="2"/>
        <w:ind w:left="0"/>
      </w:pPr>
      <w:r>
        <w:rPr>
          <w:rFonts w:hint="eastAsia"/>
        </w:rPr>
        <w:t>责。因此造成工程关键路径延误的，承包人按4.1.2款的约定，自费赶上。</w:t>
      </w:r>
    </w:p>
    <w:p>
      <w:pPr>
        <w:pStyle w:val="2"/>
      </w:pPr>
      <w:r>
        <w:rPr>
          <w:rFonts w:hint="eastAsia"/>
        </w:rPr>
        <w:t>7.2.8 新发现的施工障碍</w:t>
      </w:r>
    </w:p>
    <w:p>
      <w:pPr>
        <w:pStyle w:val="2"/>
      </w:pPr>
      <w:r>
        <w:rPr>
          <w:rFonts w:hint="eastAsia"/>
        </w:rPr>
        <w:t>承包人应对在施工过程中新发现的场地周围及临近影响施工的建筑物、构筑物、文物建筑、古树、</w:t>
      </w:r>
    </w:p>
    <w:p>
      <w:pPr>
        <w:pStyle w:val="2"/>
        <w:ind w:left="0"/>
      </w:pPr>
      <w:r>
        <w:rPr>
          <w:rFonts w:hint="eastAsia"/>
        </w:rPr>
        <w:t>名木，以及地下管线、线缆、构筑物、文物、化石和坟墓等，立即采取保护措施，并及时通知发包人。新发现的施工障碍，按照13.2.3 款的施工变更约定办理。</w:t>
      </w:r>
    </w:p>
    <w:p>
      <w:pPr>
        <w:pStyle w:val="2"/>
      </w:pPr>
      <w:r>
        <w:rPr>
          <w:rFonts w:hint="eastAsia"/>
        </w:rPr>
        <w:t>7.2.9 施工资源</w:t>
      </w:r>
    </w:p>
    <w:p>
      <w:pPr>
        <w:pStyle w:val="2"/>
      </w:pPr>
      <w:r>
        <w:rPr>
          <w:rFonts w:hint="eastAsia"/>
        </w:rPr>
        <w:t>承包人应保证其人力、机具、设备、设施、措施材料、消耗材料、周转材料及其它施工资源，满足</w:t>
      </w:r>
    </w:p>
    <w:p>
      <w:pPr>
        <w:pStyle w:val="2"/>
        <w:ind w:left="0"/>
      </w:pPr>
      <w:r>
        <w:rPr>
          <w:rFonts w:hint="eastAsia"/>
        </w:rPr>
        <w:t>实施工程的需求。</w:t>
      </w:r>
    </w:p>
    <w:p>
      <w:pPr>
        <w:pStyle w:val="2"/>
      </w:pPr>
      <w:r>
        <w:rPr>
          <w:rFonts w:hint="eastAsia"/>
        </w:rPr>
        <w:t>7.2.10 设计文件的说明和解释</w:t>
      </w:r>
    </w:p>
    <w:p>
      <w:pPr>
        <w:pStyle w:val="2"/>
      </w:pPr>
      <w:r>
        <w:rPr>
          <w:rFonts w:hint="eastAsia"/>
        </w:rPr>
        <w:t>承包人应在施工开工前向施工分包人和监理人说明设计文件的意图，解释设计文件，及时解决施工</w:t>
      </w:r>
    </w:p>
    <w:p>
      <w:pPr>
        <w:pStyle w:val="2"/>
        <w:ind w:left="0"/>
      </w:pPr>
      <w:r>
        <w:rPr>
          <w:rFonts w:hint="eastAsia"/>
        </w:rPr>
        <w:t>过程中出现的有关问题。</w:t>
      </w:r>
    </w:p>
    <w:p>
      <w:pPr>
        <w:pStyle w:val="2"/>
      </w:pPr>
      <w:r>
        <w:rPr>
          <w:rFonts w:hint="eastAsia"/>
        </w:rPr>
        <w:t>7.2.11 工程的保护与维护</w:t>
      </w:r>
    </w:p>
    <w:p>
      <w:pPr>
        <w:pStyle w:val="2"/>
      </w:pPr>
      <w:r>
        <w:rPr>
          <w:rFonts w:hint="eastAsia"/>
        </w:rPr>
        <w:t>承包人应从开工之日起至发包人接收工程或单项工程之日止,负责工程或单项工程的照管、保护、</w:t>
      </w:r>
    </w:p>
    <w:p>
      <w:pPr>
        <w:pStyle w:val="2"/>
        <w:ind w:left="0"/>
      </w:pPr>
      <w:r>
        <w:rPr>
          <w:rFonts w:hint="eastAsia"/>
        </w:rPr>
        <w:t>维护和保安责任，保证工程或单项工程除不可抗力外，不受到任何损失、损害。</w:t>
      </w:r>
    </w:p>
    <w:p>
      <w:pPr>
        <w:pStyle w:val="2"/>
      </w:pPr>
      <w:r>
        <w:rPr>
          <w:rFonts w:hint="eastAsia"/>
        </w:rPr>
        <w:t>7.2.12 清理现场</w:t>
      </w:r>
    </w:p>
    <w:p>
      <w:pPr>
        <w:pStyle w:val="2"/>
      </w:pPr>
      <w:r>
        <w:rPr>
          <w:rFonts w:hint="eastAsia"/>
        </w:rPr>
        <w:t>承包人负责在施工过程中及完工后对现场进行清理、分类堆放，将残余物、废弃物、垃圾等运往发</w:t>
      </w:r>
    </w:p>
    <w:p>
      <w:pPr>
        <w:pStyle w:val="2"/>
        <w:ind w:left="0"/>
      </w:pPr>
      <w:r>
        <w:rPr>
          <w:rFonts w:hint="eastAsia"/>
        </w:rPr>
        <w:t>包人、或当地有关部门指定的地点。清理现场的费用在专用条款中写明。承包人应将不再使用的机具、设备、设施和临时工程等撤离现场，或运到发包人指定的场地。</w:t>
      </w:r>
    </w:p>
    <w:p>
      <w:pPr>
        <w:pStyle w:val="2"/>
      </w:pPr>
      <w:r>
        <w:rPr>
          <w:rFonts w:hint="eastAsia"/>
        </w:rPr>
        <w:t>7.2.13 其它义务</w:t>
      </w:r>
    </w:p>
    <w:p>
      <w:pPr>
        <w:pStyle w:val="2"/>
      </w:pPr>
      <w:r>
        <w:rPr>
          <w:rFonts w:hint="eastAsia"/>
        </w:rPr>
        <w:t>承包人应履行专用条款中约定的应由承包人履行的其它相关义务。</w:t>
      </w:r>
    </w:p>
    <w:p>
      <w:pPr>
        <w:pStyle w:val="6"/>
        <w:numPr>
          <w:ilvl w:val="1"/>
          <w:numId w:val="12"/>
        </w:numPr>
      </w:pPr>
      <w:r>
        <w:rPr>
          <w:rFonts w:hint="eastAsia"/>
        </w:rPr>
        <w:t>施工技术方法</w:t>
      </w:r>
    </w:p>
    <w:p>
      <w:pPr>
        <w:pStyle w:val="2"/>
      </w:pPr>
      <w:r>
        <w:rPr>
          <w:rFonts w:hint="eastAsia"/>
        </w:rPr>
        <w:t>承包人的施工技术方法应符合有关操作规程、安全规程及质量标准。</w:t>
      </w:r>
    </w:p>
    <w:p>
      <w:pPr>
        <w:pStyle w:val="2"/>
      </w:pPr>
      <w:r>
        <w:rPr>
          <w:rFonts w:hint="eastAsia"/>
        </w:rPr>
        <w:t>发包人应在收到承包人提交的该方法后的5日内予以确认或提出建议，发包人的任何此类确认和建</w:t>
      </w:r>
    </w:p>
    <w:p>
      <w:pPr>
        <w:pStyle w:val="2"/>
        <w:ind w:left="0"/>
      </w:pPr>
      <w:r>
        <w:rPr>
          <w:rFonts w:hint="eastAsia"/>
        </w:rPr>
        <w:t>议，并不能减轻或免除承包人的合同责任。</w:t>
      </w:r>
    </w:p>
    <w:p>
      <w:pPr>
        <w:pStyle w:val="6"/>
        <w:numPr>
          <w:ilvl w:val="1"/>
          <w:numId w:val="12"/>
        </w:numPr>
      </w:pPr>
      <w:r>
        <w:rPr>
          <w:rFonts w:hint="eastAsia"/>
        </w:rPr>
        <w:t>人力和机具资源</w:t>
      </w:r>
    </w:p>
    <w:p>
      <w:pPr>
        <w:pStyle w:val="2"/>
      </w:pPr>
      <w:r>
        <w:rPr>
          <w:rFonts w:hint="eastAsia"/>
        </w:rPr>
        <w:t>7.4.1 承包人应按专用条款约定的格式、内容、份数和提交时间，向发包人提交施工人力资源计划</w:t>
      </w:r>
    </w:p>
    <w:p>
      <w:pPr>
        <w:pStyle w:val="2"/>
        <w:ind w:left="0"/>
      </w:pPr>
      <w:r>
        <w:rPr>
          <w:rFonts w:hint="eastAsia"/>
        </w:rPr>
        <w:t>一览表。施工人力资源计划应符合施工进度计划的需要；并按专用条款约定的报表格式、内容、份数和报告期，向发包人提供实际进场的人力资源信息。</w:t>
      </w:r>
    </w:p>
    <w:p>
      <w:pPr>
        <w:pStyle w:val="2"/>
      </w:pPr>
      <w:r>
        <w:rPr>
          <w:rFonts w:hint="eastAsia"/>
        </w:rPr>
        <w:t>承包人未能按施工人力资源计划一览表投入足够工种和人力，导致实际施工进度明显落后于施工进</w:t>
      </w:r>
    </w:p>
    <w:p>
      <w:pPr>
        <w:pStyle w:val="2"/>
        <w:ind w:left="0"/>
      </w:pPr>
      <w:r>
        <w:rPr>
          <w:rFonts w:hint="eastAsia"/>
        </w:rPr>
        <w:t>度计划时，发包人有权通知承包人按计划一览表列出的工种和人数，在合理时间内调派人员进入现场，并自费赶上进度。否则，发包人有权责令承包人将某些单项工程、分部分项工程的施工另行分包，因此发生的费用及延误的时间由承包人承担。</w:t>
      </w:r>
    </w:p>
    <w:p>
      <w:pPr>
        <w:pStyle w:val="2"/>
      </w:pPr>
      <w:r>
        <w:rPr>
          <w:rFonts w:hint="eastAsia"/>
        </w:rPr>
        <w:t>7.4.2 承包人应按专用条款约定的格式、内容、份数和提交时间，向发包人提交主要施工机具资源</w:t>
      </w:r>
    </w:p>
    <w:p>
      <w:pPr>
        <w:pStyle w:val="2"/>
        <w:ind w:left="0"/>
      </w:pPr>
      <w:r>
        <w:rPr>
          <w:rFonts w:hint="eastAsia"/>
        </w:rPr>
        <w:t>计划一览表。施工机具资源计划应符合施工进度计划的需要；并按专用条款约定的报表格式、内容、份数和报告期，向发包人提供实际进场的主要施工机具信息。</w:t>
      </w:r>
    </w:p>
    <w:p>
      <w:pPr>
        <w:pStyle w:val="2"/>
      </w:pPr>
      <w:r>
        <w:rPr>
          <w:rFonts w:hint="eastAsia"/>
        </w:rPr>
        <w:t>承包人未能按施工机具资源计划一览表投入足够的机具，导致实际施工进度落后于施工进度计划时，</w:t>
      </w:r>
    </w:p>
    <w:p>
      <w:pPr>
        <w:pStyle w:val="2"/>
        <w:ind w:left="0"/>
      </w:pPr>
      <w:r>
        <w:rPr>
          <w:rFonts w:hint="eastAsia"/>
        </w:rPr>
        <w:t>发包人有权通知承包人按该一览表列出的机具数量，在合理时间内调派机具进入现场。否则，发包人有权向承包人提供相关机具，因此 所发生的费用及延误的时间由承包人承担。</w:t>
      </w:r>
    </w:p>
    <w:p>
      <w:pPr>
        <w:pStyle w:val="6"/>
        <w:numPr>
          <w:ilvl w:val="1"/>
          <w:numId w:val="12"/>
        </w:numPr>
      </w:pPr>
      <w:r>
        <w:rPr>
          <w:rFonts w:hint="eastAsia"/>
        </w:rPr>
        <w:t>质量与检验</w:t>
      </w:r>
    </w:p>
    <w:p>
      <w:pPr>
        <w:pStyle w:val="2"/>
      </w:pPr>
      <w:r>
        <w:rPr>
          <w:rFonts w:hint="eastAsia"/>
          <w:lang w:eastAsia="en-US"/>
        </w:rPr>
        <w:t>7.5.1</w:t>
      </w:r>
      <w:r>
        <w:rPr>
          <w:rFonts w:hint="eastAsia"/>
        </w:rPr>
        <w:t xml:space="preserve"> 质量与检验</w:t>
      </w:r>
    </w:p>
    <w:p>
      <w:pPr>
        <w:pStyle w:val="2"/>
        <w:numPr>
          <w:ilvl w:val="0"/>
          <w:numId w:val="23"/>
        </w:numPr>
      </w:pPr>
      <w:bookmarkStart w:id="46" w:name="bookmark108"/>
      <w:bookmarkEnd w:id="46"/>
      <w:r>
        <w:rPr>
          <w:rFonts w:hint="eastAsia"/>
        </w:rPr>
        <w:t>承包人及其分包人应随时接受发包人、监理人所进行的安全、质量的监督和检査。承包人应</w:t>
      </w:r>
    </w:p>
    <w:p>
      <w:pPr>
        <w:pStyle w:val="2"/>
        <w:ind w:left="0"/>
      </w:pPr>
      <w:r>
        <w:rPr>
          <w:rFonts w:hint="eastAsia"/>
        </w:rPr>
        <w:t>为此类监督、检査提供方便。</w:t>
      </w:r>
    </w:p>
    <w:p>
      <w:pPr>
        <w:pStyle w:val="2"/>
        <w:numPr>
          <w:ilvl w:val="0"/>
          <w:numId w:val="23"/>
        </w:numPr>
      </w:pPr>
      <w:bookmarkStart w:id="47" w:name="bookmark109"/>
      <w:bookmarkEnd w:id="47"/>
      <w:r>
        <w:rPr>
          <w:rFonts w:hint="eastAsia"/>
        </w:rPr>
        <w:t>发包人委托第三方对施工质量进行检査、检验、检测和试验时，应以书面形式通知承包人。</w:t>
      </w:r>
    </w:p>
    <w:p>
      <w:pPr>
        <w:pStyle w:val="2"/>
        <w:ind w:left="0"/>
      </w:pPr>
      <w:r>
        <w:rPr>
          <w:rFonts w:hint="eastAsia"/>
        </w:rPr>
        <w:t>第三方的验收结果视为发包人的验收结果。</w:t>
      </w:r>
    </w:p>
    <w:p>
      <w:pPr>
        <w:pStyle w:val="2"/>
        <w:numPr>
          <w:ilvl w:val="0"/>
          <w:numId w:val="23"/>
        </w:numPr>
      </w:pPr>
      <w:bookmarkStart w:id="48" w:name="bookmark110"/>
      <w:bookmarkEnd w:id="48"/>
      <w:r>
        <w:rPr>
          <w:rFonts w:hint="eastAsia"/>
        </w:rPr>
        <w:t>承包人应遵守施工质量管理的有关规定，负有对其操作人员进行培训、考核、图纸交底、技</w:t>
      </w:r>
    </w:p>
    <w:p>
      <w:pPr>
        <w:pStyle w:val="2"/>
        <w:ind w:left="0"/>
      </w:pPr>
      <w:r>
        <w:rPr>
          <w:rFonts w:hint="eastAsia"/>
        </w:rPr>
        <w:t>术交底、操作规程交底、安全程序交底和质量标准交底，及消除事故隐患的责任。</w:t>
      </w:r>
    </w:p>
    <w:p>
      <w:pPr>
        <w:pStyle w:val="2"/>
        <w:numPr>
          <w:ilvl w:val="0"/>
          <w:numId w:val="23"/>
        </w:numPr>
      </w:pPr>
      <w:r>
        <w:rPr>
          <w:rFonts w:hint="eastAsia"/>
        </w:rPr>
        <w:t>承包人应按照设计文件、施工标准和合同约定，负责编写施工试验和检测方案，对工程物资</w:t>
      </w:r>
    </w:p>
    <w:p>
      <w:pPr>
        <w:pStyle w:val="2"/>
        <w:ind w:left="0"/>
      </w:pPr>
      <w:r>
        <w:rPr>
          <w:rFonts w:hint="eastAsia"/>
        </w:rPr>
        <w:t>（包括建筑构配件）进行检査、检验、检测和试验，不合格的不得使用。并有义务自费修复和（或）更换不合格的工程物资，因此造成竣工日期延误的，由承包人负责；发包人提供的工程物资经承包人检查、检验、检测和试验不合格的，发包人应自费修复和（或）更换，因此造成关键路径延误的，竣工日期相应顺延。承包人因此增加的费用，由发包人承担。</w:t>
      </w:r>
    </w:p>
    <w:p>
      <w:pPr>
        <w:pStyle w:val="2"/>
        <w:numPr>
          <w:ilvl w:val="0"/>
          <w:numId w:val="23"/>
        </w:numPr>
      </w:pPr>
      <w:r>
        <w:rPr>
          <w:rFonts w:hint="eastAsia"/>
        </w:rPr>
        <w:t>承包人的施工应符合合同约定的质量标准。施工质量评定以合同中约定的质量检验评定标准</w:t>
      </w:r>
    </w:p>
    <w:p>
      <w:pPr>
        <w:pStyle w:val="2"/>
        <w:ind w:left="0"/>
      </w:pPr>
      <w:r>
        <w:rPr>
          <w:rFonts w:hint="eastAsia"/>
        </w:rPr>
        <w:t>为依据。对不符合质量标准的施工部位，承包人应自费修复、返工、更换等。因此造成竣工日期延误的，由承包人负责。</w:t>
      </w:r>
    </w:p>
    <w:p>
      <w:pPr>
        <w:pStyle w:val="2"/>
      </w:pPr>
      <w:r>
        <w:rPr>
          <w:rFonts w:hint="eastAsia"/>
        </w:rPr>
        <w:t>7.5.2 质检部位与参检方。质检部位分为：发包人、监理人与承包人三方参检的部位；监理人与承</w:t>
      </w:r>
    </w:p>
    <w:p>
      <w:pPr>
        <w:pStyle w:val="2"/>
        <w:ind w:left="0"/>
      </w:pPr>
      <w:r>
        <w:rPr>
          <w:rFonts w:hint="eastAsia"/>
        </w:rPr>
        <w:t>包人两方参检的部位；第三方或（和）承包人一方参检的部位。对施工质量进行检查的部位、检查标准及验收的表格格式在专用条款中约定。</w:t>
      </w:r>
    </w:p>
    <w:p>
      <w:pPr>
        <w:pStyle w:val="2"/>
      </w:pPr>
      <w:r>
        <w:rPr>
          <w:rFonts w:hint="eastAsia"/>
        </w:rPr>
        <w:t>承包人应将按上述约定，经其一方检查合格的部位报发包人或监理人备案。发包人和工程总监有权</w:t>
      </w:r>
    </w:p>
    <w:p>
      <w:pPr>
        <w:pStyle w:val="2"/>
        <w:ind w:left="0"/>
      </w:pPr>
      <w:r>
        <w:rPr>
          <w:rFonts w:hint="eastAsia"/>
        </w:rPr>
        <w:t>随时对备案的部位进行抽査或全面检査。</w:t>
      </w:r>
    </w:p>
    <w:p>
      <w:pPr>
        <w:pStyle w:val="2"/>
      </w:pPr>
      <w:r>
        <w:rPr>
          <w:rFonts w:hint="eastAsia"/>
        </w:rPr>
        <w:t>7.5.3 通知参检方的参检。承包人自行检査、检验、检测和试验合格的，按 7.5.2款专用条款约定</w:t>
      </w:r>
    </w:p>
    <w:p>
      <w:pPr>
        <w:pStyle w:val="2"/>
        <w:ind w:left="0"/>
      </w:pPr>
      <w:r>
        <w:rPr>
          <w:rFonts w:hint="eastAsia"/>
        </w:rPr>
        <w:t>的质检部位和参检方，通知相关参检单位在24小时内参加检查。参检方未能按时参加的，承包人应将自检合格的结果于其后的24小时内送交发包人和（或）监理人签字，24小时后未能签字，视为质检结果已被发包人认可。此后3日内，承包人可发出视为发包人和（或）监理人已确认该质检结果的通知。</w:t>
      </w:r>
    </w:p>
    <w:p>
      <w:pPr>
        <w:pStyle w:val="2"/>
      </w:pPr>
      <w:r>
        <w:rPr>
          <w:rFonts w:hint="eastAsia"/>
        </w:rPr>
        <w:t>7.5.4 质量检查的权利。发包人及其授权的监理人或第三方，在不妨碍承包人正常作业的情况下，</w:t>
      </w:r>
    </w:p>
    <w:p>
      <w:pPr>
        <w:pStyle w:val="2"/>
        <w:ind w:left="0"/>
      </w:pPr>
      <w:r>
        <w:rPr>
          <w:rFonts w:hint="eastAsia"/>
        </w:rPr>
        <w:t>具有对任何施工区域进行质量监督、检査、检验、检测和试验的权利。承包人应为此类质量检查活动提供便利。经质检发现因承包人原因引起的质量缺陷时，发包人有权下达修复、暂停、拆除、返工、重新施工、更换等指令。由此增加的费用由承包人承担，竣工日期不予延长。</w:t>
      </w:r>
    </w:p>
    <w:p>
      <w:pPr>
        <w:pStyle w:val="2"/>
      </w:pPr>
      <w:r>
        <w:rPr>
          <w:rFonts w:hint="eastAsia"/>
        </w:rPr>
        <w:t>7.5.5 重新进行质量检查。按7.5.3款的约定，经质量检查合格的工程部位，发包人有权在不影响</w:t>
      </w:r>
    </w:p>
    <w:p>
      <w:pPr>
        <w:pStyle w:val="2"/>
        <w:ind w:left="0"/>
      </w:pPr>
      <w:r>
        <w:rPr>
          <w:rFonts w:hint="eastAsia"/>
        </w:rPr>
        <w:t>工程正常施工的条件下，重新进行质量检査。检査、检验、检测、试验结果不合格时，因此发生的费用由承包人承担，造成工程关键路径延误的，竣工日期不予延长；检査、检验、检测、试验的结果合格时，承包人增加的费用由发包人承担，工程关键路径延误的，竣工日期相应顺延。</w:t>
      </w:r>
    </w:p>
    <w:p>
      <w:pPr>
        <w:pStyle w:val="2"/>
      </w:pPr>
      <w:r>
        <w:rPr>
          <w:rFonts w:hint="eastAsia"/>
        </w:rPr>
        <w:t>7.5.6 因发包人代表和（或）监理人的指令失误，或其他非承包人原因发生的追加施工费用，由发</w:t>
      </w:r>
    </w:p>
    <w:p>
      <w:pPr>
        <w:pStyle w:val="2"/>
        <w:ind w:left="0"/>
      </w:pPr>
      <w:r>
        <w:rPr>
          <w:rFonts w:hint="eastAsia"/>
        </w:rPr>
        <w:t>包人承担。造成工程关键路径延误的，竣工日期相应顺延。</w:t>
      </w:r>
    </w:p>
    <w:p>
      <w:pPr>
        <w:pStyle w:val="6"/>
        <w:numPr>
          <w:ilvl w:val="1"/>
          <w:numId w:val="12"/>
        </w:numPr>
      </w:pPr>
      <w:r>
        <w:rPr>
          <w:rFonts w:hint="eastAsia"/>
        </w:rPr>
        <w:t>隐蔽工程和中间验收</w:t>
      </w:r>
    </w:p>
    <w:p>
      <w:pPr>
        <w:pStyle w:val="2"/>
      </w:pPr>
      <w:r>
        <w:rPr>
          <w:rFonts w:hint="eastAsia"/>
        </w:rPr>
        <w:t>7.6.1 隐蔽工程和中间验收。需要质检的隐蔽工程和中间验收部位的分类、部位、质检内容、质检</w:t>
      </w:r>
    </w:p>
    <w:p>
      <w:pPr>
        <w:pStyle w:val="2"/>
        <w:ind w:left="0"/>
      </w:pPr>
      <w:r>
        <w:rPr>
          <w:rFonts w:hint="eastAsia"/>
        </w:rPr>
        <w:t>标准、质检表格和参检方在专用条款中约定。</w:t>
      </w:r>
    </w:p>
    <w:p>
      <w:pPr>
        <w:pStyle w:val="2"/>
      </w:pPr>
      <w:r>
        <w:rPr>
          <w:rFonts w:hint="eastAsia"/>
        </w:rPr>
        <w:t>7.6.2 验收通知和验收。承包人对自检合格的隐蔽工程或中间验收部位，应在隐蔽工程或中间验收</w:t>
      </w:r>
    </w:p>
    <w:p>
      <w:pPr>
        <w:pStyle w:val="2"/>
        <w:ind w:left="0"/>
      </w:pPr>
      <w:r>
        <w:rPr>
          <w:rFonts w:hint="eastAsia"/>
        </w:rPr>
        <w:t>前的48小时以书面形式通知发包人和（或）监理人验收。通知应包括隐蔽和中间验收的内容、验收时间和地点。验收合格，双方在验收记录上签字后，方可覆盖、进行紧后作业，编制并提交隐蔽工程竣工资料以及发包人或监理人要求提供的相关资料。</w:t>
      </w:r>
    </w:p>
    <w:p>
      <w:pPr>
        <w:pStyle w:val="2"/>
      </w:pPr>
      <w:r>
        <w:rPr>
          <w:rFonts w:hint="eastAsia"/>
        </w:rPr>
        <w:t>发包人和（或）监理人在验收合格24小时后不在验收记录上签字的，视为发包人和（或）监理人</w:t>
      </w:r>
    </w:p>
    <w:p>
      <w:pPr>
        <w:pStyle w:val="2"/>
        <w:ind w:left="0"/>
      </w:pPr>
      <w:r>
        <w:rPr>
          <w:rFonts w:hint="eastAsia"/>
        </w:rPr>
        <w:t>已经认可验收记录，承包人可隐蔽或进行紧后作业。经发包人和（或）监理人验收不合格的，承包人需在发包人和（或）监理人限定的时间内修复，重新通知发包人和（或）监理人验收。</w:t>
      </w:r>
    </w:p>
    <w:p>
      <w:pPr>
        <w:pStyle w:val="2"/>
      </w:pPr>
      <w:r>
        <w:rPr>
          <w:rFonts w:hint="eastAsia"/>
        </w:rPr>
        <w:t>7.6.3 未能按时参加验收。发包人和（或）监理人不能按时参加隐蔽工程或中间验收部位验收的，</w:t>
      </w:r>
    </w:p>
    <w:p>
      <w:pPr>
        <w:pStyle w:val="2"/>
        <w:ind w:left="0"/>
      </w:pPr>
      <w:r>
        <w:rPr>
          <w:rFonts w:hint="eastAsia"/>
        </w:rPr>
        <w:t>应在收到验收通知24小时内以书面形式向承包人提出延期要求，延期不能超过48小时。发包人未能按以上时间提出延期验收，又未能参加验收的，承包人可自行组织验收，其验收记录视为已被发包人、监理人认可。</w:t>
      </w:r>
    </w:p>
    <w:p>
      <w:pPr>
        <w:pStyle w:val="2"/>
      </w:pPr>
      <w:r>
        <w:rPr>
          <w:rFonts w:hint="eastAsia"/>
        </w:rPr>
        <w:t>因应发包人和（或）监理人要求所进行延期验收造成关键路径延误的，竣工日期相应顺延；给承包</w:t>
      </w:r>
    </w:p>
    <w:p>
      <w:pPr>
        <w:pStyle w:val="2"/>
        <w:ind w:left="0"/>
      </w:pPr>
      <w:r>
        <w:rPr>
          <w:rFonts w:hint="eastAsia"/>
        </w:rPr>
        <w:t>人造成的停工、窝工损失，由发包人承担。</w:t>
      </w:r>
    </w:p>
    <w:p>
      <w:pPr>
        <w:pStyle w:val="2"/>
      </w:pPr>
      <w:r>
        <w:rPr>
          <w:rFonts w:hint="eastAsia"/>
        </w:rPr>
        <w:t>7.6.4 再检验。发包人和（或）监理人在任何时间内，均有权要求对已经验收的隐蔽工程重新检验，</w:t>
      </w:r>
    </w:p>
    <w:p>
      <w:pPr>
        <w:pStyle w:val="2"/>
        <w:ind w:left="0"/>
      </w:pPr>
      <w:r>
        <w:rPr>
          <w:rFonts w:hint="eastAsia"/>
        </w:rPr>
        <w:t>承包人应按要求拆除覆盖、剥离或开孔，并在检验后重新覆盖或修复。隐蔽工程经重新检验不合格的，由此发生的费用由承包人承担，竣工日期不予延长；经检验合格的，承包人因此增加的费用由发包人承担，工程关键路径延误的，竣工日期相应顺延。</w:t>
      </w:r>
    </w:p>
    <w:p>
      <w:pPr>
        <w:pStyle w:val="6"/>
        <w:numPr>
          <w:ilvl w:val="1"/>
          <w:numId w:val="12"/>
        </w:numPr>
      </w:pPr>
      <w:r>
        <w:rPr>
          <w:rFonts w:hint="eastAsia"/>
        </w:rPr>
        <w:t>对施工质量结果的争议</w:t>
      </w:r>
    </w:p>
    <w:p>
      <w:pPr>
        <w:pStyle w:val="2"/>
      </w:pPr>
      <w:r>
        <w:rPr>
          <w:rFonts w:hint="eastAsia"/>
        </w:rPr>
        <w:t>7.7.1 双方对施工质量结果有争议时，应首先协商解决。经协商未达成一致意见的，委托双方一致</w:t>
      </w:r>
    </w:p>
    <w:p>
      <w:pPr>
        <w:pStyle w:val="2"/>
        <w:ind w:left="0"/>
      </w:pPr>
      <w:r>
        <w:rPr>
          <w:rFonts w:hint="eastAsia"/>
        </w:rPr>
        <w:t>同意的具有相应资质的工程质量检测机构进行检测。</w:t>
      </w:r>
    </w:p>
    <w:p>
      <w:pPr>
        <w:pStyle w:val="2"/>
      </w:pPr>
      <w:r>
        <w:rPr>
          <w:rFonts w:hint="eastAsia"/>
        </w:rPr>
        <w:t>根据检测机构的鉴定结果，责任方为承包人时，因此造成的费用增加或竣工日期延误，由承包人负</w:t>
      </w:r>
    </w:p>
    <w:p>
      <w:pPr>
        <w:pStyle w:val="2"/>
        <w:ind w:left="0"/>
      </w:pPr>
      <w:r>
        <w:rPr>
          <w:rFonts w:hint="eastAsia"/>
        </w:rPr>
        <w:t>责；责任方为发包人时，因此造成的费用增加由发包人承担，工程关键路径因争议受到延误的，竣工日期相应顺延。</w:t>
      </w:r>
    </w:p>
    <w:p>
      <w:pPr>
        <w:pStyle w:val="2"/>
      </w:pPr>
      <w:r>
        <w:rPr>
          <w:rFonts w:hint="eastAsia"/>
        </w:rPr>
        <w:t>7.7.2 根据检测机构的鉴定结果，合同双方均有责任时，根据各方的责任大小，协商分担发生的费</w:t>
      </w:r>
    </w:p>
    <w:p>
      <w:pPr>
        <w:pStyle w:val="2"/>
        <w:ind w:left="0"/>
      </w:pPr>
      <w:r>
        <w:rPr>
          <w:rFonts w:hint="eastAsia"/>
        </w:rPr>
        <w:t>用；因此造成工程关键路径延误时，商定对竣工日期的延长时间。双方对分担的费用、竣工日期延长不能达成一致时，按16.3款争议和裁决的约定程序解决。</w:t>
      </w:r>
    </w:p>
    <w:p>
      <w:pPr>
        <w:pStyle w:val="6"/>
        <w:numPr>
          <w:ilvl w:val="1"/>
          <w:numId w:val="12"/>
        </w:numPr>
      </w:pPr>
      <w:r>
        <w:rPr>
          <w:rFonts w:hint="eastAsia"/>
        </w:rPr>
        <w:t>职业健康、安全、环境保护</w:t>
      </w:r>
    </w:p>
    <w:p>
      <w:pPr>
        <w:pStyle w:val="2"/>
      </w:pPr>
      <w:r>
        <w:rPr>
          <w:rFonts w:hint="eastAsia"/>
        </w:rPr>
        <w:t>7.8.1 职业健康、安全、环境保护管理</w:t>
      </w:r>
    </w:p>
    <w:p>
      <w:pPr>
        <w:pStyle w:val="2"/>
      </w:pPr>
      <w:bookmarkStart w:id="49" w:name="bookmark113"/>
      <w:bookmarkEnd w:id="49"/>
      <w:r>
        <w:rPr>
          <w:rFonts w:hint="eastAsia"/>
        </w:rPr>
        <w:t>（1）遵守有关健康、安全、环境保护的各项法律规定，是双方的义务。</w:t>
      </w:r>
    </w:p>
    <w:p>
      <w:pPr>
        <w:pStyle w:val="2"/>
      </w:pPr>
      <w:bookmarkStart w:id="50" w:name="bookmark114"/>
      <w:bookmarkEnd w:id="50"/>
      <w:r>
        <w:rPr>
          <w:rFonts w:hint="eastAsia"/>
        </w:rPr>
        <w:t>（2）职业健康、安全、环境保护管理实施计划。承包人应在现场开工前或约定的其它时间内，将</w:t>
      </w:r>
    </w:p>
    <w:p>
      <w:pPr>
        <w:pStyle w:val="2"/>
        <w:ind w:left="0"/>
      </w:pPr>
      <w:r>
        <w:rPr>
          <w:rFonts w:hint="eastAsia"/>
        </w:rPr>
        <w:t>职业健康、安全、环境保护管理实施计划提交给发包人。该计划的管理、实施费用包括在合同价格中。发包人应在收到该计划后15日内提出建议，并予以确认。承包人应根据发包人的建议自费修正。职业健康、安全、环境保护管理实施计划的提交份数和提交时间，在专用条款中约定。</w:t>
      </w:r>
    </w:p>
    <w:p>
      <w:pPr>
        <w:pStyle w:val="2"/>
      </w:pPr>
      <w:bookmarkStart w:id="51" w:name="bookmark115"/>
      <w:bookmarkEnd w:id="51"/>
      <w:r>
        <w:rPr>
          <w:rFonts w:hint="eastAsia"/>
        </w:rPr>
        <w:t>（3）在承包人实施职业健康、安全、环境保护管理实施计划的过程中，发包人需要在该计划之外</w:t>
      </w:r>
    </w:p>
    <w:p>
      <w:pPr>
        <w:pStyle w:val="2"/>
        <w:ind w:left="0"/>
      </w:pPr>
      <w:r>
        <w:rPr>
          <w:rFonts w:hint="eastAsia"/>
        </w:rPr>
        <w:t>釆取特殊措施的，按13条变更和合同价格调整的约定，作为变更处理。</w:t>
      </w:r>
    </w:p>
    <w:p>
      <w:pPr>
        <w:pStyle w:val="2"/>
        <w:numPr>
          <w:ilvl w:val="0"/>
          <w:numId w:val="22"/>
        </w:numPr>
      </w:pPr>
      <w:bookmarkStart w:id="52" w:name="bookmark116"/>
      <w:bookmarkEnd w:id="52"/>
      <w:r>
        <w:rPr>
          <w:rFonts w:hint="eastAsia"/>
        </w:rPr>
        <w:t>承包人应确保其在现场的所有雇员及其分包人的雇员都经过了足够的培训并具有经验，能够</w:t>
      </w:r>
    </w:p>
    <w:p>
      <w:pPr>
        <w:pStyle w:val="2"/>
        <w:ind w:left="0"/>
      </w:pPr>
      <w:r>
        <w:rPr>
          <w:rFonts w:hint="eastAsia"/>
        </w:rPr>
        <w:t>胜任职业健康、安全、环境保护管理工作。</w:t>
      </w:r>
    </w:p>
    <w:p>
      <w:pPr>
        <w:pStyle w:val="2"/>
        <w:numPr>
          <w:ilvl w:val="0"/>
          <w:numId w:val="22"/>
        </w:numPr>
      </w:pPr>
      <w:bookmarkStart w:id="53" w:name="bookmark117"/>
      <w:bookmarkEnd w:id="53"/>
      <w:r>
        <w:rPr>
          <w:rFonts w:hint="eastAsia"/>
        </w:rPr>
        <w:t>承包人应遵守所有与实施本工程和使用施工设备相关的现场职业健康、安全和环境保护的法</w:t>
      </w:r>
    </w:p>
    <w:p>
      <w:pPr>
        <w:pStyle w:val="2"/>
        <w:ind w:left="0"/>
      </w:pPr>
      <w:r>
        <w:rPr>
          <w:rFonts w:hint="eastAsia"/>
        </w:rPr>
        <w:t>律规定，并按规定各自办理相关手续。</w:t>
      </w:r>
    </w:p>
    <w:p>
      <w:pPr>
        <w:pStyle w:val="2"/>
        <w:numPr>
          <w:ilvl w:val="0"/>
          <w:numId w:val="22"/>
        </w:numPr>
      </w:pPr>
      <w:bookmarkStart w:id="54" w:name="bookmark118"/>
      <w:bookmarkEnd w:id="54"/>
      <w:r>
        <w:rPr>
          <w:rFonts w:hint="eastAsia"/>
        </w:rPr>
        <w:t>承包人应为现场开工部分的工程建立职业健康保障条件、搭设安全设施并釆取环保措施等，</w:t>
      </w:r>
    </w:p>
    <w:p>
      <w:pPr>
        <w:pStyle w:val="2"/>
        <w:ind w:left="0"/>
      </w:pPr>
      <w:r>
        <w:rPr>
          <w:rFonts w:hint="eastAsia"/>
        </w:rPr>
        <w:t>为发包人办理施工许可证提供条件。因承包人原因导致施工许可的批准推迟，造成费用增加或工程关键路径延误时，由承包人负责。</w:t>
      </w:r>
    </w:p>
    <w:p>
      <w:pPr>
        <w:pStyle w:val="2"/>
        <w:numPr>
          <w:ilvl w:val="0"/>
          <w:numId w:val="22"/>
        </w:numPr>
      </w:pPr>
      <w:bookmarkStart w:id="55" w:name="bookmark119"/>
      <w:bookmarkEnd w:id="55"/>
      <w:r>
        <w:rPr>
          <w:rFonts w:hint="eastAsia"/>
        </w:rPr>
        <w:t>承包人应配备专职工程师或管理人员，负责管理、监督、指导职工职业健康、安全防护和环</w:t>
      </w:r>
    </w:p>
    <w:p>
      <w:pPr>
        <w:pStyle w:val="2"/>
        <w:ind w:left="0"/>
      </w:pPr>
      <w:r>
        <w:rPr>
          <w:rFonts w:hint="eastAsia"/>
        </w:rPr>
        <w:t>境保护工作。承包人应对其分包人的行为负责。</w:t>
      </w:r>
    </w:p>
    <w:p>
      <w:pPr>
        <w:pStyle w:val="2"/>
        <w:numPr>
          <w:ilvl w:val="0"/>
          <w:numId w:val="22"/>
        </w:numPr>
      </w:pPr>
      <w:bookmarkStart w:id="56" w:name="bookmark120"/>
      <w:bookmarkEnd w:id="56"/>
      <w:r>
        <w:rPr>
          <w:rFonts w:hint="eastAsia"/>
        </w:rPr>
        <w:t>承包人应随时接受政府有关行政部门、行业机构、发包人、监理人的职业健康、安全、环境</w:t>
      </w:r>
    </w:p>
    <w:p>
      <w:pPr>
        <w:pStyle w:val="2"/>
        <w:ind w:left="0"/>
      </w:pPr>
      <w:r>
        <w:rPr>
          <w:rFonts w:hint="eastAsia"/>
        </w:rPr>
        <w:t>保护检查人员的监督和检査，并为此提供方便。</w:t>
      </w:r>
    </w:p>
    <w:p>
      <w:pPr>
        <w:pStyle w:val="2"/>
      </w:pPr>
      <w:r>
        <w:rPr>
          <w:rFonts w:hint="eastAsia"/>
        </w:rPr>
        <w:t>7.8.2 现场职业健康管理</w:t>
      </w:r>
    </w:p>
    <w:p>
      <w:pPr>
        <w:pStyle w:val="2"/>
        <w:numPr>
          <w:ilvl w:val="0"/>
          <w:numId w:val="24"/>
        </w:numPr>
      </w:pPr>
      <w:bookmarkStart w:id="57" w:name="bookmark121"/>
      <w:bookmarkEnd w:id="57"/>
      <w:r>
        <w:rPr>
          <w:rFonts w:hint="eastAsia"/>
        </w:rPr>
        <w:t>承包人应遵守适用的职业健康的法律和合同约定(包括对雇用、职业 健康、安全、福利等方</w:t>
      </w:r>
    </w:p>
    <w:p>
      <w:pPr>
        <w:pStyle w:val="2"/>
        <w:ind w:left="0"/>
      </w:pPr>
      <w:r>
        <w:rPr>
          <w:rFonts w:hint="eastAsia"/>
        </w:rPr>
        <w:t>面的规定)，负责现场实施过程中其人员的职业健康和保护。</w:t>
      </w:r>
    </w:p>
    <w:p>
      <w:pPr>
        <w:pStyle w:val="2"/>
        <w:numPr>
          <w:ilvl w:val="0"/>
          <w:numId w:val="24"/>
        </w:numPr>
      </w:pPr>
      <w:bookmarkStart w:id="58" w:name="bookmark122"/>
      <w:bookmarkEnd w:id="58"/>
      <w:r>
        <w:rPr>
          <w:rFonts w:hint="eastAsia"/>
        </w:rPr>
        <w:t>承包人应遵守适用的劳动法规，保护其雇员的合法休假权等合法权益，并为其现场人员提供</w:t>
      </w:r>
    </w:p>
    <w:p>
      <w:pPr>
        <w:pStyle w:val="2"/>
        <w:ind w:left="0"/>
      </w:pPr>
      <w:r>
        <w:rPr>
          <w:rFonts w:hint="eastAsia"/>
        </w:rPr>
        <w:t>劳动保护用品、防护器具、防暑降温用品、必要的现场食宿条件和安全生产设施。</w:t>
      </w:r>
    </w:p>
    <w:p>
      <w:pPr>
        <w:pStyle w:val="2"/>
        <w:numPr>
          <w:ilvl w:val="0"/>
          <w:numId w:val="24"/>
        </w:numPr>
      </w:pPr>
      <w:bookmarkStart w:id="59" w:name="bookmark123"/>
      <w:bookmarkEnd w:id="59"/>
      <w:r>
        <w:rPr>
          <w:rFonts w:hint="eastAsia"/>
        </w:rPr>
        <w:t>承包人应对其施工人员进行相关作业的职业健康知识培训、危险及危害因素交底、安全操作</w:t>
      </w:r>
    </w:p>
    <w:p>
      <w:pPr>
        <w:pStyle w:val="2"/>
        <w:ind w:left="0"/>
      </w:pPr>
      <w:r>
        <w:rPr>
          <w:rFonts w:hint="eastAsia"/>
        </w:rPr>
        <w:t>规程交底、釆取有效措施，按有关规定提供防止人身伤害的保护用具。</w:t>
      </w:r>
    </w:p>
    <w:p>
      <w:pPr>
        <w:pStyle w:val="2"/>
        <w:numPr>
          <w:ilvl w:val="0"/>
          <w:numId w:val="24"/>
        </w:numPr>
      </w:pPr>
      <w:bookmarkStart w:id="60" w:name="bookmark124"/>
      <w:bookmarkEnd w:id="60"/>
      <w:r>
        <w:rPr>
          <w:rFonts w:hint="eastAsia"/>
        </w:rPr>
        <w:t>承包人应在有毒有害作业区域设置警示标志和说明。发包人及其委托人员未经承包人允许、</w:t>
      </w:r>
    </w:p>
    <w:p>
      <w:pPr>
        <w:pStyle w:val="2"/>
        <w:ind w:left="0"/>
      </w:pPr>
      <w:r>
        <w:rPr>
          <w:rFonts w:hint="eastAsia"/>
        </w:rPr>
        <w:t>未配备相关保护器具，进入该作业区域所造成的伤害，由发包人承担责任和费用。</w:t>
      </w:r>
    </w:p>
    <w:p>
      <w:pPr>
        <w:pStyle w:val="2"/>
        <w:numPr>
          <w:ilvl w:val="0"/>
          <w:numId w:val="24"/>
        </w:numPr>
      </w:pPr>
      <w:r>
        <w:rPr>
          <w:rFonts w:hint="eastAsia"/>
        </w:rPr>
        <w:t>承包人应对有毒有害岗位进行防治检査，对不合格的防护设施、器具、搭设等及时整改，消</w:t>
      </w:r>
    </w:p>
    <w:p>
      <w:pPr>
        <w:pStyle w:val="2"/>
        <w:ind w:left="0"/>
      </w:pPr>
      <w:r>
        <w:rPr>
          <w:rFonts w:hint="eastAsia"/>
        </w:rPr>
        <w:t>除危害职业健康的隐患。</w:t>
      </w:r>
    </w:p>
    <w:p>
      <w:pPr>
        <w:pStyle w:val="2"/>
        <w:numPr>
          <w:ilvl w:val="0"/>
          <w:numId w:val="24"/>
        </w:numPr>
      </w:pPr>
      <w:r>
        <w:rPr>
          <w:rFonts w:hint="eastAsia"/>
        </w:rPr>
        <w:t>承包人应釆取卫生防疫措施，配备医务人员、急救设施，保持食堂的饮食卫生，保持住地及</w:t>
      </w:r>
    </w:p>
    <w:p>
      <w:pPr>
        <w:pStyle w:val="2"/>
        <w:ind w:left="0"/>
      </w:pPr>
      <w:r>
        <w:rPr>
          <w:rFonts w:hint="eastAsia"/>
        </w:rPr>
        <w:t>其周围的环境卫生，维护施工人员的职业健康。</w:t>
      </w:r>
    </w:p>
    <w:p>
      <w:pPr>
        <w:pStyle w:val="2"/>
      </w:pPr>
      <w:r>
        <w:rPr>
          <w:rFonts w:hint="eastAsia"/>
        </w:rPr>
        <w:t>7.8.3 现场安全管理</w:t>
      </w:r>
    </w:p>
    <w:p>
      <w:pPr>
        <w:pStyle w:val="2"/>
        <w:numPr>
          <w:ilvl w:val="0"/>
          <w:numId w:val="25"/>
        </w:numPr>
      </w:pPr>
      <w:r>
        <w:rPr>
          <w:rFonts w:hint="eastAsia"/>
        </w:rPr>
        <w:t>发包人、监理人应对其在现场的人员进行安全教育，提供必要的个人安全用品，并对他们所</w:t>
      </w:r>
    </w:p>
    <w:p>
      <w:pPr>
        <w:pStyle w:val="2"/>
        <w:ind w:left="0"/>
      </w:pPr>
      <w:r>
        <w:rPr>
          <w:rFonts w:hint="eastAsia"/>
        </w:rPr>
        <w:t>造成的安全事故负责。发包人、监理人不得强令承包人违反安全施工、安全操作及竣工试验和（或）竣工后试验的有关安全规定。因发包人、监理人及其现场工作人员的原因，导致的人身伤害和财产损失，由发包人承担相关责任及所发生的费用。工程关键路径延误时，竣工日期给予顺延。</w:t>
      </w:r>
    </w:p>
    <w:p>
      <w:pPr>
        <w:pStyle w:val="2"/>
      </w:pPr>
      <w:r>
        <w:rPr>
          <w:rFonts w:hint="eastAsia"/>
        </w:rPr>
        <w:t>因承包人原因，违反安全施工、安全操作、竣工试验和（或）竣工后试验的有关安全规定，导致人</w:t>
      </w:r>
    </w:p>
    <w:p>
      <w:pPr>
        <w:pStyle w:val="2"/>
        <w:ind w:left="0"/>
      </w:pPr>
      <w:r>
        <w:rPr>
          <w:rFonts w:hint="eastAsia"/>
        </w:rPr>
        <w:t>身伤害和财产损失及工程关键路径延误时，由承包人负责。</w:t>
      </w:r>
    </w:p>
    <w:p>
      <w:pPr>
        <w:pStyle w:val="2"/>
        <w:numPr>
          <w:ilvl w:val="0"/>
          <w:numId w:val="25"/>
        </w:numPr>
      </w:pPr>
      <w:r>
        <w:rPr>
          <w:rFonts w:hint="eastAsia"/>
        </w:rPr>
        <w:t>双方人员应遵守有关禁止通行的须知，包括禁止进入工作场地以及临近工作场地的特定区域。</w:t>
      </w:r>
    </w:p>
    <w:p>
      <w:pPr>
        <w:pStyle w:val="2"/>
        <w:ind w:left="0"/>
      </w:pPr>
      <w:r>
        <w:rPr>
          <w:rFonts w:hint="eastAsia"/>
        </w:rPr>
        <w:t>未能遵守此约定，造成伤害、损坏和损失的，由未能遵守此项约定的一方负责。</w:t>
      </w:r>
    </w:p>
    <w:p>
      <w:pPr>
        <w:pStyle w:val="2"/>
        <w:numPr>
          <w:ilvl w:val="0"/>
          <w:numId w:val="25"/>
        </w:numPr>
      </w:pPr>
      <w:r>
        <w:rPr>
          <w:rFonts w:hint="eastAsia"/>
        </w:rPr>
        <w:t>承包人应按合同约定负责现场的安全工作，包括其分包人的现场。对有条件的现场实行封闭</w:t>
      </w:r>
    </w:p>
    <w:p>
      <w:pPr>
        <w:pStyle w:val="2"/>
        <w:ind w:left="0"/>
      </w:pPr>
      <w:r>
        <w:rPr>
          <w:rFonts w:hint="eastAsia"/>
        </w:rPr>
        <w:t>管理。应根据工程特点，在施工组织设计文件中制定相应的安全技术措施，并对专业性较强的工程部分编制专项安全施工组织设计，包括维护安全、防范危险和预防火灾等措施。</w:t>
      </w:r>
    </w:p>
    <w:p>
      <w:pPr>
        <w:pStyle w:val="2"/>
        <w:numPr>
          <w:ilvl w:val="0"/>
          <w:numId w:val="25"/>
        </w:numPr>
      </w:pPr>
      <w:r>
        <w:rPr>
          <w:rFonts w:hint="eastAsia"/>
        </w:rPr>
        <w:t>承包人（包括承包人的分包人、供应商及其运输单位）应对其现场内及进出现场途中的道路、</w:t>
      </w:r>
    </w:p>
    <w:p>
      <w:pPr>
        <w:pStyle w:val="2"/>
        <w:ind w:left="0"/>
      </w:pPr>
      <w:r>
        <w:rPr>
          <w:rFonts w:hint="eastAsia"/>
        </w:rPr>
        <w:t>桥梁、地下设施等，采取防范措施使其免遭损坏，专用条款另有约定时除外。因未按约定釆取防范措施所造成的损坏和（或）竣工日期延误，由承包人负责。</w:t>
      </w:r>
    </w:p>
    <w:p>
      <w:pPr>
        <w:pStyle w:val="2"/>
        <w:numPr>
          <w:ilvl w:val="0"/>
          <w:numId w:val="25"/>
        </w:numPr>
      </w:pPr>
      <w:r>
        <w:rPr>
          <w:rFonts w:hint="eastAsia"/>
        </w:rPr>
        <w:t>承包人应对其施工人员进行安全操作培训，安全操作规程交底，釆取安全防护措施，设置安</w:t>
      </w:r>
    </w:p>
    <w:p>
      <w:pPr>
        <w:pStyle w:val="2"/>
        <w:ind w:left="0"/>
      </w:pPr>
      <w:r>
        <w:rPr>
          <w:rFonts w:hint="eastAsia"/>
        </w:rPr>
        <w:t>全警示标志和说明，进行安全检査，消除事故隐患。</w:t>
      </w:r>
    </w:p>
    <w:p>
      <w:pPr>
        <w:pStyle w:val="2"/>
        <w:numPr>
          <w:ilvl w:val="0"/>
          <w:numId w:val="25"/>
        </w:numPr>
      </w:pPr>
      <w:r>
        <w:rPr>
          <w:rFonts w:hint="eastAsia"/>
        </w:rPr>
        <w:t>承包人在动力设备、输电线路、地下管道、密封防震车间、高温高压、易燃易爆区域和地段，</w:t>
      </w:r>
    </w:p>
    <w:p>
      <w:pPr>
        <w:pStyle w:val="2"/>
        <w:ind w:left="0"/>
      </w:pPr>
      <w:r>
        <w:rPr>
          <w:rFonts w:hint="eastAsia"/>
        </w:rPr>
        <w:t>以及临街交通要道附近作业时，应对施工现场及毗邻的建筑物、构筑物和特殊作业环境可能造成的损害釆取安全防护措施。施工开始前承包人须向发包人和（或）监理人提交安全防护措施方案，经认可后实施。发包人和（或）监理人的认可，并不能减轻或免除承包人的责任。</w:t>
      </w:r>
    </w:p>
    <w:p>
      <w:pPr>
        <w:pStyle w:val="2"/>
        <w:numPr>
          <w:ilvl w:val="0"/>
          <w:numId w:val="25"/>
        </w:numPr>
      </w:pPr>
      <w:r>
        <w:rPr>
          <w:rFonts w:hint="eastAsia"/>
        </w:rPr>
        <w:t>承包人实施爆破、放射性、带电、毒害性及使用易燃易爆、毒害性、腐蚀性物品作业（含运</w:t>
      </w:r>
    </w:p>
    <w:p>
      <w:pPr>
        <w:pStyle w:val="2"/>
        <w:ind w:left="0"/>
      </w:pPr>
      <w:r>
        <w:rPr>
          <w:rFonts w:hint="eastAsia"/>
        </w:rPr>
        <w:t>输、储存、保管）时，应在施工前10日以书面形式通知发包人和（或）监理人，并提交相应的安全防护措施方案，经认可后实施。发包人和（或）监理人的认可，并不能减轻或免除承包人的责任。</w:t>
      </w:r>
    </w:p>
    <w:p>
      <w:pPr>
        <w:pStyle w:val="2"/>
        <w:numPr>
          <w:ilvl w:val="0"/>
          <w:numId w:val="25"/>
        </w:numPr>
      </w:pPr>
      <w:r>
        <w:rPr>
          <w:rFonts w:hint="eastAsia"/>
        </w:rPr>
        <w:t>安全防护检査。承包人应在作业开始前，通知发包人代表和（或）监理人对其提交的安全措</w:t>
      </w:r>
    </w:p>
    <w:p>
      <w:pPr>
        <w:pStyle w:val="2"/>
        <w:ind w:left="0"/>
      </w:pPr>
      <w:r>
        <w:rPr>
          <w:rFonts w:hint="eastAsia"/>
        </w:rPr>
        <w:t>施方案，及现场安全设施搭设、安全通道、安全器具和消防器具配置、对周围环境安全可能带来的隐患等进行检查，并根据发包人和（或）监理人提出的整改建议自费整改。发包人和（或）监理人的检査、建议，并不能减轻或免除承包人的合同责任。</w:t>
      </w:r>
    </w:p>
    <w:p>
      <w:pPr>
        <w:pStyle w:val="2"/>
      </w:pPr>
      <w:r>
        <w:rPr>
          <w:rFonts w:hint="eastAsia"/>
        </w:rPr>
        <w:t>7.8.4 现场的环境保护管理</w:t>
      </w:r>
    </w:p>
    <w:p>
      <w:pPr>
        <w:pStyle w:val="2"/>
        <w:numPr>
          <w:ilvl w:val="0"/>
          <w:numId w:val="26"/>
        </w:numPr>
      </w:pPr>
      <w:r>
        <w:rPr>
          <w:rFonts w:hint="eastAsia"/>
        </w:rPr>
        <w:t>承包人应负责在现场施工过程中对现场周围的建筑物、构筑物、文物建筑、古树、名木，及</w:t>
      </w:r>
    </w:p>
    <w:p>
      <w:pPr>
        <w:pStyle w:val="2"/>
        <w:ind w:left="0"/>
      </w:pPr>
      <w:r>
        <w:rPr>
          <w:rFonts w:hint="eastAsia"/>
        </w:rPr>
        <w:t>地下管线、线缆、构筑物、文物、化石和坟墓等进行保护。因承包人未能通知发包人，并在未能得到发包人进一步指示的情况下，所造成的损害、损失、赔偿等费用增加，和（或）竣工日期延误，由承包人负责。</w:t>
      </w:r>
    </w:p>
    <w:p>
      <w:pPr>
        <w:pStyle w:val="2"/>
        <w:numPr>
          <w:ilvl w:val="0"/>
          <w:numId w:val="26"/>
        </w:numPr>
      </w:pPr>
      <w:r>
        <w:rPr>
          <w:rFonts w:hint="eastAsia"/>
        </w:rPr>
        <w:t>承包人应釆取措施，并负责控制和（或）处理现场的粉尘、废气、废 水、固体废物和噪声对</w:t>
      </w:r>
    </w:p>
    <w:p>
      <w:pPr>
        <w:pStyle w:val="2"/>
        <w:ind w:left="0"/>
      </w:pPr>
      <w:r>
        <w:rPr>
          <w:rFonts w:hint="eastAsia"/>
        </w:rPr>
        <w:t>环境的污染和危害。因此发生的伤害、赔偿、罚款等费用 增加，和（或）竣工日期延误，由承包人负责。</w:t>
      </w:r>
    </w:p>
    <w:p>
      <w:pPr>
        <w:pStyle w:val="2"/>
        <w:numPr>
          <w:ilvl w:val="0"/>
          <w:numId w:val="26"/>
        </w:numPr>
      </w:pPr>
      <w:r>
        <w:rPr>
          <w:rFonts w:hint="eastAsia"/>
        </w:rPr>
        <w:t>承包人及时或定期将施工现场残留、废弃的垃圾运到发包人或当地有关行政部门指定的地点，</w:t>
      </w:r>
    </w:p>
    <w:p>
      <w:pPr>
        <w:pStyle w:val="2"/>
        <w:ind w:left="0"/>
      </w:pPr>
      <w:r>
        <w:rPr>
          <w:rFonts w:hint="eastAsia"/>
        </w:rPr>
        <w:t>防止对周围环境的污染及对作业的影响。因违反上述约定导致当地行政部门的罚款、赔偿等增加的费用，由承包人承担。</w:t>
      </w:r>
    </w:p>
    <w:p>
      <w:pPr>
        <w:pStyle w:val="2"/>
      </w:pPr>
      <w:r>
        <w:rPr>
          <w:rFonts w:hint="eastAsia"/>
        </w:rPr>
        <w:t>7.8.5 事故处理</w:t>
      </w:r>
    </w:p>
    <w:p>
      <w:pPr>
        <w:pStyle w:val="2"/>
        <w:numPr>
          <w:ilvl w:val="0"/>
          <w:numId w:val="27"/>
        </w:numPr>
      </w:pPr>
      <w:r>
        <w:rPr>
          <w:rFonts w:hint="eastAsia"/>
        </w:rPr>
        <w:t>承包人（包括其分包人）的人员，在现场作业过程中发生死亡、伤害事件时，承包人应立即</w:t>
      </w:r>
    </w:p>
    <w:p>
      <w:pPr>
        <w:pStyle w:val="2"/>
        <w:ind w:left="0"/>
      </w:pPr>
      <w:r>
        <w:rPr>
          <w:rFonts w:hint="eastAsia"/>
        </w:rPr>
        <w:t>釆取救护措施，并立即报告发包人和（或）救援单位，发包人有义务为此项抢救提供必要条件。承包人应维护好现场并釆取防止事故蔓延的相应措施。</w:t>
      </w:r>
    </w:p>
    <w:p>
      <w:pPr>
        <w:pStyle w:val="2"/>
        <w:numPr>
          <w:ilvl w:val="0"/>
          <w:numId w:val="27"/>
        </w:numPr>
      </w:pPr>
      <w:r>
        <w:rPr>
          <w:rFonts w:hint="eastAsia"/>
        </w:rPr>
        <w:t>对重大伤亡、重大财产、环境损害及其它安全事故，承包人应按有关规定立即上报有关部门，</w:t>
      </w:r>
    </w:p>
    <w:p>
      <w:pPr>
        <w:pStyle w:val="2"/>
        <w:ind w:left="0"/>
      </w:pPr>
      <w:r>
        <w:rPr>
          <w:rFonts w:hint="eastAsia"/>
        </w:rPr>
        <w:t>并立即通知发包人代表和监理人。同时，按政府有关部门的要求处理。</w:t>
      </w:r>
    </w:p>
    <w:p>
      <w:pPr>
        <w:pStyle w:val="2"/>
      </w:pPr>
      <w:bookmarkStart w:id="61" w:name="bookmark140"/>
      <w:r>
        <w:rPr>
          <w:rFonts w:hint="eastAsia"/>
        </w:rPr>
        <w:t>（</w:t>
      </w:r>
      <w:bookmarkEnd w:id="61"/>
      <w:r>
        <w:rPr>
          <w:rFonts w:hint="eastAsia"/>
        </w:rPr>
        <w:t>3）合同双方对事故责任有争议时，依据16.3款争议和裁决的约定程序解决。</w:t>
      </w:r>
    </w:p>
    <w:p>
      <w:pPr>
        <w:pStyle w:val="2"/>
      </w:pPr>
      <w:bookmarkStart w:id="62" w:name="bookmark141"/>
      <w:r>
        <w:rPr>
          <w:rFonts w:hint="eastAsia"/>
        </w:rPr>
        <w:t>（</w:t>
      </w:r>
      <w:bookmarkEnd w:id="62"/>
      <w:r>
        <w:rPr>
          <w:rFonts w:hint="eastAsia"/>
        </w:rPr>
        <w:t>4）因承包人的原因致使建设工程在合理使用期限、设备保证期内造成人身和财产损害的，由承</w:t>
      </w:r>
    </w:p>
    <w:p>
      <w:pPr>
        <w:pStyle w:val="2"/>
        <w:ind w:left="0"/>
      </w:pPr>
      <w:r>
        <w:rPr>
          <w:rFonts w:hint="eastAsia"/>
        </w:rPr>
        <w:t>包人承担损害赔偿责任。</w:t>
      </w:r>
    </w:p>
    <w:p>
      <w:pPr>
        <w:pStyle w:val="2"/>
      </w:pPr>
      <w:bookmarkStart w:id="63" w:name="bookmark142"/>
      <w:r>
        <w:rPr>
          <w:rFonts w:hint="eastAsia"/>
        </w:rPr>
        <w:t>（</w:t>
      </w:r>
      <w:bookmarkEnd w:id="63"/>
      <w:r>
        <w:rPr>
          <w:rFonts w:hint="eastAsia"/>
        </w:rPr>
        <w:t>5）因承包人原因发生员工食物中毒及职业健康事件的，承包人应承担相关责任。</w:t>
      </w:r>
    </w:p>
    <w:p>
      <w:pPr>
        <w:pStyle w:val="5"/>
        <w:numPr>
          <w:ilvl w:val="0"/>
          <w:numId w:val="12"/>
        </w:numPr>
      </w:pPr>
      <w:r>
        <w:rPr>
          <w:rFonts w:hint="eastAsia"/>
        </w:rPr>
        <w:t>竣工试验</w:t>
      </w:r>
    </w:p>
    <w:p>
      <w:pPr>
        <w:pStyle w:val="2"/>
      </w:pPr>
      <w:r>
        <w:rPr>
          <w:rFonts w:hint="eastAsia"/>
        </w:rPr>
        <w:t>本合同工程包含竣工试验的，遵守本条约定。</w:t>
      </w:r>
    </w:p>
    <w:p>
      <w:pPr>
        <w:pStyle w:val="6"/>
        <w:numPr>
          <w:ilvl w:val="1"/>
          <w:numId w:val="12"/>
        </w:numPr>
      </w:pPr>
      <w:r>
        <w:rPr>
          <w:rFonts w:hint="eastAsia"/>
        </w:rPr>
        <w:t>竣工试验的义务</w:t>
      </w:r>
    </w:p>
    <w:p>
      <w:pPr>
        <w:pStyle w:val="2"/>
      </w:pPr>
      <w:r>
        <w:rPr>
          <w:rFonts w:hint="eastAsia"/>
        </w:rPr>
        <w:t>8.1.1 承包人的义务</w:t>
      </w:r>
    </w:p>
    <w:p>
      <w:pPr>
        <w:pStyle w:val="2"/>
        <w:numPr>
          <w:ilvl w:val="0"/>
          <w:numId w:val="28"/>
        </w:numPr>
      </w:pPr>
      <w:r>
        <w:rPr>
          <w:rFonts w:hint="eastAsia"/>
        </w:rPr>
        <w:t>承包人应在单项工程和（或）工程的竣工试验开始前，完成相应单项工程和（或）工程的施</w:t>
      </w:r>
    </w:p>
    <w:p>
      <w:pPr>
        <w:pStyle w:val="2"/>
        <w:ind w:left="0"/>
      </w:pPr>
      <w:r>
        <w:rPr>
          <w:rFonts w:hint="eastAsia"/>
        </w:rPr>
        <w:t>工作业（不包括：为竣工试验、竣工后试验必须预留的施工部位、不影响竣工试验的缺陷修复和零星扫尾工程）；并在竣工试验开始前，按合同约定需完成对施工作业部位的检査、检验、检测和试验。</w:t>
      </w:r>
    </w:p>
    <w:p>
      <w:pPr>
        <w:pStyle w:val="2"/>
        <w:numPr>
          <w:ilvl w:val="0"/>
          <w:numId w:val="28"/>
        </w:numPr>
      </w:pPr>
      <w:r>
        <w:rPr>
          <w:rFonts w:hint="eastAsia"/>
        </w:rPr>
        <w:t>承包人应在竣工试验开始前，根据7.6款隐蔽工程和中间验收部位的约定，向发包人提交相</w:t>
      </w:r>
    </w:p>
    <w:p>
      <w:pPr>
        <w:pStyle w:val="2"/>
        <w:ind w:left="0"/>
      </w:pPr>
      <w:r>
        <w:rPr>
          <w:rFonts w:hint="eastAsia"/>
        </w:rPr>
        <w:t>关的质检资料及其竣工资料。</w:t>
      </w:r>
    </w:p>
    <w:p>
      <w:pPr>
        <w:pStyle w:val="2"/>
        <w:numPr>
          <w:ilvl w:val="0"/>
          <w:numId w:val="28"/>
        </w:numPr>
      </w:pPr>
      <w:r>
        <w:rPr>
          <w:rFonts w:hint="eastAsia"/>
        </w:rPr>
        <w:t>根据第10条竣工后试验的约定，由承包人指导发包人进行竣工后试验的，承包人应完成5.4</w:t>
      </w:r>
    </w:p>
    <w:p>
      <w:pPr>
        <w:pStyle w:val="2"/>
        <w:ind w:left="0"/>
      </w:pPr>
      <w:r>
        <w:rPr>
          <w:rFonts w:hint="eastAsia"/>
        </w:rPr>
        <w:t>款约定的操作维修人员培训，并在竣工试验前提交5.2.4 款约定的操作维修手册。</w:t>
      </w:r>
    </w:p>
    <w:p>
      <w:pPr>
        <w:pStyle w:val="2"/>
        <w:numPr>
          <w:ilvl w:val="0"/>
          <w:numId w:val="28"/>
        </w:numPr>
      </w:pPr>
      <w:r>
        <w:rPr>
          <w:rFonts w:hint="eastAsia"/>
        </w:rPr>
        <w:t>承包人应在达到竣工试验条件20日前，将竣工试验方案提交给发包人。发包人应在10日内</w:t>
      </w:r>
    </w:p>
    <w:p>
      <w:pPr>
        <w:pStyle w:val="2"/>
        <w:ind w:left="0"/>
      </w:pPr>
      <w:r>
        <w:rPr>
          <w:rFonts w:hint="eastAsia"/>
        </w:rPr>
        <w:t>对方案提出建议和意见，承包人应根据发包人提出的合理建议和意见，自费对竣工试验方案进行修正。竣工试验方案经发包人确认后，作为合同附件，由承包人负责实施。发包人的确认并不能减轻或免除承包人的合同责任。竣工试验方案应包括以下内容：</w:t>
      </w:r>
    </w:p>
    <w:p>
      <w:pPr>
        <w:pStyle w:val="2"/>
      </w:pPr>
      <w:bookmarkStart w:id="64" w:name="bookmark150"/>
      <w:r>
        <w:rPr>
          <w:rFonts w:hint="eastAsia"/>
        </w:rPr>
        <w:t>1</w:t>
      </w:r>
      <w:bookmarkEnd w:id="64"/>
      <w:r>
        <w:rPr>
          <w:rFonts w:hint="eastAsia"/>
        </w:rPr>
        <w:t>）竣工试验方案编制的依据和原则；</w:t>
      </w:r>
    </w:p>
    <w:p>
      <w:pPr>
        <w:pStyle w:val="2"/>
      </w:pPr>
      <w:bookmarkStart w:id="65" w:name="bookmark151"/>
      <w:r>
        <w:rPr>
          <w:rFonts w:hint="eastAsia"/>
        </w:rPr>
        <w:t>2</w:t>
      </w:r>
      <w:bookmarkEnd w:id="65"/>
      <w:r>
        <w:rPr>
          <w:rFonts w:hint="eastAsia"/>
        </w:rPr>
        <w:t>）组织机构设置、责任分工；</w:t>
      </w:r>
    </w:p>
    <w:p>
      <w:pPr>
        <w:pStyle w:val="2"/>
      </w:pPr>
      <w:bookmarkStart w:id="66" w:name="bookmark152"/>
      <w:r>
        <w:rPr>
          <w:rFonts w:hint="eastAsia"/>
        </w:rPr>
        <w:t>3</w:t>
      </w:r>
      <w:bookmarkEnd w:id="66"/>
      <w:r>
        <w:rPr>
          <w:rFonts w:hint="eastAsia"/>
        </w:rPr>
        <w:t>）单项工程竣工试验的试验程序、试验条件；</w:t>
      </w:r>
    </w:p>
    <w:p>
      <w:pPr>
        <w:pStyle w:val="2"/>
      </w:pPr>
      <w:bookmarkStart w:id="67" w:name="bookmark153"/>
      <w:r>
        <w:rPr>
          <w:rFonts w:hint="eastAsia"/>
        </w:rPr>
        <w:t>4</w:t>
      </w:r>
      <w:bookmarkEnd w:id="67"/>
      <w:r>
        <w:rPr>
          <w:rFonts w:hint="eastAsia"/>
        </w:rPr>
        <w:t>）单件、单体、联动试验的试验程序、试验条件；</w:t>
      </w:r>
    </w:p>
    <w:p>
      <w:pPr>
        <w:pStyle w:val="2"/>
      </w:pPr>
      <w:bookmarkStart w:id="68" w:name="bookmark154"/>
      <w:r>
        <w:rPr>
          <w:rFonts w:hint="eastAsia"/>
        </w:rPr>
        <w:t>5</w:t>
      </w:r>
      <w:bookmarkEnd w:id="68"/>
      <w:r>
        <w:rPr>
          <w:rFonts w:hint="eastAsia"/>
        </w:rPr>
        <w:t>）竣工试验的设备、材料和部件的类别、性能标准、试验及验收格式；</w:t>
      </w:r>
    </w:p>
    <w:p>
      <w:pPr>
        <w:pStyle w:val="2"/>
      </w:pPr>
      <w:bookmarkStart w:id="69" w:name="bookmark155"/>
      <w:r>
        <w:rPr>
          <w:rFonts w:hint="eastAsia"/>
        </w:rPr>
        <w:t>6</w:t>
      </w:r>
      <w:bookmarkEnd w:id="69"/>
      <w:r>
        <w:rPr>
          <w:rFonts w:hint="eastAsia"/>
        </w:rPr>
        <w:t>）水、电、动力等条件的品质和用量要求；</w:t>
      </w:r>
    </w:p>
    <w:p>
      <w:pPr>
        <w:pStyle w:val="2"/>
      </w:pPr>
      <w:bookmarkStart w:id="70" w:name="bookmark156"/>
      <w:r>
        <w:rPr>
          <w:rFonts w:hint="eastAsia"/>
        </w:rPr>
        <w:t>7</w:t>
      </w:r>
      <w:bookmarkEnd w:id="70"/>
      <w:r>
        <w:rPr>
          <w:rFonts w:hint="eastAsia"/>
        </w:rPr>
        <w:t>）安全程序、安全措施及防护设施；</w:t>
      </w:r>
    </w:p>
    <w:p>
      <w:pPr>
        <w:pStyle w:val="2"/>
      </w:pPr>
      <w:bookmarkStart w:id="71" w:name="bookmark157"/>
      <w:r>
        <w:rPr>
          <w:rFonts w:hint="eastAsia"/>
        </w:rPr>
        <w:t>8</w:t>
      </w:r>
      <w:bookmarkEnd w:id="71"/>
      <w:r>
        <w:rPr>
          <w:rFonts w:hint="eastAsia"/>
        </w:rPr>
        <w:t>）竣工试验的进度计划、措施方案、人力及机具计划安排；</w:t>
      </w:r>
    </w:p>
    <w:p>
      <w:pPr>
        <w:pStyle w:val="2"/>
      </w:pPr>
      <w:bookmarkStart w:id="72" w:name="bookmark158"/>
      <w:r>
        <w:rPr>
          <w:rFonts w:hint="eastAsia"/>
        </w:rPr>
        <w:t>9</w:t>
      </w:r>
      <w:bookmarkEnd w:id="72"/>
      <w:r>
        <w:rPr>
          <w:rFonts w:hint="eastAsia"/>
        </w:rPr>
        <w:t>）其它。</w:t>
      </w:r>
    </w:p>
    <w:p>
      <w:pPr>
        <w:pStyle w:val="2"/>
      </w:pPr>
      <w:r>
        <w:rPr>
          <w:rFonts w:hint="eastAsia"/>
        </w:rPr>
        <w:t>竣工试验方案提交的份数和提交时间，在专用条款中约定。</w:t>
      </w:r>
    </w:p>
    <w:p>
      <w:pPr>
        <w:pStyle w:val="2"/>
        <w:numPr>
          <w:ilvl w:val="0"/>
          <w:numId w:val="28"/>
        </w:numPr>
      </w:pPr>
      <w:r>
        <w:rPr>
          <w:rFonts w:hint="eastAsia"/>
        </w:rPr>
        <w:t>承包人的竣工试验包括根据6.1.2款约定的由承包人提供的工程物资的竣工试验，及根据</w:t>
      </w:r>
    </w:p>
    <w:p>
      <w:pPr>
        <w:pStyle w:val="2"/>
        <w:ind w:left="0"/>
      </w:pPr>
      <w:r>
        <w:rPr>
          <w:rFonts w:hint="eastAsia"/>
        </w:rPr>
        <w:t>8.1.2款第（3）项发包人委托给承包人进行工程物资的竣工试 验。</w:t>
      </w:r>
    </w:p>
    <w:p>
      <w:pPr>
        <w:pStyle w:val="2"/>
        <w:numPr>
          <w:ilvl w:val="0"/>
          <w:numId w:val="28"/>
        </w:numPr>
      </w:pPr>
      <w:r>
        <w:rPr>
          <w:rFonts w:hint="eastAsia"/>
        </w:rPr>
        <w:t>承包人应按照试验条件、试验程序，及5.2.3款第（3）项约定的标准、规范和数据，完成竣</w:t>
      </w:r>
    </w:p>
    <w:p>
      <w:pPr>
        <w:pStyle w:val="2"/>
        <w:ind w:left="0"/>
      </w:pPr>
      <w:r>
        <w:rPr>
          <w:rFonts w:hint="eastAsia"/>
        </w:rPr>
        <w:t>工试验。</w:t>
      </w:r>
    </w:p>
    <w:p>
      <w:pPr>
        <w:pStyle w:val="2"/>
      </w:pPr>
      <w:r>
        <w:rPr>
          <w:rFonts w:hint="eastAsia"/>
        </w:rPr>
        <w:t>8.1.2 发包人的义务</w:t>
      </w:r>
    </w:p>
    <w:p>
      <w:pPr>
        <w:pStyle w:val="2"/>
        <w:numPr>
          <w:ilvl w:val="0"/>
          <w:numId w:val="29"/>
        </w:numPr>
      </w:pPr>
      <w:r>
        <w:rPr>
          <w:rFonts w:hint="eastAsia"/>
        </w:rPr>
        <w:t>发包人应按经发包人确认后的竣工试验方案，提供电力、水、动力及由发包人提供的消耗材</w:t>
      </w:r>
    </w:p>
    <w:p>
      <w:pPr>
        <w:pStyle w:val="2"/>
        <w:ind w:left="0"/>
      </w:pPr>
      <w:r>
        <w:rPr>
          <w:rFonts w:hint="eastAsia"/>
        </w:rPr>
        <w:t>料等。提供的电力、水、动力及相关消耗材料等应满足竣工试验对其品质、用量及时间的要求。</w:t>
      </w:r>
    </w:p>
    <w:p>
      <w:pPr>
        <w:pStyle w:val="2"/>
        <w:numPr>
          <w:ilvl w:val="0"/>
          <w:numId w:val="29"/>
        </w:numPr>
      </w:pPr>
      <w:r>
        <w:rPr>
          <w:rFonts w:hint="eastAsia"/>
        </w:rPr>
        <w:t>当合同约定应由承包人提供的竣工试验的消耗材料和备品备件用完或不足时，发包人有义务</w:t>
      </w:r>
    </w:p>
    <w:p>
      <w:pPr>
        <w:pStyle w:val="2"/>
        <w:ind w:left="0"/>
      </w:pPr>
      <w:r>
        <w:rPr>
          <w:rFonts w:hint="eastAsia"/>
        </w:rPr>
        <w:t>提供其库存的竣工试验所需的相关消耗材料和备品备件。其中：因承包人原因造成损坏的或承包人提供不足的，发包人有权从合同价格中扣除相应款项；因合理耗损或发包人原因造成的，发包人应免费提供。</w:t>
      </w:r>
    </w:p>
    <w:p>
      <w:pPr>
        <w:pStyle w:val="2"/>
        <w:numPr>
          <w:ilvl w:val="0"/>
          <w:numId w:val="29"/>
        </w:numPr>
      </w:pPr>
      <w:r>
        <w:rPr>
          <w:rFonts w:hint="eastAsia"/>
        </w:rPr>
        <w:t>发包人委托承包人对根据6.1.1款约定由发包人提供的工程物资进行竣工试验的服务费，已</w:t>
      </w:r>
    </w:p>
    <w:p>
      <w:pPr>
        <w:pStyle w:val="2"/>
        <w:ind w:left="0"/>
      </w:pPr>
      <w:r>
        <w:rPr>
          <w:rFonts w:hint="eastAsia"/>
        </w:rPr>
        <w:t>包含在合同价格中。发包人在合同实施过程中委托承包人进行竣工试验的，依据13条变更和合同价格调整的约定，作为变更处理。</w:t>
      </w:r>
    </w:p>
    <w:p>
      <w:pPr>
        <w:pStyle w:val="2"/>
        <w:numPr>
          <w:ilvl w:val="0"/>
          <w:numId w:val="29"/>
        </w:numPr>
      </w:pPr>
      <w:r>
        <w:rPr>
          <w:rFonts w:hint="eastAsia"/>
        </w:rPr>
        <w:t>承包人应按发包人提供的试验条件、试验程序对发包人根据本款第（3）项委托给承包人工程</w:t>
      </w:r>
    </w:p>
    <w:p>
      <w:pPr>
        <w:pStyle w:val="2"/>
        <w:ind w:left="0"/>
      </w:pPr>
      <w:r>
        <w:rPr>
          <w:rFonts w:hint="eastAsia"/>
        </w:rPr>
        <w:t>物资进行竣工试验，其试验结果须符合5.2.3款第（3）项约定的标准、规范和数据，发包人对该部分的试验结果负责。</w:t>
      </w:r>
    </w:p>
    <w:p>
      <w:pPr>
        <w:pStyle w:val="2"/>
      </w:pPr>
      <w:r>
        <w:rPr>
          <w:rFonts w:hint="eastAsia"/>
        </w:rPr>
        <w:t>8.1.3 竣工试验领导机构。竣工试验领导机构负责竣工试验的领导、组织和协调。承包人提供竣工</w:t>
      </w:r>
    </w:p>
    <w:p>
      <w:pPr>
        <w:pStyle w:val="2"/>
        <w:ind w:left="0"/>
      </w:pPr>
      <w:r>
        <w:rPr>
          <w:rFonts w:hint="eastAsia"/>
        </w:rPr>
        <w:t>试验所需的人力、机具并负责完成试验。发包人负责组织、协调、提供竣工试验方案中约定的相关条件及竣工试验的验收。</w:t>
      </w:r>
    </w:p>
    <w:p>
      <w:pPr>
        <w:pStyle w:val="6"/>
        <w:numPr>
          <w:ilvl w:val="1"/>
          <w:numId w:val="12"/>
        </w:numPr>
      </w:pPr>
      <w:r>
        <w:rPr>
          <w:rFonts w:hint="eastAsia"/>
        </w:rPr>
        <w:t>竣工试验的检验和验收</w:t>
      </w:r>
    </w:p>
    <w:p>
      <w:pPr>
        <w:pStyle w:val="2"/>
      </w:pPr>
      <w:r>
        <w:rPr>
          <w:rFonts w:hint="eastAsia"/>
        </w:rPr>
        <w:t>8.2.1 承包人应根据5.2.3款第（3）项约定的标准、规范、数据，及8.1.1款第（4）项竣工试验</w:t>
      </w:r>
    </w:p>
    <w:p>
      <w:pPr>
        <w:pStyle w:val="2"/>
        <w:ind w:left="0"/>
      </w:pPr>
      <w:r>
        <w:rPr>
          <w:rFonts w:hint="eastAsia"/>
        </w:rPr>
        <w:t>方案的第5）子项的约定进行检验和验收。</w:t>
      </w:r>
    </w:p>
    <w:p>
      <w:pPr>
        <w:pStyle w:val="2"/>
      </w:pPr>
      <w:r>
        <w:rPr>
          <w:rFonts w:hint="eastAsia"/>
        </w:rPr>
        <w:t>8.2.2 承包人应在竣工试验开始前，依据8.1.1款的约定，对各方提供的试验条件进行检査落实，</w:t>
      </w:r>
    </w:p>
    <w:p>
      <w:pPr>
        <w:pStyle w:val="2"/>
        <w:ind w:left="0"/>
      </w:pPr>
      <w:r>
        <w:rPr>
          <w:rFonts w:hint="eastAsia"/>
        </w:rPr>
        <w:t>条件满足的，双方人员应签字确认。因发包人提供的竣工试验条件延误，给承包人带来的窝工损失，由发包人负责。导致竣工试验进度延误的，竣工日期相应顺延；因承包人原因未能按时落实竣工试验条件，使竣工试验进度延误时，承包人应按4.1.2款的约定自费赶上。</w:t>
      </w:r>
    </w:p>
    <w:p>
      <w:pPr>
        <w:pStyle w:val="2"/>
      </w:pPr>
      <w:r>
        <w:rPr>
          <w:rFonts w:hint="eastAsia"/>
        </w:rPr>
        <w:t>8.2.3 承包人应在某项竣工试验开始36小时前，向发包人和（或）监理人发出通知，通知应包括</w:t>
      </w:r>
    </w:p>
    <w:p>
      <w:pPr>
        <w:pStyle w:val="2"/>
        <w:ind w:left="0"/>
      </w:pPr>
      <w:r>
        <w:rPr>
          <w:rFonts w:hint="eastAsia"/>
        </w:rPr>
        <w:t>试验的项目、内容、地点和验收时间。发包人和（或）监理人应在接到通知后的24小时内，以书面形式作出回复，试验合格后，双方应在试验记录及验收表格上签字。</w:t>
      </w:r>
    </w:p>
    <w:p>
      <w:pPr>
        <w:pStyle w:val="2"/>
      </w:pPr>
      <w:r>
        <w:rPr>
          <w:rFonts w:hint="eastAsia"/>
        </w:rPr>
        <w:t>发包人和（或）监理人在验收合格的24小时后，不在试验记录和验收表格上签字，视为发包人和</w:t>
      </w:r>
    </w:p>
    <w:p>
      <w:pPr>
        <w:pStyle w:val="2"/>
        <w:ind w:left="0"/>
      </w:pPr>
      <w:r>
        <w:rPr>
          <w:rFonts w:hint="eastAsia"/>
        </w:rPr>
        <w:t>（或）监理人已经认可此项验收，承包人可进行隐蔽和（或）紧后作业。</w:t>
      </w:r>
    </w:p>
    <w:p>
      <w:pPr>
        <w:pStyle w:val="2"/>
      </w:pPr>
      <w:r>
        <w:rPr>
          <w:rFonts w:hint="eastAsia"/>
        </w:rPr>
        <w:t>验收不合格的，承包人应在发包人和（或）监理人指定的时间内修正，并通知发包人和（或）监理</w:t>
      </w:r>
    </w:p>
    <w:p>
      <w:pPr>
        <w:pStyle w:val="2"/>
        <w:ind w:left="0"/>
      </w:pPr>
      <w:r>
        <w:rPr>
          <w:rFonts w:hint="eastAsia"/>
        </w:rPr>
        <w:t>人重新验收。</w:t>
      </w:r>
    </w:p>
    <w:p>
      <w:pPr>
        <w:pStyle w:val="2"/>
      </w:pPr>
      <w:r>
        <w:rPr>
          <w:rFonts w:hint="eastAsia"/>
        </w:rPr>
        <w:t>8.2.4 发包人和（或）监理人不能按时参加试验和验收时，应在接到通知后的24小时内以书面形</w:t>
      </w:r>
    </w:p>
    <w:p>
      <w:pPr>
        <w:pStyle w:val="2"/>
        <w:ind w:left="0"/>
      </w:pPr>
      <w:r>
        <w:rPr>
          <w:rFonts w:hint="eastAsia"/>
        </w:rPr>
        <w:t>式向承包人提出延期要求，延期不能超过24小时。未能按以上时间提出延期试验，又未能参加试验和验收的，承包人可按通知的试验项目内容自行组织试验，试验结果视为经发包人和（或）监理人认可。</w:t>
      </w:r>
    </w:p>
    <w:p>
      <w:pPr>
        <w:pStyle w:val="2"/>
      </w:pPr>
      <w:r>
        <w:rPr>
          <w:rFonts w:hint="eastAsia"/>
        </w:rPr>
        <w:t>8.2.5 不论发包人和（或）监理人是否参加竣工试验和验收，发包人均有权责令重新试验。如因承</w:t>
      </w:r>
    </w:p>
    <w:p>
      <w:pPr>
        <w:pStyle w:val="2"/>
        <w:ind w:left="0"/>
      </w:pPr>
      <w:r>
        <w:rPr>
          <w:rFonts w:hint="eastAsia"/>
        </w:rPr>
        <w:t>包人的原因重新试验不合格，承包人应承担由此所增加的费用，造成竣工试验进度延误时，竣工日期不予延长；如重新试验合格，承包人增加的费用，和（或）竣工日期的延长，按照13条变更和合同价格调整的约定，作为变更处理。</w:t>
      </w:r>
    </w:p>
    <w:p>
      <w:pPr>
        <w:pStyle w:val="2"/>
      </w:pPr>
      <w:r>
        <w:rPr>
          <w:rFonts w:hint="eastAsia"/>
        </w:rPr>
        <w:t>8.2.6 竣工试验验收日期的约定</w:t>
      </w:r>
    </w:p>
    <w:p>
      <w:pPr>
        <w:pStyle w:val="2"/>
        <w:numPr>
          <w:ilvl w:val="0"/>
          <w:numId w:val="30"/>
        </w:numPr>
      </w:pPr>
      <w:r>
        <w:rPr>
          <w:rFonts w:hint="eastAsia"/>
        </w:rPr>
        <w:t>某项竣工试验的验收日期和时间：按该项竣工试验通过的日期和时间，作为该项竣工试验验</w:t>
      </w:r>
    </w:p>
    <w:p>
      <w:pPr>
        <w:pStyle w:val="2"/>
        <w:ind w:left="0"/>
      </w:pPr>
      <w:r>
        <w:rPr>
          <w:rFonts w:hint="eastAsia"/>
        </w:rPr>
        <w:t>收的日期和时间；</w:t>
      </w:r>
    </w:p>
    <w:p>
      <w:pPr>
        <w:pStyle w:val="2"/>
        <w:numPr>
          <w:ilvl w:val="0"/>
          <w:numId w:val="30"/>
        </w:numPr>
      </w:pPr>
      <w:r>
        <w:rPr>
          <w:rFonts w:hint="eastAsia"/>
        </w:rPr>
        <w:t>单项工程竣工试验的验收日期和时间：按其中最后一项竣工试验通过的日期和时间，作为该</w:t>
      </w:r>
    </w:p>
    <w:p>
      <w:pPr>
        <w:pStyle w:val="2"/>
        <w:ind w:left="0"/>
      </w:pPr>
      <w:r>
        <w:rPr>
          <w:rFonts w:hint="eastAsia"/>
        </w:rPr>
        <w:t>单项工程竣工试验验收的日期和时间；</w:t>
      </w:r>
    </w:p>
    <w:p>
      <w:pPr>
        <w:pStyle w:val="2"/>
        <w:numPr>
          <w:ilvl w:val="0"/>
          <w:numId w:val="30"/>
        </w:numPr>
      </w:pPr>
      <w:r>
        <w:rPr>
          <w:rFonts w:hint="eastAsia"/>
        </w:rPr>
        <w:t>工程的竣工试验日期和时间：按最后一个单项工程通过竣工试验的日期和时间，作为整个工</w:t>
      </w:r>
    </w:p>
    <w:p>
      <w:pPr>
        <w:pStyle w:val="2"/>
        <w:ind w:left="0"/>
      </w:pPr>
      <w:r>
        <w:rPr>
          <w:rFonts w:hint="eastAsia"/>
        </w:rPr>
        <w:t>程竣工试验验收的日期和时间。</w:t>
      </w:r>
    </w:p>
    <w:p>
      <w:pPr>
        <w:pStyle w:val="6"/>
        <w:numPr>
          <w:ilvl w:val="1"/>
          <w:numId w:val="12"/>
        </w:numPr>
      </w:pPr>
      <w:r>
        <w:rPr>
          <w:rFonts w:hint="eastAsia"/>
        </w:rPr>
        <w:t>竣工试验的安全和检査</w:t>
      </w:r>
    </w:p>
    <w:p>
      <w:pPr>
        <w:pStyle w:val="2"/>
      </w:pPr>
      <w:r>
        <w:rPr>
          <w:rFonts w:hint="eastAsia"/>
        </w:rPr>
        <w:t>8.3.1 承包人应按7.8款职业健康、安全和环境保护的约定，并结合竣工试验的通电、通水、通气、</w:t>
      </w:r>
    </w:p>
    <w:p>
      <w:pPr>
        <w:pStyle w:val="2"/>
        <w:ind w:left="0"/>
      </w:pPr>
      <w:r>
        <w:rPr>
          <w:rFonts w:hint="eastAsia"/>
        </w:rPr>
        <w:t>试压、试漏、吹扫、转动等特点，对触电危险、易燃易爆、高温高压、压力试验、机械设备运转等制定竣工试验的安全程序、安全制度、防火措施、事故报告制度及事故处理方案在内的安全操作方案，并将该方案提交给发包人确认，承包人应按照发包人提出的合理建议、意见和要求，自费对方案修正，并经发包人确认后实施。发包人的确认并不能减轻或免除承包人的合同责任。承包人为竣工试验提供安全防护措施和防护用品的费用已包含在合同价格中。</w:t>
      </w:r>
    </w:p>
    <w:p>
      <w:pPr>
        <w:pStyle w:val="2"/>
      </w:pPr>
      <w:r>
        <w:rPr>
          <w:rFonts w:hint="eastAsia"/>
        </w:rPr>
        <w:t>8.3.2 承包人应对其人员进行竣工试验的安全培训，并对竣工试验的安全操作程序、场地环境、操</w:t>
      </w:r>
    </w:p>
    <w:p>
      <w:pPr>
        <w:pStyle w:val="2"/>
        <w:ind w:left="0"/>
      </w:pPr>
      <w:r>
        <w:rPr>
          <w:rFonts w:hint="eastAsia"/>
        </w:rPr>
        <w:t>作制度、应急处理措施等进行交底。</w:t>
      </w:r>
    </w:p>
    <w:p>
      <w:pPr>
        <w:pStyle w:val="2"/>
      </w:pPr>
      <w:r>
        <w:rPr>
          <w:rFonts w:hint="eastAsia"/>
        </w:rPr>
        <w:t>8.3.3 发包人和（或）监理人有义务按照经确认的竣工试验安全方案中的安全规程、安全制度、安</w:t>
      </w:r>
    </w:p>
    <w:p>
      <w:pPr>
        <w:pStyle w:val="2"/>
        <w:ind w:left="0"/>
      </w:pPr>
      <w:r>
        <w:rPr>
          <w:rFonts w:hint="eastAsia"/>
        </w:rPr>
        <w:t>全措施等，对其管理人员和操作维修人员进行竣工试验的安全教育，自费提供参加监督、检査人员的防护设施。</w:t>
      </w:r>
    </w:p>
    <w:p>
      <w:pPr>
        <w:pStyle w:val="2"/>
      </w:pPr>
      <w:r>
        <w:rPr>
          <w:rFonts w:hint="eastAsia"/>
        </w:rPr>
        <w:t>8.3.4 发包人和（或）监理人有权监督、检査承包人在竣工试验安全方案中列出的工作及落实情况，</w:t>
      </w:r>
    </w:p>
    <w:p>
      <w:pPr>
        <w:pStyle w:val="2"/>
        <w:ind w:left="0"/>
      </w:pPr>
      <w:r>
        <w:rPr>
          <w:rFonts w:hint="eastAsia"/>
        </w:rPr>
        <w:t>有权提出安全整改及发出整顿指令。承包人有义务按照指令进行整改、整顿，所增加的费用由承包人承担。因此造成工程竣工试验进度计划延误时，承包人应遵照4.1.2款的约定自费赶上。</w:t>
      </w:r>
    </w:p>
    <w:p>
      <w:pPr>
        <w:pStyle w:val="2"/>
      </w:pPr>
      <w:r>
        <w:rPr>
          <w:rFonts w:hint="eastAsia"/>
        </w:rPr>
        <w:t>8.3.5 按8.1.3款竣工试验领导机构的决定，双方密切配合开展竣工试验的组织、协调和实施工作，</w:t>
      </w:r>
    </w:p>
    <w:p>
      <w:pPr>
        <w:pStyle w:val="2"/>
        <w:ind w:left="0"/>
      </w:pPr>
      <w:r>
        <w:rPr>
          <w:rFonts w:hint="eastAsia"/>
        </w:rPr>
        <w:t>防止人身伤害和事故发生。</w:t>
      </w:r>
    </w:p>
    <w:p>
      <w:pPr>
        <w:pStyle w:val="2"/>
      </w:pPr>
      <w:r>
        <w:rPr>
          <w:rFonts w:hint="eastAsia"/>
        </w:rPr>
        <w:t>因发包人的原因造成的事故，由发包人承担相应责任、费用和赔偿。造成工程竣工试验进度计划延</w:t>
      </w:r>
    </w:p>
    <w:p>
      <w:pPr>
        <w:pStyle w:val="2"/>
        <w:ind w:left="0"/>
      </w:pPr>
      <w:r>
        <w:rPr>
          <w:rFonts w:hint="eastAsia"/>
        </w:rPr>
        <w:t>误时，竣工日期相应顺延。</w:t>
      </w:r>
    </w:p>
    <w:p>
      <w:pPr>
        <w:pStyle w:val="2"/>
      </w:pPr>
      <w:r>
        <w:rPr>
          <w:rFonts w:hint="eastAsia"/>
        </w:rPr>
        <w:t>因承包人的原因造成的事故，由承包人承担相应责任、费用和赔偿。造成工程竣工试验进度计划延</w:t>
      </w:r>
    </w:p>
    <w:p>
      <w:pPr>
        <w:pStyle w:val="2"/>
        <w:ind w:left="0"/>
      </w:pPr>
      <w:r>
        <w:rPr>
          <w:rFonts w:hint="eastAsia"/>
        </w:rPr>
        <w:t>误时，承包人应按4.1.2款的约定自费赶上。</w:t>
      </w:r>
    </w:p>
    <w:p>
      <w:pPr>
        <w:pStyle w:val="6"/>
        <w:numPr>
          <w:ilvl w:val="1"/>
          <w:numId w:val="12"/>
        </w:numPr>
      </w:pPr>
      <w:r>
        <w:rPr>
          <w:rFonts w:hint="eastAsia"/>
        </w:rPr>
        <w:t>延误的竣工试验</w:t>
      </w:r>
    </w:p>
    <w:p>
      <w:pPr>
        <w:pStyle w:val="2"/>
      </w:pPr>
      <w:r>
        <w:rPr>
          <w:rFonts w:hint="eastAsia"/>
        </w:rPr>
        <w:t>8.4.1 因承包人的原因使某项、某单项工程落后于竣工试验进度计划的，承包人应按4.1.2款的约</w:t>
      </w:r>
    </w:p>
    <w:p>
      <w:pPr>
        <w:pStyle w:val="2"/>
        <w:ind w:left="0"/>
      </w:pPr>
      <w:r>
        <w:rPr>
          <w:rFonts w:hint="eastAsia"/>
        </w:rPr>
        <w:t>定自费釆取措施，赶上竣工试验进度计划。</w:t>
      </w:r>
    </w:p>
    <w:p>
      <w:pPr>
        <w:pStyle w:val="2"/>
      </w:pPr>
      <w:r>
        <w:rPr>
          <w:rFonts w:hint="eastAsia"/>
        </w:rPr>
        <w:t>8.4.2 因承包人的原因造成竣工试验延误，致使合同约定的工程竣工日期延误时，承包人应根据4.5</w:t>
      </w:r>
    </w:p>
    <w:p>
      <w:pPr>
        <w:pStyle w:val="2"/>
        <w:ind w:left="0"/>
      </w:pPr>
      <w:r>
        <w:rPr>
          <w:rFonts w:hint="eastAsia"/>
        </w:rPr>
        <w:t>款误期损害赔偿的约定，承担误期赔偿责任。</w:t>
      </w:r>
    </w:p>
    <w:p>
      <w:pPr>
        <w:pStyle w:val="2"/>
      </w:pPr>
      <w:r>
        <w:rPr>
          <w:rFonts w:hint="eastAsia"/>
        </w:rPr>
        <w:t>8.4.3 承包人无正当理由，未能按竣工试验领导机构决定的竣工试验进度计划进行某项竣工试验，</w:t>
      </w:r>
    </w:p>
    <w:p>
      <w:pPr>
        <w:pStyle w:val="2"/>
        <w:ind w:left="0"/>
      </w:pPr>
      <w:r>
        <w:rPr>
          <w:rFonts w:hint="eastAsia"/>
        </w:rPr>
        <w:t>且在收到试验领导机构发出的通知后的10日内仍未进行该项竣工试验时，造成竣工日期延误时，由承包人承担误期赔偿责任。且发包人有权自行组织该项竣工试验，由此产生的费用由承包人承担。</w:t>
      </w:r>
    </w:p>
    <w:p>
      <w:pPr>
        <w:pStyle w:val="2"/>
      </w:pPr>
      <w:r>
        <w:rPr>
          <w:rFonts w:hint="eastAsia"/>
        </w:rPr>
        <w:t>8.4.4 发包人未能根据8.1.2款的约定履行其义务，导致承包人竣工试验延误，发包人应承担承包</w:t>
      </w:r>
    </w:p>
    <w:p>
      <w:pPr>
        <w:pStyle w:val="2"/>
        <w:ind w:left="0"/>
      </w:pPr>
      <w:r>
        <w:rPr>
          <w:rFonts w:hint="eastAsia"/>
        </w:rPr>
        <w:t>人因此发生的合理费用，竣工试验进度计划延误时，竣工日期相应顺延。</w:t>
      </w:r>
    </w:p>
    <w:p>
      <w:pPr>
        <w:pStyle w:val="6"/>
        <w:numPr>
          <w:ilvl w:val="1"/>
          <w:numId w:val="12"/>
        </w:numPr>
      </w:pPr>
      <w:r>
        <w:rPr>
          <w:rFonts w:hint="eastAsia"/>
        </w:rPr>
        <w:t>重新试验和验收</w:t>
      </w:r>
    </w:p>
    <w:p>
      <w:pPr>
        <w:pStyle w:val="2"/>
      </w:pPr>
      <w:r>
        <w:rPr>
          <w:rFonts w:hint="eastAsia"/>
        </w:rPr>
        <w:t>8.5.1 承包人未能通过相关的竣工试验的，可依据8.1.1款第（6）项的约定重新进行此项试验，</w:t>
      </w:r>
    </w:p>
    <w:p>
      <w:pPr>
        <w:pStyle w:val="2"/>
        <w:ind w:left="0"/>
      </w:pPr>
      <w:r>
        <w:rPr>
          <w:rFonts w:hint="eastAsia"/>
        </w:rPr>
        <w:t>并按8.2款的约定进行检验和验收。</w:t>
      </w:r>
    </w:p>
    <w:p>
      <w:pPr>
        <w:pStyle w:val="2"/>
      </w:pPr>
      <w:r>
        <w:rPr>
          <w:rFonts w:hint="eastAsia"/>
        </w:rPr>
        <w:t>8.5.2 不论发包人和（或）监理人是否参加竣工试验和验收，承包人未能通过竣工试验时，发包人</w:t>
      </w:r>
    </w:p>
    <w:p>
      <w:pPr>
        <w:pStyle w:val="2"/>
        <w:ind w:left="0"/>
      </w:pPr>
      <w:r>
        <w:rPr>
          <w:rFonts w:hint="eastAsia"/>
        </w:rPr>
        <w:t>均有权通知承包人再次按8.1.1款第（6）项的约定进行此项竣工试验，并按8.2款的约定进行检验和验收。</w:t>
      </w:r>
    </w:p>
    <w:p>
      <w:pPr>
        <w:pStyle w:val="6"/>
        <w:numPr>
          <w:ilvl w:val="1"/>
          <w:numId w:val="12"/>
        </w:numPr>
      </w:pPr>
      <w:r>
        <w:rPr>
          <w:rFonts w:hint="eastAsia"/>
        </w:rPr>
        <w:t>未能通过竣工试验</w:t>
      </w:r>
    </w:p>
    <w:p>
      <w:pPr>
        <w:pStyle w:val="2"/>
      </w:pPr>
      <w:r>
        <w:rPr>
          <w:rFonts w:hint="eastAsia"/>
        </w:rPr>
        <w:t>8.6.1因发包人的下述原因导致竣工试验未能通过的，承包人进行竣工试验的费用由发包人承担，竣工试验进度计划延误的，竣工日期相应延长：</w:t>
      </w:r>
    </w:p>
    <w:p>
      <w:pPr>
        <w:pStyle w:val="2"/>
        <w:numPr>
          <w:ilvl w:val="0"/>
          <w:numId w:val="31"/>
        </w:numPr>
      </w:pPr>
      <w:r>
        <w:rPr>
          <w:rFonts w:hint="eastAsia"/>
        </w:rPr>
        <w:t>发包人未能按确认的竣工试验方案中的技术参数、时间及数量提供电力、动力、水等试验条</w:t>
      </w:r>
    </w:p>
    <w:p>
      <w:pPr>
        <w:pStyle w:val="2"/>
        <w:ind w:left="0"/>
      </w:pPr>
      <w:r>
        <w:rPr>
          <w:rFonts w:hint="eastAsia"/>
        </w:rPr>
        <w:t>件，导致竣工试验未能通过；</w:t>
      </w:r>
    </w:p>
    <w:p>
      <w:pPr>
        <w:pStyle w:val="2"/>
        <w:numPr>
          <w:ilvl w:val="0"/>
          <w:numId w:val="31"/>
        </w:numPr>
      </w:pPr>
      <w:r>
        <w:rPr>
          <w:rFonts w:hint="eastAsia"/>
        </w:rPr>
        <w:t>发包人指令承包人按发包人的竣工试验条件、试验程序和试验方法进行试验和竣工试验，导</w:t>
      </w:r>
    </w:p>
    <w:p>
      <w:pPr>
        <w:pStyle w:val="2"/>
        <w:ind w:left="0"/>
      </w:pPr>
      <w:r>
        <w:rPr>
          <w:rFonts w:hint="eastAsia"/>
        </w:rPr>
        <w:t>致该项竣工试验未能通过；</w:t>
      </w:r>
    </w:p>
    <w:p>
      <w:pPr>
        <w:pStyle w:val="2"/>
      </w:pPr>
      <w:bookmarkStart w:id="73" w:name="bookmark170"/>
      <w:r>
        <w:rPr>
          <w:rFonts w:hint="eastAsia"/>
        </w:rPr>
        <w:t>（</w:t>
      </w:r>
      <w:bookmarkEnd w:id="73"/>
      <w:r>
        <w:rPr>
          <w:rFonts w:hint="eastAsia"/>
        </w:rPr>
        <w:t>3）发包人对承包人竣工试验的干扰，导致竣工试验未能通过；</w:t>
      </w:r>
    </w:p>
    <w:p>
      <w:pPr>
        <w:pStyle w:val="2"/>
      </w:pPr>
      <w:bookmarkStart w:id="74" w:name="bookmark171"/>
      <w:r>
        <w:rPr>
          <w:rFonts w:hint="eastAsia"/>
        </w:rPr>
        <w:t>（</w:t>
      </w:r>
      <w:bookmarkEnd w:id="74"/>
      <w:r>
        <w:rPr>
          <w:rFonts w:hint="eastAsia"/>
        </w:rPr>
        <w:t>4）因发包人的其它原因，导致竣工试验未能通过。</w:t>
      </w:r>
    </w:p>
    <w:p>
      <w:pPr>
        <w:pStyle w:val="2"/>
      </w:pPr>
      <w:r>
        <w:rPr>
          <w:rFonts w:hint="eastAsia"/>
        </w:rPr>
        <w:t>8.6.2 因承包人原因未能通过竣工试验，该项竣工试验允许再进行，但再进行最多为两次，两次试</w:t>
      </w:r>
    </w:p>
    <w:p>
      <w:pPr>
        <w:pStyle w:val="2"/>
        <w:ind w:left="0"/>
      </w:pPr>
      <w:r>
        <w:rPr>
          <w:rFonts w:hint="eastAsia"/>
        </w:rPr>
        <w:t>验后仍不符合验收条件的，相关费用、竣工日期及相关事项，按下述约定处理：</w:t>
      </w:r>
    </w:p>
    <w:p>
      <w:pPr>
        <w:pStyle w:val="2"/>
        <w:numPr>
          <w:ilvl w:val="0"/>
          <w:numId w:val="32"/>
        </w:numPr>
      </w:pPr>
      <w:r>
        <w:rPr>
          <w:rFonts w:hint="eastAsia"/>
        </w:rPr>
        <w:t>该项竣工试验未能通过，对该项操作或使用不存在实质影响，承包人自费修复。无法修复时，</w:t>
      </w:r>
    </w:p>
    <w:p>
      <w:pPr>
        <w:pStyle w:val="2"/>
        <w:ind w:left="0"/>
      </w:pPr>
      <w:r>
        <w:rPr>
          <w:rFonts w:hint="eastAsia"/>
        </w:rPr>
        <w:t>发包人有权扣减该部分的相应付款，视为通过。</w:t>
      </w:r>
    </w:p>
    <w:p>
      <w:pPr>
        <w:pStyle w:val="2"/>
        <w:numPr>
          <w:ilvl w:val="0"/>
          <w:numId w:val="32"/>
        </w:numPr>
      </w:pPr>
      <w:r>
        <w:rPr>
          <w:rFonts w:hint="eastAsia"/>
        </w:rPr>
        <w:t>该项竣工试验未能通过，对该单项工程未产生实质性操作和使用影响，发包人相应扣减该单</w:t>
      </w:r>
    </w:p>
    <w:p>
      <w:pPr>
        <w:pStyle w:val="2"/>
        <w:ind w:left="0"/>
      </w:pPr>
      <w:r>
        <w:rPr>
          <w:rFonts w:hint="eastAsia"/>
        </w:rPr>
        <w:t>项工程的合同价款的，可视为通过；若使竣工日期延误的，承包人承担误期损害赔偿责任。</w:t>
      </w:r>
    </w:p>
    <w:p>
      <w:pPr>
        <w:pStyle w:val="2"/>
        <w:numPr>
          <w:ilvl w:val="0"/>
          <w:numId w:val="32"/>
        </w:numPr>
      </w:pPr>
      <w:r>
        <w:rPr>
          <w:rFonts w:hint="eastAsia"/>
        </w:rPr>
        <w:t>该项竣工试验未能通过，对操作或使用有实质性影响，发包人有权指令承包人更换相关部分，</w:t>
      </w:r>
    </w:p>
    <w:p>
      <w:pPr>
        <w:pStyle w:val="2"/>
        <w:ind w:left="0"/>
      </w:pPr>
      <w:r>
        <w:rPr>
          <w:rFonts w:hint="eastAsia"/>
        </w:rPr>
        <w:t>并进行竣工试验。发包人因此增加的费用，由承包人承担。使竣工日期延误的，承包人承担误期损害赔偿责任。</w:t>
      </w:r>
    </w:p>
    <w:p>
      <w:pPr>
        <w:pStyle w:val="2"/>
        <w:numPr>
          <w:ilvl w:val="0"/>
          <w:numId w:val="32"/>
        </w:numPr>
      </w:pPr>
      <w:r>
        <w:rPr>
          <w:rFonts w:hint="eastAsia"/>
        </w:rPr>
        <w:t>未能通过竣工试验，使单项工程的任何主要部分丧失了生产、使用功能时，发包人有权指令</w:t>
      </w:r>
    </w:p>
    <w:p>
      <w:pPr>
        <w:pStyle w:val="2"/>
        <w:ind w:left="0"/>
      </w:pPr>
      <w:r>
        <w:rPr>
          <w:rFonts w:hint="eastAsia"/>
        </w:rPr>
        <w:t>承包人更换相关部分，承包人自行承担因此增加的费用；竣工日期延误的，并应承担误期损害赔偿责任。发包人因此增加费用的，由承包人负责赔偿。</w:t>
      </w:r>
    </w:p>
    <w:p>
      <w:pPr>
        <w:pStyle w:val="2"/>
        <w:numPr>
          <w:ilvl w:val="0"/>
          <w:numId w:val="32"/>
        </w:numPr>
      </w:pPr>
      <w:r>
        <w:rPr>
          <w:rFonts w:hint="eastAsia"/>
        </w:rPr>
        <w:t>未能通过竣工试验，使整个工程丧失了生产和（或）使用功能时，发包人有权指令承包人重</w:t>
      </w:r>
    </w:p>
    <w:p>
      <w:pPr>
        <w:pStyle w:val="2"/>
        <w:ind w:left="0"/>
      </w:pPr>
      <w:r>
        <w:rPr>
          <w:rFonts w:hint="eastAsia"/>
        </w:rPr>
        <w:t>新设计、重置相关部分，承包人承担因此增加的费用（包 括发包人的费用）；竣工日期延误的，并应承担误期损害赔偿责任。发包人有权根据16.2.1款发包人的索赔约定，向承包人提出索赔，或根据18.1.2款第（7）项的约定，解除合同。</w:t>
      </w:r>
    </w:p>
    <w:p>
      <w:pPr>
        <w:pStyle w:val="6"/>
        <w:numPr>
          <w:ilvl w:val="1"/>
          <w:numId w:val="12"/>
        </w:numPr>
      </w:pPr>
      <w:r>
        <w:rPr>
          <w:rFonts w:hint="eastAsia"/>
        </w:rPr>
        <w:t>竣工试验结果的争议</w:t>
      </w:r>
    </w:p>
    <w:p>
      <w:pPr>
        <w:pStyle w:val="2"/>
      </w:pPr>
      <w:r>
        <w:rPr>
          <w:rFonts w:hint="eastAsia"/>
        </w:rPr>
        <w:t>8.7.1 协商解决。双方对竣工试验结果有争议的，应首先通过协商解决。</w:t>
      </w:r>
    </w:p>
    <w:p>
      <w:pPr>
        <w:pStyle w:val="2"/>
      </w:pPr>
      <w:r>
        <w:rPr>
          <w:rFonts w:hint="eastAsia"/>
        </w:rPr>
        <w:t>8.7.2 委托鉴定机构。双方经协商，对竣工试验结果仍有争议的，共同委托 一个具有相应资质的</w:t>
      </w:r>
    </w:p>
    <w:p>
      <w:pPr>
        <w:pStyle w:val="2"/>
        <w:ind w:left="0"/>
      </w:pPr>
      <w:r>
        <w:rPr>
          <w:rFonts w:hint="eastAsia"/>
        </w:rPr>
        <w:t>检测机构进行检测。经检测鉴定后，按下述约定处理：</w:t>
      </w:r>
    </w:p>
    <w:p>
      <w:pPr>
        <w:pStyle w:val="2"/>
        <w:numPr>
          <w:ilvl w:val="0"/>
          <w:numId w:val="33"/>
        </w:numPr>
      </w:pPr>
      <w:r>
        <w:rPr>
          <w:rFonts w:hint="eastAsia"/>
        </w:rPr>
        <w:t>责任方为承包人时，所需的鉴定费用及因此造成发包人增加的合理费用由承包人承担，竣工</w:t>
      </w:r>
    </w:p>
    <w:p>
      <w:pPr>
        <w:pStyle w:val="2"/>
        <w:ind w:left="0"/>
      </w:pPr>
      <w:r>
        <w:rPr>
          <w:rFonts w:hint="eastAsia"/>
        </w:rPr>
        <w:t>日期不予延长；</w:t>
      </w:r>
    </w:p>
    <w:p>
      <w:pPr>
        <w:pStyle w:val="2"/>
        <w:numPr>
          <w:ilvl w:val="0"/>
          <w:numId w:val="33"/>
        </w:numPr>
      </w:pPr>
      <w:r>
        <w:rPr>
          <w:rFonts w:hint="eastAsia"/>
        </w:rPr>
        <w:t>责任方为发包人时，所需的鉴定费用及因此造成承包人增加的合理费用由发包人承担，竣工</w:t>
      </w:r>
    </w:p>
    <w:p>
      <w:pPr>
        <w:pStyle w:val="2"/>
        <w:ind w:left="0"/>
      </w:pPr>
      <w:r>
        <w:rPr>
          <w:rFonts w:hint="eastAsia"/>
        </w:rPr>
        <w:t>日期相应顺延。</w:t>
      </w:r>
    </w:p>
    <w:p>
      <w:pPr>
        <w:pStyle w:val="2"/>
        <w:numPr>
          <w:ilvl w:val="0"/>
          <w:numId w:val="33"/>
        </w:numPr>
      </w:pPr>
      <w:r>
        <w:rPr>
          <w:rFonts w:hint="eastAsia"/>
        </w:rPr>
        <w:t>双方均有责任时，根据责任大小协商分担费用，并按竣工试验计划的延误情况协商竣工日期</w:t>
      </w:r>
    </w:p>
    <w:p>
      <w:pPr>
        <w:pStyle w:val="2"/>
        <w:ind w:left="0"/>
      </w:pPr>
      <w:r>
        <w:rPr>
          <w:rFonts w:hint="eastAsia"/>
        </w:rPr>
        <w:t>的延长时间。</w:t>
      </w:r>
    </w:p>
    <w:p>
      <w:pPr>
        <w:pStyle w:val="2"/>
      </w:pPr>
      <w:r>
        <w:rPr>
          <w:rFonts w:hint="eastAsia"/>
        </w:rPr>
        <w:t>8.7.3 如双方对检测机构的鉴定结果有争议，依据16.3款争议和裁决的约定解决。</w:t>
      </w:r>
    </w:p>
    <w:p>
      <w:pPr>
        <w:pStyle w:val="5"/>
        <w:numPr>
          <w:ilvl w:val="0"/>
          <w:numId w:val="12"/>
        </w:numPr>
      </w:pPr>
      <w:bookmarkStart w:id="75" w:name="bookmark182"/>
      <w:bookmarkStart w:id="76" w:name="bookmark180"/>
      <w:bookmarkStart w:id="77" w:name="bookmark181"/>
      <w:r>
        <w:rPr>
          <w:rFonts w:hint="eastAsia"/>
        </w:rPr>
        <w:t>工程接收</w:t>
      </w:r>
      <w:bookmarkEnd w:id="75"/>
      <w:bookmarkEnd w:id="76"/>
      <w:bookmarkEnd w:id="77"/>
    </w:p>
    <w:p>
      <w:pPr>
        <w:pStyle w:val="6"/>
        <w:numPr>
          <w:ilvl w:val="1"/>
          <w:numId w:val="12"/>
        </w:numPr>
      </w:pPr>
      <w:r>
        <w:rPr>
          <w:rFonts w:hint="eastAsia"/>
        </w:rPr>
        <w:t>工程接收</w:t>
      </w:r>
    </w:p>
    <w:p>
      <w:pPr>
        <w:pStyle w:val="2"/>
      </w:pPr>
      <w:r>
        <w:rPr>
          <w:rFonts w:hint="eastAsia"/>
        </w:rPr>
        <w:t>9.1.1 按单项工程和（或）按工程接收。根据工程项目的具体情况和特点， 在专用条款约定按单</w:t>
      </w:r>
    </w:p>
    <w:p>
      <w:pPr>
        <w:pStyle w:val="2"/>
        <w:ind w:left="0"/>
      </w:pPr>
      <w:r>
        <w:rPr>
          <w:rFonts w:hint="eastAsia"/>
        </w:rPr>
        <w:t>项工程和（或）按工程进行接收。</w:t>
      </w:r>
    </w:p>
    <w:p>
      <w:pPr>
        <w:pStyle w:val="2"/>
        <w:numPr>
          <w:ilvl w:val="0"/>
          <w:numId w:val="34"/>
        </w:numPr>
      </w:pPr>
      <w:r>
        <w:rPr>
          <w:rFonts w:hint="eastAsia"/>
        </w:rPr>
        <w:t>根据第10条竣工后试验的约定，由承包人负责指导发包人进行单项工程和（或）工程竣工后</w:t>
      </w:r>
    </w:p>
    <w:p>
      <w:pPr>
        <w:pStyle w:val="2"/>
        <w:ind w:left="0"/>
      </w:pPr>
      <w:r>
        <w:rPr>
          <w:rFonts w:hint="eastAsia"/>
        </w:rPr>
        <w:t>试验，并承担试运行考核责任的，在专用条款中约定接收 单项工程的先后顺序及时间安排，或接收工程的时间安排。</w:t>
      </w:r>
    </w:p>
    <w:p>
      <w:pPr>
        <w:pStyle w:val="2"/>
      </w:pPr>
      <w:r>
        <w:rPr>
          <w:rFonts w:hint="eastAsia"/>
        </w:rPr>
        <w:t>由发包人负责单项工程和（或）工程竣工后试验及其试运行考核责任的，在专用条款中约定接收工</w:t>
      </w:r>
    </w:p>
    <w:p>
      <w:pPr>
        <w:pStyle w:val="2"/>
        <w:ind w:left="0"/>
      </w:pPr>
      <w:r>
        <w:rPr>
          <w:rFonts w:hint="eastAsia"/>
        </w:rPr>
        <w:t>程的日期或接收单项工程的先后顺序及时间安排。</w:t>
      </w:r>
    </w:p>
    <w:p>
      <w:pPr>
        <w:pStyle w:val="2"/>
        <w:numPr>
          <w:ilvl w:val="0"/>
          <w:numId w:val="31"/>
        </w:numPr>
      </w:pPr>
      <w:r>
        <w:rPr>
          <w:rFonts w:hint="eastAsia"/>
        </w:rPr>
        <w:t>对不存在竣工试验或竣工后试验的单项工程和（或）工程，承包人完成扫尾工程和缺陷修复，</w:t>
      </w:r>
    </w:p>
    <w:p>
      <w:pPr>
        <w:pStyle w:val="2"/>
        <w:ind w:left="0"/>
      </w:pPr>
      <w:r>
        <w:rPr>
          <w:rFonts w:hint="eastAsia"/>
        </w:rPr>
        <w:t>并符合合同约定的验收标准的，根据合同约定按单项工程和（或）工程办理工程接收和竣工验收。</w:t>
      </w:r>
    </w:p>
    <w:p>
      <w:pPr>
        <w:pStyle w:val="2"/>
      </w:pPr>
      <w:r>
        <w:rPr>
          <w:rFonts w:hint="eastAsia"/>
        </w:rPr>
        <w:t>9.1.2接收工程时承包人提交的资料。除按8.1.1款（1）至（3）项约定已经提交的资料外，需提</w:t>
      </w:r>
    </w:p>
    <w:p>
      <w:pPr>
        <w:pStyle w:val="2"/>
        <w:ind w:left="0"/>
      </w:pPr>
      <w:r>
        <w:rPr>
          <w:rFonts w:hint="eastAsia"/>
        </w:rPr>
        <w:t>交竣工试验完成的验收资料的类别、内容、份数和提交时间，在专用条款中约定。</w:t>
      </w:r>
    </w:p>
    <w:p>
      <w:pPr>
        <w:pStyle w:val="6"/>
        <w:numPr>
          <w:ilvl w:val="1"/>
          <w:numId w:val="12"/>
        </w:numPr>
      </w:pPr>
      <w:r>
        <w:rPr>
          <w:rFonts w:hint="eastAsia"/>
        </w:rPr>
        <w:t>接收证书</w:t>
      </w:r>
    </w:p>
    <w:p>
      <w:pPr>
        <w:pStyle w:val="2"/>
      </w:pPr>
      <w:r>
        <w:rPr>
          <w:rFonts w:hint="eastAsia"/>
        </w:rPr>
        <w:t>9.2.1 承包人应在工程和（或）单项工程具备接收条件后的10日内，向发包人提交接收证书申请，</w:t>
      </w:r>
    </w:p>
    <w:p>
      <w:pPr>
        <w:pStyle w:val="2"/>
        <w:ind w:left="0"/>
      </w:pPr>
      <w:r>
        <w:rPr>
          <w:rFonts w:hint="eastAsia"/>
        </w:rPr>
        <w:t>发包人应在接到申请后的10日内组织接收，并签发工程和（或）单项工程接收证书。</w:t>
      </w:r>
    </w:p>
    <w:p>
      <w:pPr>
        <w:pStyle w:val="2"/>
      </w:pPr>
      <w:r>
        <w:rPr>
          <w:rFonts w:hint="eastAsia"/>
        </w:rPr>
        <w:t>单项工程的接收以8.2.6款第（2）项约定的日期，作为接收日期。</w:t>
      </w:r>
    </w:p>
    <w:p>
      <w:pPr>
        <w:pStyle w:val="2"/>
      </w:pPr>
      <w:r>
        <w:rPr>
          <w:rFonts w:hint="eastAsia"/>
        </w:rPr>
        <w:t>工程的接收以8.2.6款第（3）项约定的日期，作为接收日期。</w:t>
      </w:r>
    </w:p>
    <w:p>
      <w:pPr>
        <w:pStyle w:val="2"/>
      </w:pPr>
      <w:r>
        <w:rPr>
          <w:rFonts w:hint="eastAsia"/>
        </w:rPr>
        <w:t>9.2.2 扫尾工程和缺陷修复。对工程或（和）单项工程的操作、使用没有实质影响的扫尾工程和缺</w:t>
      </w:r>
    </w:p>
    <w:p>
      <w:pPr>
        <w:pStyle w:val="2"/>
        <w:ind w:left="0"/>
      </w:pPr>
      <w:r>
        <w:rPr>
          <w:rFonts w:hint="eastAsia"/>
        </w:rPr>
        <w:t>陷修复，不能作为发包人不接收工程的理由。经发包人与承包人协商确定的承包人完成该扫尾工程和缺陷修复的合理时间，作为接收证书的附件。</w:t>
      </w:r>
    </w:p>
    <w:p>
      <w:pPr>
        <w:pStyle w:val="6"/>
        <w:numPr>
          <w:ilvl w:val="1"/>
          <w:numId w:val="12"/>
        </w:numPr>
      </w:pPr>
      <w:r>
        <w:rPr>
          <w:rFonts w:hint="eastAsia"/>
        </w:rPr>
        <w:t>接收工程的责任</w:t>
      </w:r>
    </w:p>
    <w:p>
      <w:pPr>
        <w:pStyle w:val="2"/>
      </w:pPr>
      <w:r>
        <w:rPr>
          <w:rFonts w:hint="eastAsia"/>
        </w:rPr>
        <w:t>9.3.1 保安责任。自单项工程和（或）工程接收之日起，发包人承担其保安责任。</w:t>
      </w:r>
    </w:p>
    <w:p>
      <w:pPr>
        <w:pStyle w:val="2"/>
      </w:pPr>
      <w:r>
        <w:rPr>
          <w:rFonts w:hint="eastAsia"/>
        </w:rPr>
        <w:t>9.3.2 照管责任。自单项工程和（或）工程接收之日起，发包人承担其照管责任。发包人负责单项</w:t>
      </w:r>
    </w:p>
    <w:p>
      <w:pPr>
        <w:pStyle w:val="2"/>
        <w:ind w:left="0"/>
      </w:pPr>
      <w:r>
        <w:rPr>
          <w:rFonts w:hint="eastAsia"/>
        </w:rPr>
        <w:t>工程和（或）工程的维护、保养、维修，但不包括需由承包人完成的缺陷修复和零星扫尾的工程部位及其区域。</w:t>
      </w:r>
    </w:p>
    <w:p>
      <w:pPr>
        <w:pStyle w:val="2"/>
      </w:pPr>
      <w:r>
        <w:rPr>
          <w:rFonts w:hint="eastAsia"/>
        </w:rPr>
        <w:t>9.3.3 投保责任。如合同约定施工期间工程的应投保方是承包人时，承包人应负责对工程进行投保</w:t>
      </w:r>
    </w:p>
    <w:p>
      <w:pPr>
        <w:pStyle w:val="2"/>
        <w:ind w:left="0"/>
      </w:pPr>
      <w:r>
        <w:rPr>
          <w:rFonts w:hint="eastAsia"/>
        </w:rPr>
        <w:t>并将保险期限保持到9.2.1款约定的发包人接收工程的日期。该日期之后由发包人负责对工程投保。</w:t>
      </w:r>
    </w:p>
    <w:p>
      <w:pPr>
        <w:pStyle w:val="6"/>
        <w:numPr>
          <w:ilvl w:val="1"/>
          <w:numId w:val="12"/>
        </w:numPr>
      </w:pPr>
      <w:r>
        <w:rPr>
          <w:rFonts w:hint="eastAsia"/>
        </w:rPr>
        <w:t>未能接收工程</w:t>
      </w:r>
    </w:p>
    <w:p>
      <w:pPr>
        <w:pStyle w:val="2"/>
      </w:pPr>
      <w:r>
        <w:rPr>
          <w:rFonts w:hint="eastAsia"/>
        </w:rPr>
        <w:t>9.4.1 不接收工程。如发包人收到承包人送交的单项工程和（或）工程接收证书申请后的15日内</w:t>
      </w:r>
    </w:p>
    <w:p>
      <w:pPr>
        <w:pStyle w:val="2"/>
        <w:ind w:left="0"/>
      </w:pPr>
      <w:r>
        <w:rPr>
          <w:rFonts w:hint="eastAsia"/>
        </w:rPr>
        <w:t>不组织接收，视为单项工程、和（或）工程的接收证书申请已被发包人认可。从第16日起，发包人应根据9.3款的约定承担相关责任。</w:t>
      </w:r>
    </w:p>
    <w:p>
      <w:pPr>
        <w:pStyle w:val="2"/>
      </w:pPr>
      <w:r>
        <w:rPr>
          <w:rFonts w:hint="eastAsia"/>
        </w:rPr>
        <w:t>9.4.2 未按约定接收工程。承包人未按约定提交单项工程和（或）工程接收证书申请的、或未符合</w:t>
      </w:r>
    </w:p>
    <w:p>
      <w:pPr>
        <w:pStyle w:val="2"/>
        <w:ind w:left="0"/>
      </w:pPr>
      <w:r>
        <w:rPr>
          <w:rFonts w:hint="eastAsia"/>
        </w:rPr>
        <w:t>单项工程或工程接收条件的，发包人有权拒绝接收单项工程和（或）工程。</w:t>
      </w:r>
    </w:p>
    <w:p>
      <w:pPr>
        <w:pStyle w:val="2"/>
      </w:pPr>
      <w:r>
        <w:rPr>
          <w:rFonts w:hint="eastAsia"/>
        </w:rPr>
        <w:t>发包人未能遵守本款约定，使用或强令接收不符合接收条件的单项工程和（或）工程的，将承担9.3</w:t>
      </w:r>
    </w:p>
    <w:p>
      <w:pPr>
        <w:pStyle w:val="2"/>
        <w:ind w:left="0"/>
      </w:pPr>
      <w:r>
        <w:rPr>
          <w:rFonts w:hint="eastAsia"/>
        </w:rPr>
        <w:t>款接收工程约定的相关责任，以及已被使用或强令接收的单项工程和（或）工程后进行操作、使用等所造成的损失、损坏、损害和（或）赔偿责任。</w:t>
      </w:r>
    </w:p>
    <w:p>
      <w:pPr>
        <w:pStyle w:val="5"/>
        <w:numPr>
          <w:ilvl w:val="0"/>
          <w:numId w:val="12"/>
        </w:numPr>
      </w:pPr>
      <w:bookmarkStart w:id="78" w:name="bookmark186"/>
      <w:bookmarkStart w:id="79" w:name="bookmark185"/>
      <w:bookmarkStart w:id="80" w:name="bookmark187"/>
      <w:r>
        <w:rPr>
          <w:rFonts w:hint="eastAsia"/>
        </w:rPr>
        <w:t>竣工后试验</w:t>
      </w:r>
      <w:bookmarkEnd w:id="78"/>
      <w:bookmarkEnd w:id="79"/>
      <w:bookmarkEnd w:id="80"/>
    </w:p>
    <w:p>
      <w:pPr>
        <w:pStyle w:val="2"/>
      </w:pPr>
      <w:r>
        <w:rPr>
          <w:rFonts w:hint="eastAsia"/>
        </w:rPr>
        <w:t>本合同工程包含竣工后试验的，遵守本条约定。</w:t>
      </w:r>
    </w:p>
    <w:p>
      <w:pPr>
        <w:pStyle w:val="6"/>
        <w:numPr>
          <w:ilvl w:val="1"/>
          <w:numId w:val="12"/>
        </w:numPr>
      </w:pPr>
      <w:r>
        <w:rPr>
          <w:rFonts w:hint="eastAsia"/>
        </w:rPr>
        <w:t>权利与义务</w:t>
      </w:r>
    </w:p>
    <w:p>
      <w:pPr>
        <w:pStyle w:val="2"/>
      </w:pPr>
      <w:r>
        <w:rPr>
          <w:rFonts w:hint="eastAsia"/>
        </w:rPr>
        <w:t>10.1.1 发包人的权利与义务</w:t>
      </w:r>
    </w:p>
    <w:p>
      <w:pPr>
        <w:pStyle w:val="2"/>
      </w:pPr>
      <w:r>
        <w:rPr>
          <w:rFonts w:hint="eastAsia"/>
        </w:rPr>
        <w:t>（1）发包人有权对第10.1.2款第（2）项约定的由承包人协助发包人编制的竣工后试验方案进行</w:t>
      </w:r>
    </w:p>
    <w:p>
      <w:pPr>
        <w:pStyle w:val="2"/>
        <w:ind w:left="0"/>
      </w:pPr>
      <w:r>
        <w:rPr>
          <w:rFonts w:hint="eastAsia"/>
        </w:rPr>
        <w:t>审査并批准，发包人的批准并不能减轻或免除承包人的合同责任。</w:t>
      </w:r>
    </w:p>
    <w:p>
      <w:pPr>
        <w:pStyle w:val="2"/>
      </w:pPr>
      <w:r>
        <w:rPr>
          <w:rFonts w:hint="eastAsia"/>
        </w:rPr>
        <w:t>（2）竣工后试验联合协调领导机构由发包人组建，在发包人的组织领导下，由承包人指导，依据</w:t>
      </w:r>
    </w:p>
    <w:p>
      <w:pPr>
        <w:pStyle w:val="2"/>
        <w:ind w:left="0"/>
      </w:pPr>
      <w:r>
        <w:rPr>
          <w:rFonts w:hint="eastAsia"/>
        </w:rPr>
        <w:t>批准的竣工后试验方案进行分工、组织完成竣工后试验的各项准备工作、进行竣工后试验和试运行考核。联合协调领导机构的设置方案及其分工职责等作为本合同的组成部分。</w:t>
      </w:r>
    </w:p>
    <w:p>
      <w:pPr>
        <w:pStyle w:val="2"/>
      </w:pPr>
      <w:bookmarkStart w:id="81" w:name="bookmark190"/>
      <w:r>
        <w:rPr>
          <w:rFonts w:hint="eastAsia"/>
        </w:rPr>
        <w:t>（</w:t>
      </w:r>
      <w:bookmarkEnd w:id="81"/>
      <w:r>
        <w:rPr>
          <w:rFonts w:hint="eastAsia"/>
        </w:rPr>
        <w:t>3）发包人对承包人根据10.1.2款第（4）项提出的建议，有权向承包人发出不接受或接受的通</w:t>
      </w:r>
    </w:p>
    <w:p>
      <w:pPr>
        <w:pStyle w:val="2"/>
        <w:ind w:left="0"/>
      </w:pPr>
      <w:r>
        <w:rPr>
          <w:rFonts w:hint="eastAsia"/>
        </w:rPr>
        <w:t>知。</w:t>
      </w:r>
    </w:p>
    <w:p>
      <w:pPr>
        <w:pStyle w:val="2"/>
      </w:pPr>
      <w:r>
        <w:rPr>
          <w:rFonts w:hint="eastAsia"/>
        </w:rPr>
        <w:t>发包人未能接受承包人的上述建议，承包人有义务仍按本款第（2）项的组织安排执行。承包人因</w:t>
      </w:r>
    </w:p>
    <w:p>
      <w:pPr>
        <w:pStyle w:val="2"/>
        <w:ind w:left="0"/>
      </w:pPr>
      <w:r>
        <w:rPr>
          <w:rFonts w:hint="eastAsia"/>
        </w:rPr>
        <w:t>执行发包人的此项安排而发生事故、人身伤害和工程损害时，由发包人承担其责任。</w:t>
      </w:r>
    </w:p>
    <w:p>
      <w:pPr>
        <w:pStyle w:val="2"/>
        <w:numPr>
          <w:ilvl w:val="0"/>
          <w:numId w:val="31"/>
        </w:numPr>
      </w:pPr>
      <w:r>
        <w:rPr>
          <w:rFonts w:hint="eastAsia"/>
        </w:rPr>
        <w:t>发包人在竣工后试验阶段向承包人发出的组织安排、指令和通知，应以书面形式送达承包人</w:t>
      </w:r>
    </w:p>
    <w:p>
      <w:pPr>
        <w:pStyle w:val="2"/>
        <w:ind w:left="0"/>
      </w:pPr>
      <w:r>
        <w:rPr>
          <w:rFonts w:hint="eastAsia"/>
        </w:rPr>
        <w:t>的项目经理，由项目经理在回执上签署收到日期、时间和签名。</w:t>
      </w:r>
    </w:p>
    <w:p>
      <w:pPr>
        <w:pStyle w:val="2"/>
        <w:numPr>
          <w:ilvl w:val="0"/>
          <w:numId w:val="31"/>
        </w:numPr>
      </w:pPr>
      <w:r>
        <w:rPr>
          <w:rFonts w:hint="eastAsia"/>
        </w:rPr>
        <w:t>发包人有权在紧急情况下，以口头、或书面形式向承包人发出紧急指令，承包人应立即执行。</w:t>
      </w:r>
    </w:p>
    <w:p>
      <w:pPr>
        <w:pStyle w:val="2"/>
        <w:ind w:left="0"/>
      </w:pPr>
      <w:r>
        <w:rPr>
          <w:rFonts w:hint="eastAsia"/>
        </w:rPr>
        <w:t>如承包人未能按发包人的指令执行，因此造成的事故责任、人身伤害和工程损害，由承包人承担。发包人应在发出口头指令后12小时内，将该口头指令再以书面形式送达承包人的项目经理。</w:t>
      </w:r>
    </w:p>
    <w:p>
      <w:pPr>
        <w:pStyle w:val="2"/>
        <w:numPr>
          <w:ilvl w:val="0"/>
          <w:numId w:val="31"/>
        </w:numPr>
      </w:pPr>
      <w:r>
        <w:rPr>
          <w:rFonts w:hint="eastAsia"/>
        </w:rPr>
        <w:t>发包人在竣工后试验阶段的其它义务和工作，在专用条款中约定。</w:t>
      </w:r>
    </w:p>
    <w:p>
      <w:pPr>
        <w:pStyle w:val="2"/>
      </w:pPr>
      <w:r>
        <w:rPr>
          <w:rFonts w:hint="eastAsia"/>
        </w:rPr>
        <w:t>10.1.2 承包人的责任和义务</w:t>
      </w:r>
    </w:p>
    <w:p>
      <w:pPr>
        <w:pStyle w:val="2"/>
      </w:pPr>
      <w:r>
        <w:rPr>
          <w:rFonts w:hint="eastAsia"/>
        </w:rPr>
        <w:t>（1）承包人应在发包人组建的竣工后试验联合协调领导机构的统一安排下，派出具有相应资格和</w:t>
      </w:r>
    </w:p>
    <w:p>
      <w:pPr>
        <w:pStyle w:val="2"/>
        <w:ind w:left="0"/>
      </w:pPr>
      <w:r>
        <w:rPr>
          <w:rFonts w:hint="eastAsia"/>
        </w:rPr>
        <w:t>经验的人员指导竣工后试验。承包人派出的开车经理或指导人员在竣工后试验期间离开现场，必须事先得到发包人批准。</w:t>
      </w:r>
    </w:p>
    <w:p>
      <w:pPr>
        <w:pStyle w:val="2"/>
      </w:pPr>
      <w:bookmarkStart w:id="82" w:name="bookmark195"/>
      <w:r>
        <w:rPr>
          <w:rFonts w:hint="eastAsia"/>
        </w:rPr>
        <w:t>（</w:t>
      </w:r>
      <w:bookmarkEnd w:id="82"/>
      <w:r>
        <w:rPr>
          <w:rFonts w:hint="eastAsia"/>
        </w:rPr>
        <w:t>2）承包人应根据合同约定和工程竣工后试验的特点，协助发包人编制竣工后试验方案，并在竣</w:t>
      </w:r>
    </w:p>
    <w:p>
      <w:pPr>
        <w:pStyle w:val="2"/>
        <w:ind w:left="0"/>
      </w:pPr>
      <w:r>
        <w:rPr>
          <w:rFonts w:hint="eastAsia"/>
        </w:rPr>
        <w:t>工试验开始前编制完成。竣工后试验方案应包括：工程、单项工程及其相关部位的操作试验程序、资源条件、试验条件、操作规程、安全规程、事故处理程序及进度计划等。竣工后试验方案经发包人审查批准后实施。竣工后试验方案的份数和时间在专用条款约定。</w:t>
      </w:r>
    </w:p>
    <w:p>
      <w:pPr>
        <w:pStyle w:val="2"/>
      </w:pPr>
      <w:r>
        <w:rPr>
          <w:rFonts w:hint="eastAsia"/>
        </w:rPr>
        <w:t>（3）因承包人未能执行发包人的安排、指令和通知，而发生的事故、人身伤害和工程损害，由承</w:t>
      </w:r>
    </w:p>
    <w:p>
      <w:pPr>
        <w:pStyle w:val="2"/>
        <w:ind w:left="0"/>
      </w:pPr>
      <w:r>
        <w:rPr>
          <w:rFonts w:hint="eastAsia"/>
        </w:rPr>
        <w:t>包人承担其责任。</w:t>
      </w:r>
    </w:p>
    <w:p>
      <w:pPr>
        <w:pStyle w:val="2"/>
      </w:pPr>
      <w:bookmarkStart w:id="83" w:name="bookmark197"/>
      <w:r>
        <w:rPr>
          <w:rFonts w:hint="eastAsia"/>
        </w:rPr>
        <w:t>（</w:t>
      </w:r>
      <w:bookmarkEnd w:id="83"/>
      <w:r>
        <w:rPr>
          <w:rFonts w:hint="eastAsia"/>
        </w:rPr>
        <w:t>4）承包人有义务对发包人的组织安排、指令和通知提出建议，并说明因由。</w:t>
      </w:r>
    </w:p>
    <w:p>
      <w:pPr>
        <w:pStyle w:val="2"/>
      </w:pPr>
      <w:bookmarkStart w:id="84" w:name="bookmark198"/>
      <w:r>
        <w:rPr>
          <w:rFonts w:hint="eastAsia"/>
        </w:rPr>
        <w:t>（</w:t>
      </w:r>
      <w:bookmarkEnd w:id="84"/>
      <w:r>
        <w:rPr>
          <w:rFonts w:hint="eastAsia"/>
        </w:rPr>
        <w:t>5）在紧急情况下，发包人有权口头指令承包人进行操作、工作及作业，承包人应立即执行。承</w:t>
      </w:r>
    </w:p>
    <w:p>
      <w:pPr>
        <w:pStyle w:val="2"/>
        <w:ind w:left="0"/>
      </w:pPr>
      <w:r>
        <w:rPr>
          <w:rFonts w:hint="eastAsia"/>
        </w:rPr>
        <w:t>包人应对此项指令做好记录，并做好实施的记录。发包人应在12小时内，将上述口头指令再以书面形式送达承包人。</w:t>
      </w:r>
    </w:p>
    <w:p>
      <w:pPr>
        <w:pStyle w:val="2"/>
      </w:pPr>
      <w:r>
        <w:rPr>
          <w:rFonts w:hint="eastAsia"/>
        </w:rPr>
        <w:t>发包人未能在12小时内将此项口头指令以书面形式送达承包人时，承包人及其项目经理有权在接</w:t>
      </w:r>
    </w:p>
    <w:p>
      <w:pPr>
        <w:pStyle w:val="2"/>
        <w:ind w:left="0"/>
      </w:pPr>
      <w:r>
        <w:rPr>
          <w:rFonts w:hint="eastAsia"/>
        </w:rPr>
        <w:t>到口头指令后的24小时内，以书面形式将该口头指令交发包人，发包人须在回执上签字确认，并签署接到的日期和时间。当发包人未能在24小时内在回执上签字确认，视为已被发包人确认。</w:t>
      </w:r>
    </w:p>
    <w:p>
      <w:pPr>
        <w:pStyle w:val="2"/>
      </w:pPr>
      <w:r>
        <w:rPr>
          <w:rFonts w:hint="eastAsia"/>
        </w:rPr>
        <w:t>承包人因执行发包人的口头指令而发生事故责任、人身伤害、工程损害和费用增加时，由发包人承</w:t>
      </w:r>
    </w:p>
    <w:p>
      <w:pPr>
        <w:pStyle w:val="2"/>
        <w:ind w:left="0"/>
      </w:pPr>
      <w:r>
        <w:rPr>
          <w:rFonts w:hint="eastAsia"/>
        </w:rPr>
        <w:t>担。但承包人错误执行上述口头指令而发生事故责任、人身伤害、工程损害和费用增加时，由承包人负责。</w:t>
      </w:r>
    </w:p>
    <w:p>
      <w:pPr>
        <w:pStyle w:val="2"/>
      </w:pPr>
      <w:r>
        <w:rPr>
          <w:rFonts w:hint="eastAsia"/>
        </w:rPr>
        <w:t>（6）操作维修手册的缺陷责任。因承包人负责编制的操作维修手册存在缺陷所造成的事故责任、</w:t>
      </w:r>
    </w:p>
    <w:p>
      <w:pPr>
        <w:pStyle w:val="2"/>
        <w:ind w:left="0"/>
      </w:pPr>
      <w:r>
        <w:rPr>
          <w:rFonts w:hint="eastAsia"/>
        </w:rPr>
        <w:t>人身伤害和工程损害，由承包人承担；因发包人（包括其专利商）提供的操作指南存在缺陷，造成承包人操作手册的缺陷，因此发生事故责任、人身伤害、工程损害和承包人费用增加时，由发包人负责。</w:t>
      </w:r>
    </w:p>
    <w:p>
      <w:pPr>
        <w:pStyle w:val="2"/>
      </w:pPr>
      <w:r>
        <w:rPr>
          <w:rFonts w:hint="eastAsia"/>
        </w:rPr>
        <w:t>（7）承包人根据合同约定和（或）行业规定，在竣工后试验阶段的其它义务和工作，在专用条款</w:t>
      </w:r>
    </w:p>
    <w:p>
      <w:pPr>
        <w:pStyle w:val="2"/>
        <w:ind w:left="0"/>
      </w:pPr>
      <w:r>
        <w:rPr>
          <w:rFonts w:hint="eastAsia"/>
        </w:rPr>
        <w:t>中约定。</w:t>
      </w:r>
    </w:p>
    <w:p>
      <w:pPr>
        <w:pStyle w:val="6"/>
        <w:numPr>
          <w:ilvl w:val="1"/>
          <w:numId w:val="12"/>
        </w:numPr>
      </w:pPr>
      <w:r>
        <w:rPr>
          <w:rFonts w:hint="eastAsia"/>
        </w:rPr>
        <w:t>竣工后试验程序</w:t>
      </w:r>
    </w:p>
    <w:p>
      <w:pPr>
        <w:pStyle w:val="2"/>
      </w:pPr>
      <w:r>
        <w:rPr>
          <w:rFonts w:hint="eastAsia"/>
        </w:rPr>
        <w:t>10.2.1 发包人应根据联合协调领导机构批准的竣工后试验方案，提供全部电力、水、燃料、动力、</w:t>
      </w:r>
    </w:p>
    <w:p>
      <w:pPr>
        <w:pStyle w:val="2"/>
        <w:ind w:left="0"/>
      </w:pPr>
      <w:r>
        <w:rPr>
          <w:rFonts w:hint="eastAsia"/>
        </w:rPr>
        <w:t>原材料、辅助材料、消耗材料以及其它试验条件，并组织安排其管理人员、操作维修人员和其它各项准备工作。</w:t>
      </w:r>
    </w:p>
    <w:p>
      <w:pPr>
        <w:pStyle w:val="2"/>
      </w:pPr>
      <w:r>
        <w:rPr>
          <w:rFonts w:hint="eastAsia"/>
        </w:rPr>
        <w:t>10.2.2 承包人应根据经批准的竣工后试验方案，提供竣工后试验所需要的其它临时辅助设备、设</w:t>
      </w:r>
    </w:p>
    <w:p>
      <w:pPr>
        <w:pStyle w:val="2"/>
        <w:ind w:left="0"/>
      </w:pPr>
      <w:r>
        <w:rPr>
          <w:rFonts w:hint="eastAsia"/>
        </w:rPr>
        <w:t>施、工具和器具，及应由承包人完成的其它准备工作。</w:t>
      </w:r>
    </w:p>
    <w:p>
      <w:pPr>
        <w:pStyle w:val="2"/>
      </w:pPr>
      <w:r>
        <w:rPr>
          <w:rFonts w:hint="eastAsia"/>
        </w:rPr>
        <w:t>10.2.3 发包人应根据批准的竣工后试验方案，按照单项工程内的任何部分、单项工程、单项工程</w:t>
      </w:r>
    </w:p>
    <w:p>
      <w:pPr>
        <w:pStyle w:val="2"/>
        <w:ind w:left="0"/>
      </w:pPr>
      <w:r>
        <w:rPr>
          <w:rFonts w:hint="eastAsia"/>
        </w:rPr>
        <w:t>之间、或（和）工程的竣工后试验程序和试验条件，组织竣工后试验。</w:t>
      </w:r>
    </w:p>
    <w:p>
      <w:pPr>
        <w:pStyle w:val="2"/>
      </w:pPr>
      <w:r>
        <w:rPr>
          <w:rFonts w:hint="eastAsia"/>
        </w:rPr>
        <w:t>10.2.4 联合协调领导机构组织全面检査并落实工程、单项工程及工程的任何部分竣工后试验所需</w:t>
      </w:r>
    </w:p>
    <w:p>
      <w:pPr>
        <w:pStyle w:val="2"/>
        <w:ind w:left="0"/>
      </w:pPr>
      <w:r>
        <w:rPr>
          <w:rFonts w:hint="eastAsia"/>
        </w:rPr>
        <w:t>要的资源条件、试验条件、安全设施条件、消防设施条件、紧急事故处理设施条件和（或）相关措施，保证记录仪器、专用记录表格的齐全和数量的充分。</w:t>
      </w:r>
    </w:p>
    <w:p>
      <w:pPr>
        <w:pStyle w:val="2"/>
      </w:pPr>
      <w:r>
        <w:rPr>
          <w:rFonts w:hint="eastAsia"/>
        </w:rPr>
        <w:t>10.2.5 竣工后试验日期的通知。发包人应在接收单项工程或（和）接收工程日期后的15日内通知</w:t>
      </w:r>
    </w:p>
    <w:p>
      <w:pPr>
        <w:pStyle w:val="2"/>
        <w:ind w:left="0"/>
      </w:pPr>
      <w:r>
        <w:rPr>
          <w:rFonts w:hint="eastAsia"/>
        </w:rPr>
        <w:t>承包人开始竣工后试验的日期，专用条款另有约定时除外。</w:t>
      </w:r>
    </w:p>
    <w:p>
      <w:pPr>
        <w:pStyle w:val="2"/>
      </w:pPr>
      <w:r>
        <w:rPr>
          <w:rFonts w:hint="eastAsia"/>
        </w:rPr>
        <w:t>因发包人原因未能在接收单项工程和（或）工程的20日内，或在专用条款中约定的日期内进行竣</w:t>
      </w:r>
    </w:p>
    <w:p>
      <w:pPr>
        <w:pStyle w:val="2"/>
        <w:ind w:left="0"/>
      </w:pPr>
      <w:r>
        <w:rPr>
          <w:rFonts w:hint="eastAsia"/>
        </w:rPr>
        <w:t>工后试验，发包人应自第21日开始或自专用条款中约定的开始日期后的第二日开始，承担承包人由此发生的相关窝工费用，包括人工费、临时辅助设备、设施的闲置费、管理费及其合理利润。</w:t>
      </w:r>
    </w:p>
    <w:p>
      <w:pPr>
        <w:pStyle w:val="6"/>
        <w:numPr>
          <w:ilvl w:val="1"/>
          <w:numId w:val="12"/>
        </w:numPr>
      </w:pPr>
      <w:r>
        <w:rPr>
          <w:rFonts w:hint="eastAsia"/>
        </w:rPr>
        <w:t>竣工后试验及试运行考核</w:t>
      </w:r>
    </w:p>
    <w:p>
      <w:pPr>
        <w:pStyle w:val="2"/>
      </w:pPr>
      <w:r>
        <w:rPr>
          <w:rFonts w:hint="eastAsia"/>
        </w:rPr>
        <w:t>10.3.1 按照批准的竣工后试验方案的试验程序、试验条件、操作程序进行试验，达到合同约定的</w:t>
      </w:r>
    </w:p>
    <w:p>
      <w:pPr>
        <w:pStyle w:val="2"/>
        <w:ind w:left="0"/>
      </w:pPr>
      <w:r>
        <w:rPr>
          <w:rFonts w:hint="eastAsia"/>
        </w:rPr>
        <w:t>工程和（或）单项工程的生产功能和（或）使用功能。</w:t>
      </w:r>
    </w:p>
    <w:p>
      <w:pPr>
        <w:pStyle w:val="2"/>
      </w:pPr>
      <w:r>
        <w:rPr>
          <w:rFonts w:hint="eastAsia"/>
        </w:rPr>
        <w:t>10.3.2 发包人的操作人员和承包人的指导人员，在竣工后试验过程中的同一个岗位上的试验条件</w:t>
      </w:r>
    </w:p>
    <w:p>
      <w:pPr>
        <w:pStyle w:val="2"/>
        <w:ind w:left="0"/>
      </w:pPr>
      <w:r>
        <w:rPr>
          <w:rFonts w:hint="eastAsia"/>
        </w:rPr>
        <w:t>记录、试验记录及表格上，应如实填写数据、条件、情况、时间、姓名及约定的其它内容。</w:t>
      </w:r>
    </w:p>
    <w:p>
      <w:pPr>
        <w:pStyle w:val="2"/>
      </w:pPr>
      <w:r>
        <w:rPr>
          <w:rFonts w:hint="eastAsia"/>
        </w:rPr>
        <w:t>10.3.3 试运行考核</w:t>
      </w:r>
    </w:p>
    <w:p>
      <w:pPr>
        <w:pStyle w:val="2"/>
        <w:numPr>
          <w:ilvl w:val="0"/>
          <w:numId w:val="35"/>
        </w:numPr>
      </w:pPr>
      <w:r>
        <w:rPr>
          <w:rFonts w:hint="eastAsia"/>
        </w:rPr>
        <w:t>根据5.1.1款约定，由承包人提供生产工艺技术和（或）建筑设计方案的，承包人应保证工</w:t>
      </w:r>
    </w:p>
    <w:p>
      <w:pPr>
        <w:pStyle w:val="2"/>
        <w:ind w:left="0"/>
      </w:pPr>
      <w:r>
        <w:rPr>
          <w:rFonts w:hint="eastAsia"/>
        </w:rPr>
        <w:t>程在试运行考核周期内，达到5.1.1款专用条款中约定的考核保证值和（或）使用功能。</w:t>
      </w:r>
    </w:p>
    <w:p>
      <w:pPr>
        <w:pStyle w:val="2"/>
        <w:numPr>
          <w:ilvl w:val="0"/>
          <w:numId w:val="35"/>
        </w:numPr>
      </w:pPr>
      <w:r>
        <w:rPr>
          <w:rFonts w:hint="eastAsia"/>
        </w:rPr>
        <w:t>根据5.1.2款约定，由发包人提供生产工艺技术和（或）建筑设计方案的，承包人应保证在</w:t>
      </w:r>
    </w:p>
    <w:p>
      <w:pPr>
        <w:pStyle w:val="2"/>
        <w:ind w:left="0"/>
      </w:pPr>
      <w:r>
        <w:rPr>
          <w:rFonts w:hint="eastAsia"/>
        </w:rPr>
        <w:t>试运行考核周期内达到5.1.2款专用条款中约定的，应由承包人承担的工程相关部分的考核保证值和（或）使用功能。</w:t>
      </w:r>
    </w:p>
    <w:p>
      <w:pPr>
        <w:pStyle w:val="2"/>
      </w:pPr>
      <w:bookmarkStart w:id="85" w:name="bookmark203"/>
      <w:r>
        <w:rPr>
          <w:rFonts w:hint="eastAsia"/>
        </w:rPr>
        <w:t>（</w:t>
      </w:r>
      <w:bookmarkEnd w:id="85"/>
      <w:r>
        <w:rPr>
          <w:rFonts w:hint="eastAsia"/>
        </w:rPr>
        <w:t>3）试运行考核的时间周期由双方根据相关行业对试运行考核周期的规定，在专用条款中约定。</w:t>
      </w:r>
    </w:p>
    <w:p>
      <w:pPr>
        <w:pStyle w:val="2"/>
      </w:pPr>
      <w:bookmarkStart w:id="86" w:name="bookmark204"/>
      <w:r>
        <w:rPr>
          <w:rFonts w:hint="eastAsia"/>
        </w:rPr>
        <w:t>（</w:t>
      </w:r>
      <w:bookmarkEnd w:id="86"/>
      <w:r>
        <w:rPr>
          <w:rFonts w:hint="eastAsia"/>
        </w:rPr>
        <w:t>4）试运行考核通过后或使用功能通过后，双方应共同整理竣工后试验及其试运行考核结果，并</w:t>
      </w:r>
    </w:p>
    <w:p>
      <w:pPr>
        <w:pStyle w:val="2"/>
        <w:ind w:left="0"/>
      </w:pPr>
      <w:r>
        <w:rPr>
          <w:rFonts w:hint="eastAsia"/>
        </w:rPr>
        <w:t>编写评价报告。报告一式两份，经合同双方签字或盖章后各持一份，作为本合同组成部分。发包人并应根据10.7款的约定颁发考核验收证书。</w:t>
      </w:r>
    </w:p>
    <w:p>
      <w:pPr>
        <w:pStyle w:val="2"/>
      </w:pPr>
      <w:r>
        <w:rPr>
          <w:rFonts w:hint="eastAsia"/>
        </w:rPr>
        <w:t>10.3.4 产品和（或）服务收益的所有权。单项工程和（或）工程竣工后试验及试运行考核期间的</w:t>
      </w:r>
    </w:p>
    <w:p>
      <w:pPr>
        <w:pStyle w:val="2"/>
        <w:ind w:left="0"/>
      </w:pPr>
      <w:r>
        <w:rPr>
          <w:rFonts w:hint="eastAsia"/>
        </w:rPr>
        <w:t>任何产品收益和（或）服务收益，均属发包人所有。</w:t>
      </w:r>
    </w:p>
    <w:p>
      <w:pPr>
        <w:pStyle w:val="6"/>
        <w:numPr>
          <w:ilvl w:val="1"/>
          <w:numId w:val="12"/>
        </w:numPr>
      </w:pPr>
      <w:r>
        <w:rPr>
          <w:rFonts w:hint="eastAsia"/>
        </w:rPr>
        <w:t>竣工后试验的延误</w:t>
      </w:r>
    </w:p>
    <w:p>
      <w:pPr>
        <w:pStyle w:val="2"/>
      </w:pPr>
      <w:r>
        <w:rPr>
          <w:rFonts w:hint="eastAsia"/>
        </w:rPr>
        <w:t>10.4.1 根据10.2.5款竣工后试验日期通知的约定，非因承包人原因，发包人未能在发出竣工后试</w:t>
      </w:r>
    </w:p>
    <w:p>
      <w:pPr>
        <w:pStyle w:val="2"/>
        <w:ind w:left="0"/>
      </w:pPr>
      <w:r>
        <w:rPr>
          <w:rFonts w:hint="eastAsia"/>
        </w:rPr>
        <w:t>验通知后的90日内开始竣工后试验的，工程和（或）单项工程视为通过了竣工后试验和试运行考核。除非专用条款另有约定。</w:t>
      </w:r>
    </w:p>
    <w:p>
      <w:pPr>
        <w:pStyle w:val="2"/>
      </w:pPr>
      <w:r>
        <w:rPr>
          <w:rFonts w:hint="eastAsia"/>
        </w:rPr>
        <w:t>10.4.2 因承包人的原因造成竣工后试验延误时，承包人应釆取措施，尽快组织，配合发包人开始</w:t>
      </w:r>
    </w:p>
    <w:p>
      <w:pPr>
        <w:pStyle w:val="2"/>
        <w:ind w:left="0"/>
      </w:pPr>
      <w:r>
        <w:rPr>
          <w:rFonts w:hint="eastAsia"/>
        </w:rPr>
        <w:t>并通过竣工后试验。当延误造成发包人的费用增加时，发包人有权根据16.2.1款的约定向承包人提出索赔。</w:t>
      </w:r>
    </w:p>
    <w:p>
      <w:pPr>
        <w:pStyle w:val="2"/>
      </w:pPr>
      <w:r>
        <w:rPr>
          <w:rFonts w:hint="eastAsia"/>
        </w:rPr>
        <w:t>10.4.3 按10.3.3款第（3）项试运行考核时间周期的约定，在试运行考核期间，因发包人原因导</w:t>
      </w:r>
    </w:p>
    <w:p>
      <w:pPr>
        <w:pStyle w:val="2"/>
        <w:ind w:left="0"/>
      </w:pPr>
      <w:r>
        <w:rPr>
          <w:rFonts w:hint="eastAsia"/>
        </w:rPr>
        <w:t>致考核中断或停止，且中断或停止的累计天数超过第10.3.3款第（3）项专用条款中约定的试运行考核周期时，试运行考核应在中断或停止后的60日内重新开始，超过此期限视为单项工程和（或）工程已通过了试运行考核。</w:t>
      </w:r>
    </w:p>
    <w:p>
      <w:pPr>
        <w:pStyle w:val="6"/>
        <w:numPr>
          <w:ilvl w:val="1"/>
          <w:numId w:val="12"/>
        </w:numPr>
      </w:pPr>
      <w:r>
        <w:rPr>
          <w:rFonts w:hint="eastAsia"/>
        </w:rPr>
        <w:t>重新进行竣工后试验</w:t>
      </w:r>
    </w:p>
    <w:p>
      <w:pPr>
        <w:pStyle w:val="2"/>
      </w:pPr>
      <w:r>
        <w:rPr>
          <w:rFonts w:hint="eastAsia"/>
        </w:rPr>
        <w:t>10.5.1 根据5.1.1款或5.1.2款及其专用条款中的约定，因承包人原因导致工程、单项工程或工</w:t>
      </w:r>
    </w:p>
    <w:p>
      <w:pPr>
        <w:pStyle w:val="2"/>
        <w:ind w:left="0"/>
      </w:pPr>
      <w:r>
        <w:rPr>
          <w:rFonts w:hint="eastAsia"/>
        </w:rPr>
        <w:t>程的任何部分未能通过竣工后试验，承包人应自费修补其缺陷，由发包人依据第10.2.3款约定的试验程序、试验条件，重新组织进行此项试验。</w:t>
      </w:r>
    </w:p>
    <w:p>
      <w:pPr>
        <w:pStyle w:val="2"/>
      </w:pPr>
      <w:r>
        <w:rPr>
          <w:rFonts w:hint="eastAsia"/>
        </w:rPr>
        <w:t>10.5.2 承包人根据10.5.1款重新进行试验，仍未能通过该项试验时，承包人应自费继续修补缺陷，</w:t>
      </w:r>
    </w:p>
    <w:p>
      <w:pPr>
        <w:pStyle w:val="2"/>
        <w:ind w:left="0"/>
      </w:pPr>
      <w:r>
        <w:rPr>
          <w:rFonts w:hint="eastAsia"/>
        </w:rPr>
        <w:t>并在发包人的组织领导下，按10.2.3款约定的试验程序、试验条件，再次指导发包人进行此项试验。</w:t>
      </w:r>
    </w:p>
    <w:p>
      <w:pPr>
        <w:pStyle w:val="2"/>
      </w:pPr>
      <w:r>
        <w:rPr>
          <w:rFonts w:hint="eastAsia"/>
        </w:rPr>
        <w:t>10.5.3 因承包人原因，重新进行竣工后试验，给发包人增加了额外费用时，发包人有权根据16.2.1</w:t>
      </w:r>
    </w:p>
    <w:p>
      <w:pPr>
        <w:pStyle w:val="2"/>
        <w:ind w:left="0"/>
      </w:pPr>
      <w:r>
        <w:rPr>
          <w:rFonts w:hint="eastAsia"/>
        </w:rPr>
        <w:t>款的约定向承包人提出索赔。</w:t>
      </w:r>
    </w:p>
    <w:p>
      <w:pPr>
        <w:pStyle w:val="6"/>
        <w:numPr>
          <w:ilvl w:val="1"/>
          <w:numId w:val="12"/>
        </w:numPr>
      </w:pPr>
      <w:r>
        <w:rPr>
          <w:rFonts w:hint="eastAsia"/>
        </w:rPr>
        <w:t>未能通过考核</w:t>
      </w:r>
    </w:p>
    <w:p>
      <w:pPr>
        <w:pStyle w:val="2"/>
      </w:pPr>
      <w:r>
        <w:rPr>
          <w:rFonts w:hint="eastAsia"/>
        </w:rPr>
        <w:t>因承包人原因使工程和（或）单项工程未能通过考核，但尚具有生产功能、使用功能时，按以下约</w:t>
      </w:r>
    </w:p>
    <w:p>
      <w:pPr>
        <w:pStyle w:val="2"/>
        <w:ind w:left="0"/>
      </w:pPr>
      <w:r>
        <w:rPr>
          <w:rFonts w:hint="eastAsia"/>
        </w:rPr>
        <w:t>定处理：</w:t>
      </w:r>
    </w:p>
    <w:p>
      <w:pPr>
        <w:pStyle w:val="2"/>
      </w:pPr>
      <w:bookmarkStart w:id="87" w:name="bookmark205"/>
      <w:r>
        <w:rPr>
          <w:rFonts w:hint="eastAsia"/>
        </w:rPr>
        <w:t>（</w:t>
      </w:r>
      <w:bookmarkEnd w:id="87"/>
      <w:r>
        <w:rPr>
          <w:rFonts w:hint="eastAsia"/>
        </w:rPr>
        <w:t>1）未能通过试运行考核的赔偿</w:t>
      </w:r>
    </w:p>
    <w:p>
      <w:pPr>
        <w:pStyle w:val="2"/>
        <w:ind w:firstLine="220" w:firstLineChars="100"/>
      </w:pPr>
      <w:bookmarkStart w:id="88" w:name="bookmark206"/>
      <w:r>
        <w:rPr>
          <w:rFonts w:hint="eastAsia"/>
        </w:rPr>
        <w:t>1</w:t>
      </w:r>
      <w:bookmarkEnd w:id="88"/>
      <w:r>
        <w:rPr>
          <w:rFonts w:hint="eastAsia"/>
        </w:rPr>
        <w:t>）承包人提供的生产工艺技术或建筑设计方案未能通过试运行考核</w:t>
      </w:r>
      <w:r>
        <w:rPr>
          <w:rFonts w:hint="eastAsia"/>
        </w:rPr>
        <w:br w:type="textWrapping"/>
      </w:r>
      <w:r>
        <w:rPr>
          <w:rFonts w:hint="eastAsia"/>
        </w:rPr>
        <w:t>承包人提供的生产工艺技术和（或）建筑设计方案未能通过试运行考核时，承包人在根据5.1.1款</w:t>
      </w:r>
    </w:p>
    <w:p>
      <w:pPr>
        <w:pStyle w:val="2"/>
        <w:ind w:left="0"/>
      </w:pPr>
      <w:r>
        <w:rPr>
          <w:rFonts w:hint="eastAsia"/>
        </w:rPr>
        <w:t>专用条款约定的工程和（或）单项工程试运行考核保证值和（或）使用功能保证的说明书，并按照在本项专用条款中约定的未能通过试运行考核的赔偿金额、或赔偿计算公式计算的金额，向发包人支付相应赔偿金额后，视为承包人通过了试运行考核。</w:t>
      </w:r>
    </w:p>
    <w:p>
      <w:pPr>
        <w:pStyle w:val="2"/>
      </w:pPr>
      <w:bookmarkStart w:id="89" w:name="bookmark207"/>
      <w:r>
        <w:rPr>
          <w:rFonts w:hint="eastAsia"/>
        </w:rPr>
        <w:t>2</w:t>
      </w:r>
      <w:bookmarkEnd w:id="89"/>
      <w:r>
        <w:rPr>
          <w:rFonts w:hint="eastAsia"/>
        </w:rPr>
        <w:t>）发包人提供的生产工艺技术或建筑设计方案未能通过试运行考核</w:t>
      </w:r>
    </w:p>
    <w:p>
      <w:pPr>
        <w:pStyle w:val="2"/>
      </w:pPr>
      <w:r>
        <w:rPr>
          <w:rFonts w:hint="eastAsia"/>
        </w:rPr>
        <w:t>发包人提供的生产工艺技术和（或）建筑设计方案未能通过试运行考核时，承包人根据5.1.2款专</w:t>
      </w:r>
    </w:p>
    <w:p>
      <w:pPr>
        <w:pStyle w:val="2"/>
        <w:ind w:left="0"/>
      </w:pPr>
      <w:r>
        <w:rPr>
          <w:rFonts w:hint="eastAsia"/>
        </w:rPr>
        <w:t>用条款约定的工程和（或）单项工程试运行考核中应由承包人承担的相关责任，并按照在本项专用条款对相关责任约定的赔偿金额、或赔偿公式计算的金额，向发包人支付相应赔偿金额后，视为承包人通过了试运行考核。</w:t>
      </w:r>
    </w:p>
    <w:p>
      <w:pPr>
        <w:pStyle w:val="2"/>
      </w:pPr>
      <w:r>
        <w:rPr>
          <w:rFonts w:hint="eastAsia"/>
        </w:rPr>
        <w:t>（2）承包人对未能通过试运行考核的工程和（或）单项工程，若提出自费调査、调整和修正并被</w:t>
      </w:r>
    </w:p>
    <w:p>
      <w:pPr>
        <w:pStyle w:val="2"/>
        <w:ind w:left="0"/>
      </w:pPr>
      <w:r>
        <w:rPr>
          <w:rFonts w:hint="eastAsia"/>
        </w:rPr>
        <w:t>发包人接受时，双方可商定相应的调查、修正和试验期限，发包人应为此提供方便。在通过该项考核之前，发包人可暂不按10.6款第（1）项约定提出赔偿。</w:t>
      </w:r>
    </w:p>
    <w:p>
      <w:pPr>
        <w:pStyle w:val="2"/>
        <w:numPr>
          <w:ilvl w:val="0"/>
          <w:numId w:val="35"/>
        </w:numPr>
      </w:pPr>
      <w:r>
        <w:rPr>
          <w:rFonts w:hint="eastAsia"/>
        </w:rPr>
        <w:t>发包人接受了本款第（2）项约定，但在商定的期限内发包人未能给承包人提供方便，致使承</w:t>
      </w:r>
    </w:p>
    <w:p>
      <w:pPr>
        <w:pStyle w:val="2"/>
        <w:ind w:left="0"/>
      </w:pPr>
      <w:r>
        <w:rPr>
          <w:rFonts w:hint="eastAsia"/>
        </w:rPr>
        <w:t>包人无法在约定期限内进行调査、调整和修正的，视为该项试运行考核已被通过。</w:t>
      </w:r>
    </w:p>
    <w:p>
      <w:pPr>
        <w:pStyle w:val="6"/>
        <w:numPr>
          <w:ilvl w:val="1"/>
          <w:numId w:val="12"/>
        </w:numPr>
      </w:pPr>
      <w:r>
        <w:rPr>
          <w:rFonts w:hint="eastAsia"/>
        </w:rPr>
        <w:t>竣工后试验及考核验收证书</w:t>
      </w:r>
    </w:p>
    <w:p>
      <w:pPr>
        <w:pStyle w:val="2"/>
      </w:pPr>
      <w:r>
        <w:rPr>
          <w:rFonts w:hint="eastAsia"/>
        </w:rPr>
        <w:t>10.7.1 在专用条款中约定按工程和（或）按单项工程颁发竣工后试验及考核验收证书。</w:t>
      </w:r>
    </w:p>
    <w:p>
      <w:pPr>
        <w:pStyle w:val="2"/>
      </w:pPr>
      <w:r>
        <w:rPr>
          <w:rFonts w:hint="eastAsia"/>
        </w:rPr>
        <w:t>10.7.2 发包人根据10.3款、10.4款、10.5.1款、10.5.2款及10.6款的约定对通过或视为通过竣</w:t>
      </w:r>
    </w:p>
    <w:p>
      <w:pPr>
        <w:pStyle w:val="2"/>
        <w:ind w:left="0"/>
      </w:pPr>
      <w:r>
        <w:rPr>
          <w:rFonts w:hint="eastAsia"/>
        </w:rPr>
        <w:t>工后试验和（或）试运行考核的，应按10.7.1款颁发竣工后试验及考核验收证书。该证书中写明的试运行考核通过的日期和时间，为实际完成考核或视为通过试运行考核的日期和时间。</w:t>
      </w:r>
    </w:p>
    <w:p>
      <w:pPr>
        <w:pStyle w:val="6"/>
        <w:numPr>
          <w:ilvl w:val="1"/>
          <w:numId w:val="12"/>
        </w:numPr>
      </w:pPr>
      <w:r>
        <w:rPr>
          <w:rFonts w:hint="eastAsia"/>
        </w:rPr>
        <w:t>丧失了生产价值和使用价值</w:t>
      </w:r>
    </w:p>
    <w:p>
      <w:pPr>
        <w:pStyle w:val="2"/>
      </w:pPr>
      <w:r>
        <w:rPr>
          <w:rFonts w:hint="eastAsia"/>
        </w:rPr>
        <w:t>因承包人的原因，工程和（或）单项工程未能通过竣工后试验，并使整个工程丧失了生产价值或使</w:t>
      </w:r>
    </w:p>
    <w:p>
      <w:pPr>
        <w:pStyle w:val="2"/>
        <w:ind w:left="0"/>
      </w:pPr>
      <w:r>
        <w:rPr>
          <w:rFonts w:hint="eastAsia"/>
        </w:rPr>
        <w:t>用价值时，发包人有权提出未能履约的索赔，并扣罚已提交的履约保函。但发包人不得将本合同以外的连带合同损失包括在未履约索赔之中。</w:t>
      </w:r>
    </w:p>
    <w:p>
      <w:pPr>
        <w:pStyle w:val="2"/>
      </w:pPr>
      <w:r>
        <w:rPr>
          <w:rFonts w:hint="eastAsia"/>
        </w:rPr>
        <w:t>连带合同损失指市场销售合同损失、市场预计盈利、生产流动资金贷款利息、竣工后试验及试运行</w:t>
      </w:r>
    </w:p>
    <w:p>
      <w:pPr>
        <w:pStyle w:val="2"/>
        <w:ind w:left="0"/>
      </w:pPr>
      <w:r>
        <w:rPr>
          <w:rFonts w:hint="eastAsia"/>
        </w:rPr>
        <w:t>考核周期以外所签订的原材料、辅助材料、电力、水、燃料 等供应合同损失，以及运输合同等损失，适用法律另有规定时除外。</w:t>
      </w:r>
    </w:p>
    <w:p>
      <w:pPr>
        <w:pStyle w:val="5"/>
        <w:numPr>
          <w:ilvl w:val="0"/>
          <w:numId w:val="12"/>
        </w:numPr>
      </w:pPr>
      <w:bookmarkStart w:id="90" w:name="bookmark212"/>
      <w:bookmarkStart w:id="91" w:name="bookmark211"/>
      <w:bookmarkStart w:id="92" w:name="bookmark210"/>
      <w:r>
        <w:rPr>
          <w:rFonts w:hint="eastAsia"/>
        </w:rPr>
        <w:t>质量保修责任</w:t>
      </w:r>
      <w:bookmarkEnd w:id="90"/>
      <w:bookmarkEnd w:id="91"/>
      <w:bookmarkEnd w:id="92"/>
    </w:p>
    <w:p>
      <w:pPr>
        <w:pStyle w:val="6"/>
        <w:numPr>
          <w:ilvl w:val="1"/>
          <w:numId w:val="12"/>
        </w:numPr>
      </w:pPr>
      <w:r>
        <w:rPr>
          <w:rFonts w:hint="eastAsia"/>
        </w:rPr>
        <w:t>质量保修责任书</w:t>
      </w:r>
    </w:p>
    <w:p>
      <w:pPr>
        <w:pStyle w:val="2"/>
      </w:pPr>
      <w:r>
        <w:rPr>
          <w:rFonts w:hint="eastAsia"/>
        </w:rPr>
        <w:t>11.1.1 质量保修责任书</w:t>
      </w:r>
    </w:p>
    <w:p>
      <w:pPr>
        <w:pStyle w:val="2"/>
      </w:pPr>
      <w:r>
        <w:rPr>
          <w:rFonts w:hint="eastAsia"/>
        </w:rPr>
        <w:t>按照相关法律规定签订质量保修责任书是竣工验收的条件之一。双方应按法律规定的保修内容、范</w:t>
      </w:r>
    </w:p>
    <w:p>
      <w:pPr>
        <w:pStyle w:val="2"/>
        <w:ind w:left="0"/>
      </w:pPr>
      <w:r>
        <w:rPr>
          <w:rFonts w:hint="eastAsia"/>
        </w:rPr>
        <w:t>围、期限和责任，签订质量保修责任书，作为本合同附件。9.2.1款接收证书中写明的单项工程和（或）工程的接收日期，或单项工程和（或）工程视为被接收的日期，是承包人保修责任开始的日期，也是缺陷责任期的开始日期。</w:t>
      </w:r>
    </w:p>
    <w:p>
      <w:pPr>
        <w:pStyle w:val="2"/>
      </w:pPr>
      <w:r>
        <w:rPr>
          <w:rFonts w:hint="eastAsia"/>
        </w:rPr>
        <w:t>11.1.2 未提交质量保修责任书</w:t>
      </w:r>
    </w:p>
    <w:p>
      <w:pPr>
        <w:pStyle w:val="2"/>
      </w:pPr>
      <w:r>
        <w:rPr>
          <w:rFonts w:hint="eastAsia"/>
        </w:rPr>
        <w:t>承包人未能提交质量保修责任书、无正当理由不与发包人签订质量保修责任书，发包人可不与承包</w:t>
      </w:r>
    </w:p>
    <w:p>
      <w:pPr>
        <w:pStyle w:val="2"/>
        <w:ind w:left="0"/>
      </w:pPr>
      <w:r>
        <w:rPr>
          <w:rFonts w:hint="eastAsia"/>
        </w:rPr>
        <w:t>人办理竣工结算，不承担尚未支付的竣工结算款项的相应利息，即使合同已约定延期支付利息。</w:t>
      </w:r>
    </w:p>
    <w:p>
      <w:pPr>
        <w:pStyle w:val="2"/>
      </w:pPr>
      <w:r>
        <w:rPr>
          <w:rFonts w:hint="eastAsia"/>
        </w:rPr>
        <w:t>如承包人提交了质量保修责任书，提请与发包人签订该责任书并在合同中约定了延期付款利息，但</w:t>
      </w:r>
    </w:p>
    <w:p>
      <w:pPr>
        <w:pStyle w:val="2"/>
        <w:ind w:left="0"/>
      </w:pPr>
      <w:r>
        <w:rPr>
          <w:rFonts w:hint="eastAsia"/>
        </w:rPr>
        <w:t>因发包人原因未能及时签署质量保修责任书，发包人应从接到该责任书的第11日起承担竣工结算款项延期支付的利息。</w:t>
      </w:r>
    </w:p>
    <w:p>
      <w:pPr>
        <w:pStyle w:val="6"/>
        <w:numPr>
          <w:ilvl w:val="1"/>
          <w:numId w:val="12"/>
        </w:numPr>
      </w:pPr>
      <w:r>
        <w:rPr>
          <w:rFonts w:hint="eastAsia"/>
        </w:rPr>
        <w:t>缺陷责任保修金</w:t>
      </w:r>
    </w:p>
    <w:p>
      <w:pPr>
        <w:pStyle w:val="2"/>
      </w:pPr>
      <w:r>
        <w:rPr>
          <w:rFonts w:hint="eastAsia"/>
        </w:rPr>
        <w:t>11.2.1 缺陷责任保修金金额</w:t>
      </w:r>
    </w:p>
    <w:p>
      <w:pPr>
        <w:pStyle w:val="2"/>
      </w:pPr>
      <w:r>
        <w:rPr>
          <w:rFonts w:hint="eastAsia"/>
        </w:rPr>
        <w:t>缺陷责任保修金的金额，在专用条款中约定。</w:t>
      </w:r>
    </w:p>
    <w:p>
      <w:pPr>
        <w:pStyle w:val="2"/>
      </w:pPr>
      <w:r>
        <w:rPr>
          <w:rFonts w:hint="eastAsia"/>
        </w:rPr>
        <w:t>11.2.2 缺陷责任保修金的暂扣</w:t>
      </w:r>
    </w:p>
    <w:p>
      <w:pPr>
        <w:pStyle w:val="2"/>
      </w:pPr>
      <w:r>
        <w:rPr>
          <w:rFonts w:hint="eastAsia"/>
        </w:rPr>
        <w:t>缺陷责任保修金的暂扣方式，在专用条款中约定。</w:t>
      </w:r>
    </w:p>
    <w:p>
      <w:pPr>
        <w:pStyle w:val="2"/>
      </w:pPr>
      <w:r>
        <w:rPr>
          <w:rFonts w:hint="eastAsia"/>
        </w:rPr>
        <w:t>11.2.3 缺陷责任保修金的支付</w:t>
      </w:r>
    </w:p>
    <w:p>
      <w:pPr>
        <w:pStyle w:val="2"/>
      </w:pPr>
      <w:r>
        <w:rPr>
          <w:rFonts w:hint="eastAsia"/>
        </w:rPr>
        <w:t>发包人应依据第14.5.2款缺陷责任保修金支付的约定，支付被暂扣的缺陷责任保修金。</w:t>
      </w:r>
    </w:p>
    <w:p>
      <w:pPr>
        <w:pStyle w:val="5"/>
        <w:numPr>
          <w:ilvl w:val="0"/>
          <w:numId w:val="12"/>
        </w:numPr>
      </w:pPr>
      <w:bookmarkStart w:id="93" w:name="bookmark213"/>
      <w:bookmarkStart w:id="94" w:name="bookmark214"/>
      <w:bookmarkStart w:id="95" w:name="bookmark215"/>
      <w:r>
        <w:rPr>
          <w:rFonts w:hint="eastAsia"/>
        </w:rPr>
        <w:t>工程竣工验收</w:t>
      </w:r>
      <w:bookmarkEnd w:id="93"/>
      <w:bookmarkEnd w:id="94"/>
      <w:bookmarkEnd w:id="95"/>
    </w:p>
    <w:p>
      <w:pPr>
        <w:pStyle w:val="6"/>
        <w:numPr>
          <w:ilvl w:val="1"/>
          <w:numId w:val="12"/>
        </w:numPr>
      </w:pPr>
      <w:r>
        <w:rPr>
          <w:rFonts w:hint="eastAsia"/>
        </w:rPr>
        <w:t>竣工验收报告及完整的竣工资料</w:t>
      </w:r>
    </w:p>
    <w:p>
      <w:pPr>
        <w:pStyle w:val="2"/>
      </w:pPr>
      <w:r>
        <w:rPr>
          <w:rFonts w:hint="eastAsia"/>
        </w:rPr>
        <w:t>12.1.1 工程符合9.1款工程接收的相关约定，和（或）发包人已按10.7款的约定颁发了竣工后试</w:t>
      </w:r>
    </w:p>
    <w:p>
      <w:pPr>
        <w:pStyle w:val="2"/>
        <w:ind w:left="0"/>
      </w:pPr>
      <w:r>
        <w:rPr>
          <w:rFonts w:hint="eastAsia"/>
        </w:rPr>
        <w:t>验及考核验收证书，且承包人完成了 9.2.2款约定的扫尾 工程和缺陷修复，经发包人或监理人验收后，承包人应依据8.1.1款（1）、（2）、（3）项、8.2款竣工试验的检验与验收、10.3.3款第（4）项竣工后试验及其试运行考核结果等资料，向发包人提交竣工验收报告和完整的工程竣工资料。竣工验收报告和完整的竣工资料的格式、内容和份数在专用条款约定。</w:t>
      </w:r>
    </w:p>
    <w:p>
      <w:pPr>
        <w:pStyle w:val="2"/>
      </w:pPr>
      <w:r>
        <w:rPr>
          <w:rFonts w:hint="eastAsia"/>
        </w:rPr>
        <w:t>12.1.2 发包人应在接到竣工验收报告和完整的竣工资料后25日内提出修改意见或予以确认，承包</w:t>
      </w:r>
    </w:p>
    <w:p>
      <w:pPr>
        <w:pStyle w:val="2"/>
        <w:ind w:left="0"/>
      </w:pPr>
      <w:r>
        <w:rPr>
          <w:rFonts w:hint="eastAsia"/>
        </w:rPr>
        <w:t>人应按照发包人的意见自费对竣工验收报告和竣工资料进行修改。25日内发包人未提出修改意见，视为竣工资料和竣工验收报告已被确认。</w:t>
      </w:r>
    </w:p>
    <w:p>
      <w:pPr>
        <w:pStyle w:val="2"/>
      </w:pPr>
      <w:r>
        <w:rPr>
          <w:rFonts w:hint="eastAsia"/>
        </w:rPr>
        <w:t>12.1.3 分期建设、分期投产或分期使用的工程，按12.1.1款及12.1.2款的约定办理。</w:t>
      </w:r>
    </w:p>
    <w:p>
      <w:pPr>
        <w:pStyle w:val="6"/>
        <w:numPr>
          <w:ilvl w:val="1"/>
          <w:numId w:val="12"/>
        </w:numPr>
      </w:pPr>
      <w:bookmarkStart w:id="96" w:name="bookmark217"/>
      <w:bookmarkStart w:id="97" w:name="bookmark216"/>
      <w:bookmarkStart w:id="98" w:name="bookmark218"/>
      <w:r>
        <w:rPr>
          <w:rFonts w:hint="eastAsia"/>
        </w:rPr>
        <w:t>竣工验收</w:t>
      </w:r>
      <w:bookmarkEnd w:id="96"/>
      <w:bookmarkEnd w:id="97"/>
      <w:bookmarkEnd w:id="98"/>
    </w:p>
    <w:p>
      <w:pPr>
        <w:pStyle w:val="2"/>
      </w:pPr>
      <w:r>
        <w:rPr>
          <w:rFonts w:hint="eastAsia"/>
        </w:rPr>
        <w:t>12.2.1 组织竣工验收</w:t>
      </w:r>
    </w:p>
    <w:p>
      <w:pPr>
        <w:pStyle w:val="2"/>
      </w:pPr>
      <w:r>
        <w:rPr>
          <w:rFonts w:hint="eastAsia"/>
        </w:rPr>
        <w:t>发包人应在接到竣工验收报告和完整的竣工资料，并根据12.1.2款的约定被确认后的30日内，组</w:t>
      </w:r>
    </w:p>
    <w:p>
      <w:pPr>
        <w:pStyle w:val="2"/>
        <w:ind w:left="0"/>
      </w:pPr>
      <w:r>
        <w:rPr>
          <w:rFonts w:hint="eastAsia"/>
        </w:rPr>
        <w:t>织竣工验收。</w:t>
      </w:r>
    </w:p>
    <w:p>
      <w:pPr>
        <w:pStyle w:val="2"/>
      </w:pPr>
      <w:r>
        <w:rPr>
          <w:rFonts w:hint="eastAsia"/>
        </w:rPr>
        <w:t>12.2.2 延后组织的竣工验收</w:t>
      </w:r>
    </w:p>
    <w:p>
      <w:pPr>
        <w:pStyle w:val="2"/>
      </w:pPr>
      <w:r>
        <w:rPr>
          <w:rFonts w:hint="eastAsia"/>
        </w:rPr>
        <w:t>发包人未能根据1221款的约定，在30日内组织竣工验收时，应按照14.12.1至14.12.3款的约定，</w:t>
      </w:r>
    </w:p>
    <w:p>
      <w:pPr>
        <w:pStyle w:val="2"/>
        <w:ind w:left="0"/>
      </w:pPr>
      <w:r>
        <w:rPr>
          <w:rFonts w:hint="eastAsia"/>
        </w:rPr>
        <w:t>结清竣工结算的款项。</w:t>
      </w:r>
    </w:p>
    <w:p>
      <w:pPr>
        <w:pStyle w:val="2"/>
      </w:pPr>
      <w:r>
        <w:rPr>
          <w:rFonts w:hint="eastAsia"/>
        </w:rPr>
        <w:t>在12.2.1款约定的时间之后，发包人进行竣工验收时，承包人有义务参加。发包人在验收后的25</w:t>
      </w:r>
    </w:p>
    <w:p>
      <w:pPr>
        <w:pStyle w:val="2"/>
        <w:ind w:left="0"/>
      </w:pPr>
      <w:r>
        <w:rPr>
          <w:rFonts w:hint="eastAsia"/>
        </w:rPr>
        <w:t>日内，对承包人的竣工验收报告或竣工资料提出的进一步修改意见的，承包人应按照发包人的意见自费修改。</w:t>
      </w:r>
    </w:p>
    <w:p>
      <w:pPr>
        <w:pStyle w:val="2"/>
      </w:pPr>
      <w:r>
        <w:rPr>
          <w:rFonts w:hint="eastAsia"/>
        </w:rPr>
        <w:t>12.2.3 分期竣工验收</w:t>
      </w:r>
    </w:p>
    <w:p>
      <w:pPr>
        <w:pStyle w:val="2"/>
      </w:pPr>
      <w:r>
        <w:rPr>
          <w:rFonts w:hint="eastAsia"/>
        </w:rPr>
        <w:t>分期建设、分期投产或分期使用的合同工程的竣工验收，按12.1.3款、12.2.1款的约定，分期组</w:t>
      </w:r>
    </w:p>
    <w:p>
      <w:pPr>
        <w:pStyle w:val="2"/>
        <w:ind w:left="0"/>
      </w:pPr>
      <w:r>
        <w:rPr>
          <w:rFonts w:hint="eastAsia"/>
        </w:rPr>
        <w:t>织竣工验收。</w:t>
      </w:r>
    </w:p>
    <w:p>
      <w:pPr>
        <w:pStyle w:val="5"/>
        <w:numPr>
          <w:ilvl w:val="0"/>
          <w:numId w:val="12"/>
        </w:numPr>
      </w:pPr>
      <w:bookmarkStart w:id="99" w:name="bookmark221"/>
      <w:bookmarkStart w:id="100" w:name="bookmark220"/>
      <w:bookmarkStart w:id="101" w:name="bookmark219"/>
      <w:r>
        <w:rPr>
          <w:rFonts w:hint="eastAsia"/>
        </w:rPr>
        <w:t>变更和合同价格调整</w:t>
      </w:r>
      <w:bookmarkEnd w:id="99"/>
      <w:bookmarkEnd w:id="100"/>
      <w:bookmarkEnd w:id="101"/>
    </w:p>
    <w:p>
      <w:pPr>
        <w:pStyle w:val="6"/>
        <w:numPr>
          <w:ilvl w:val="1"/>
          <w:numId w:val="12"/>
        </w:numPr>
      </w:pPr>
      <w:bookmarkStart w:id="102" w:name="bookmark224"/>
      <w:bookmarkStart w:id="103" w:name="bookmark223"/>
      <w:bookmarkStart w:id="104" w:name="bookmark222"/>
      <w:r>
        <w:rPr>
          <w:rFonts w:hint="eastAsia"/>
        </w:rPr>
        <w:t>变更权</w:t>
      </w:r>
      <w:bookmarkEnd w:id="102"/>
      <w:bookmarkEnd w:id="103"/>
      <w:bookmarkEnd w:id="104"/>
    </w:p>
    <w:p>
      <w:pPr>
        <w:pStyle w:val="2"/>
      </w:pPr>
      <w:r>
        <w:rPr>
          <w:rFonts w:hint="eastAsia"/>
        </w:rPr>
        <w:t>13.1.</w:t>
      </w:r>
      <w:r>
        <w:rPr>
          <w:rFonts w:hint="eastAsia"/>
          <w:lang w:val="zh-TW" w:eastAsia="zh-TW"/>
        </w:rPr>
        <w:t>1</w:t>
      </w:r>
      <w:r>
        <w:rPr>
          <w:rFonts w:hint="eastAsia"/>
        </w:rPr>
        <w:t xml:space="preserve"> </w:t>
      </w:r>
      <w:r>
        <w:rPr>
          <w:rFonts w:hint="eastAsia"/>
          <w:lang w:val="zh-TW" w:eastAsia="zh-TW"/>
        </w:rPr>
        <w:t>变更权</w:t>
      </w:r>
    </w:p>
    <w:p>
      <w:pPr>
        <w:pStyle w:val="2"/>
      </w:pPr>
      <w:r>
        <w:rPr>
          <w:rFonts w:hint="eastAsia"/>
        </w:rPr>
        <w:t>发包人拥有批准变更的权限。自合同生效后至工程竣工验收前的任何时间内，发包人有权依据监理</w:t>
      </w:r>
    </w:p>
    <w:p>
      <w:pPr>
        <w:pStyle w:val="2"/>
        <w:ind w:left="0"/>
      </w:pPr>
      <w:r>
        <w:rPr>
          <w:rFonts w:hint="eastAsia"/>
        </w:rPr>
        <w:t>人的建议、承包人的建议，及13.2款约定的变更范围，下达变更指令。变更指令以书面形式发出。</w:t>
      </w:r>
    </w:p>
    <w:p>
      <w:pPr>
        <w:pStyle w:val="2"/>
      </w:pPr>
      <w:r>
        <w:rPr>
          <w:rFonts w:hint="eastAsia"/>
        </w:rPr>
        <w:t xml:space="preserve">13.1.2 </w:t>
      </w:r>
      <w:r>
        <w:rPr>
          <w:rFonts w:hint="eastAsia"/>
          <w:lang w:val="zh-TW" w:eastAsia="zh-TW"/>
        </w:rPr>
        <w:t>变更</w:t>
      </w:r>
    </w:p>
    <w:p>
      <w:pPr>
        <w:pStyle w:val="2"/>
      </w:pPr>
      <w:r>
        <w:rPr>
          <w:rFonts w:hint="eastAsia"/>
        </w:rPr>
        <w:t>由发包人批准并发出的书面变更指令，属于变更。包括发包人直接下达的变更指令、或经发包人批</w:t>
      </w:r>
    </w:p>
    <w:p>
      <w:pPr>
        <w:pStyle w:val="2"/>
        <w:ind w:left="0"/>
      </w:pPr>
      <w:r>
        <w:rPr>
          <w:rFonts w:hint="eastAsia"/>
        </w:rPr>
        <w:t>准的由监理人下达的变更指令。</w:t>
      </w:r>
    </w:p>
    <w:p>
      <w:pPr>
        <w:pStyle w:val="2"/>
      </w:pPr>
      <w:r>
        <w:rPr>
          <w:rFonts w:hint="eastAsia"/>
        </w:rPr>
        <w:t>承包人对自身的设计、釆购、施工、竣工试验、竣工后试验存在的缺陷，应自费修正、调整和完善，</w:t>
      </w:r>
    </w:p>
    <w:p>
      <w:pPr>
        <w:pStyle w:val="2"/>
        <w:ind w:left="0"/>
      </w:pPr>
      <w:r>
        <w:rPr>
          <w:rFonts w:hint="eastAsia"/>
        </w:rPr>
        <w:t>不属于变更。</w:t>
      </w:r>
    </w:p>
    <w:p>
      <w:pPr>
        <w:pStyle w:val="2"/>
      </w:pPr>
      <w:r>
        <w:rPr>
          <w:rFonts w:hint="eastAsia"/>
        </w:rPr>
        <w:t>13.1.3 变更建议权</w:t>
      </w:r>
    </w:p>
    <w:p>
      <w:pPr>
        <w:pStyle w:val="2"/>
      </w:pPr>
      <w:r>
        <w:rPr>
          <w:rFonts w:hint="eastAsia"/>
        </w:rPr>
        <w:t>承包人有义务随时向发包人提交书面变更建议，包括缩短工期，降低发包人的工程、施工、维护、</w:t>
      </w:r>
    </w:p>
    <w:p>
      <w:pPr>
        <w:pStyle w:val="2"/>
        <w:ind w:left="0"/>
      </w:pPr>
      <w:r>
        <w:rPr>
          <w:rFonts w:hint="eastAsia"/>
        </w:rPr>
        <w:t>营运的费用，提高竣工工程的效率或价值，给发包人带来的长远利益和其它利益。发包人接到此类建议后，应发出不釆纳、釆纳或补充进一步资料的书面通知。</w:t>
      </w:r>
    </w:p>
    <w:p>
      <w:pPr>
        <w:pStyle w:val="6"/>
        <w:numPr>
          <w:ilvl w:val="1"/>
          <w:numId w:val="12"/>
        </w:numPr>
      </w:pPr>
      <w:bookmarkStart w:id="105" w:name="bookmark227"/>
      <w:bookmarkStart w:id="106" w:name="bookmark225"/>
      <w:bookmarkStart w:id="107" w:name="bookmark226"/>
      <w:r>
        <w:rPr>
          <w:rFonts w:hint="eastAsia"/>
        </w:rPr>
        <w:t>变更范围</w:t>
      </w:r>
      <w:bookmarkEnd w:id="105"/>
      <w:bookmarkEnd w:id="106"/>
      <w:bookmarkEnd w:id="107"/>
    </w:p>
    <w:p>
      <w:pPr>
        <w:pStyle w:val="2"/>
      </w:pPr>
      <w:r>
        <w:rPr>
          <w:rFonts w:hint="eastAsia"/>
        </w:rPr>
        <w:t>13.2.1 设计变更范围</w:t>
      </w:r>
    </w:p>
    <w:p>
      <w:pPr>
        <w:pStyle w:val="2"/>
        <w:numPr>
          <w:ilvl w:val="0"/>
          <w:numId w:val="36"/>
        </w:numPr>
      </w:pPr>
      <w:bookmarkStart w:id="108" w:name="bookmark228"/>
      <w:bookmarkEnd w:id="108"/>
      <w:r>
        <w:rPr>
          <w:rFonts w:hint="eastAsia"/>
        </w:rPr>
        <w:t>对生产工艺流程的调整，但未扩大或缩小初步设计批准的生产路线和规模、或未扩大或缩小</w:t>
      </w:r>
    </w:p>
    <w:p>
      <w:pPr>
        <w:pStyle w:val="2"/>
        <w:ind w:left="0"/>
      </w:pPr>
      <w:r>
        <w:rPr>
          <w:rFonts w:hint="eastAsia"/>
        </w:rPr>
        <w:t>合同约定的生产路线和规模；</w:t>
      </w:r>
    </w:p>
    <w:p>
      <w:pPr>
        <w:pStyle w:val="2"/>
        <w:numPr>
          <w:ilvl w:val="0"/>
          <w:numId w:val="36"/>
        </w:numPr>
      </w:pPr>
      <w:bookmarkStart w:id="109" w:name="bookmark229"/>
      <w:bookmarkEnd w:id="109"/>
      <w:r>
        <w:rPr>
          <w:rFonts w:hint="eastAsia"/>
        </w:rPr>
        <w:t>对平面布置、竖面布置、局部使用功能的调整，但未扩大初步设计批准的建筑规模，未改变</w:t>
      </w:r>
    </w:p>
    <w:p>
      <w:pPr>
        <w:pStyle w:val="2"/>
        <w:ind w:left="0"/>
      </w:pPr>
      <w:r>
        <w:rPr>
          <w:rFonts w:hint="eastAsia"/>
        </w:rPr>
        <w:t>初步设计批准的使用功能;或未扩大合同约定的建设规模，未改变合同约定的使用功能；</w:t>
      </w:r>
    </w:p>
    <w:p>
      <w:pPr>
        <w:pStyle w:val="2"/>
      </w:pPr>
      <w:bookmarkStart w:id="110" w:name="bookmark230"/>
      <w:bookmarkEnd w:id="110"/>
      <w:r>
        <w:rPr>
          <w:rFonts w:hint="eastAsia"/>
        </w:rPr>
        <w:t>（3）对配套工程系统的工艺调整、使用功能调整；</w:t>
      </w:r>
    </w:p>
    <w:p>
      <w:pPr>
        <w:pStyle w:val="2"/>
      </w:pPr>
      <w:bookmarkStart w:id="111" w:name="bookmark231"/>
      <w:bookmarkEnd w:id="111"/>
      <w:r>
        <w:rPr>
          <w:rFonts w:hint="eastAsia"/>
        </w:rPr>
        <w:t>（4）对区域内基准控制点、基准标高和基准线的调整；</w:t>
      </w:r>
    </w:p>
    <w:p>
      <w:pPr>
        <w:pStyle w:val="2"/>
      </w:pPr>
      <w:bookmarkStart w:id="112" w:name="bookmark232"/>
      <w:bookmarkEnd w:id="112"/>
      <w:r>
        <w:rPr>
          <w:rFonts w:hint="eastAsia"/>
        </w:rPr>
        <w:t>（5）对设备、材料、部件的性能、规格和数量的调整；</w:t>
      </w:r>
    </w:p>
    <w:p>
      <w:pPr>
        <w:pStyle w:val="2"/>
      </w:pPr>
      <w:bookmarkStart w:id="113" w:name="bookmark233"/>
      <w:bookmarkEnd w:id="113"/>
      <w:r>
        <w:rPr>
          <w:rFonts w:hint="eastAsia"/>
        </w:rPr>
        <w:t>（6）因执行基准日期之后新颁布的法律、标准、规范引起的变更；</w:t>
      </w:r>
    </w:p>
    <w:p>
      <w:pPr>
        <w:pStyle w:val="2"/>
      </w:pPr>
      <w:bookmarkStart w:id="114" w:name="bookmark234"/>
      <w:bookmarkEnd w:id="114"/>
      <w:r>
        <w:rPr>
          <w:rFonts w:hint="eastAsia"/>
        </w:rPr>
        <w:t>（7）其它超出合同约定的设计事项；</w:t>
      </w:r>
    </w:p>
    <w:p>
      <w:pPr>
        <w:pStyle w:val="2"/>
      </w:pPr>
      <w:bookmarkStart w:id="115" w:name="bookmark235"/>
      <w:bookmarkEnd w:id="115"/>
      <w:r>
        <w:rPr>
          <w:rFonts w:hint="eastAsia"/>
        </w:rPr>
        <w:t>（8）上述变更所需的附加工作。</w:t>
      </w:r>
    </w:p>
    <w:p>
      <w:pPr>
        <w:pStyle w:val="2"/>
      </w:pPr>
      <w:r>
        <w:rPr>
          <w:rFonts w:hint="eastAsia"/>
        </w:rPr>
        <w:t>13.2.2 釆购变更范围</w:t>
      </w:r>
    </w:p>
    <w:p>
      <w:pPr>
        <w:pStyle w:val="2"/>
        <w:numPr>
          <w:ilvl w:val="0"/>
          <w:numId w:val="37"/>
        </w:numPr>
      </w:pPr>
      <w:bookmarkStart w:id="116" w:name="bookmark236"/>
      <w:bookmarkEnd w:id="116"/>
      <w:r>
        <w:rPr>
          <w:rFonts w:hint="eastAsia"/>
        </w:rPr>
        <w:t>承包人已按合同约定的程序，与相关供货商签订釆购合同或已开始加工制造、供货、运输等，</w:t>
      </w:r>
    </w:p>
    <w:p>
      <w:pPr>
        <w:pStyle w:val="2"/>
        <w:ind w:left="0"/>
      </w:pPr>
      <w:r>
        <w:rPr>
          <w:rFonts w:hint="eastAsia"/>
        </w:rPr>
        <w:t>发包人通知承包人选择另一家供货商；</w:t>
      </w:r>
    </w:p>
    <w:p>
      <w:pPr>
        <w:pStyle w:val="2"/>
      </w:pPr>
      <w:bookmarkStart w:id="117" w:name="bookmark237"/>
      <w:bookmarkEnd w:id="117"/>
      <w:r>
        <w:rPr>
          <w:rFonts w:hint="eastAsia"/>
        </w:rPr>
        <w:t>（2）因执行基准日期之后新颁布的法律、标准、规范引起的变更；</w:t>
      </w:r>
    </w:p>
    <w:p>
      <w:pPr>
        <w:pStyle w:val="2"/>
      </w:pPr>
      <w:bookmarkStart w:id="118" w:name="bookmark238"/>
      <w:bookmarkEnd w:id="118"/>
      <w:r>
        <w:rPr>
          <w:rFonts w:hint="eastAsia"/>
        </w:rPr>
        <w:t>（3）发包人要求改变检査、检验、检测、试验的地点和增加的附加试验；</w:t>
      </w:r>
    </w:p>
    <w:p>
      <w:pPr>
        <w:pStyle w:val="2"/>
      </w:pPr>
      <w:bookmarkStart w:id="119" w:name="bookmark239"/>
      <w:bookmarkEnd w:id="119"/>
      <w:r>
        <w:rPr>
          <w:rFonts w:hint="eastAsia"/>
        </w:rPr>
        <w:t>（4）发包人要求增减合同中约定的备品备件、专用工具、竣工后试验物资的釆购数量。</w:t>
      </w:r>
    </w:p>
    <w:p>
      <w:pPr>
        <w:pStyle w:val="2"/>
      </w:pPr>
      <w:bookmarkStart w:id="120" w:name="bookmark240"/>
      <w:bookmarkEnd w:id="120"/>
      <w:r>
        <w:rPr>
          <w:rFonts w:hint="eastAsia"/>
        </w:rPr>
        <w:t>（5）上述变更所需的附加工作。</w:t>
      </w:r>
    </w:p>
    <w:p>
      <w:pPr>
        <w:pStyle w:val="2"/>
      </w:pPr>
      <w:r>
        <w:rPr>
          <w:rFonts w:hint="eastAsia"/>
        </w:rPr>
        <w:t>13.2.3 施工变更范围</w:t>
      </w:r>
    </w:p>
    <w:p>
      <w:pPr>
        <w:pStyle w:val="2"/>
      </w:pPr>
      <w:bookmarkStart w:id="121" w:name="bookmark241"/>
      <w:bookmarkEnd w:id="121"/>
      <w:r>
        <w:rPr>
          <w:rFonts w:hint="eastAsia"/>
        </w:rPr>
        <w:t>（1）根据13.2.1款的设计变更，造成施工方法改变、设备、材料、部件、人工和工程量的增减；</w:t>
      </w:r>
    </w:p>
    <w:p>
      <w:pPr>
        <w:pStyle w:val="2"/>
      </w:pPr>
      <w:bookmarkStart w:id="122" w:name="bookmark242"/>
      <w:bookmarkEnd w:id="122"/>
      <w:r>
        <w:rPr>
          <w:rFonts w:hint="eastAsia"/>
        </w:rPr>
        <w:t>（2）发包人要求增加的附加试验、改变试验地点；</w:t>
      </w:r>
    </w:p>
    <w:p>
      <w:pPr>
        <w:pStyle w:val="2"/>
      </w:pPr>
      <w:bookmarkStart w:id="123" w:name="bookmark243"/>
      <w:bookmarkEnd w:id="123"/>
      <w:r>
        <w:rPr>
          <w:rFonts w:hint="eastAsia"/>
        </w:rPr>
        <w:t>（3）除5.2.1款第(1)项、第(2)项之外，新增加的施工障碍处理；</w:t>
      </w:r>
    </w:p>
    <w:p>
      <w:pPr>
        <w:pStyle w:val="2"/>
      </w:pPr>
      <w:bookmarkStart w:id="124" w:name="bookmark244"/>
      <w:bookmarkEnd w:id="124"/>
      <w:r>
        <w:rPr>
          <w:rFonts w:hint="eastAsia"/>
        </w:rPr>
        <w:t>（4）发包人对竣工试验经验收或视为验收合格的项目，通知重新进行竣工试验；</w:t>
      </w:r>
    </w:p>
    <w:p>
      <w:pPr>
        <w:pStyle w:val="2"/>
      </w:pPr>
      <w:bookmarkStart w:id="125" w:name="bookmark245"/>
      <w:bookmarkEnd w:id="125"/>
      <w:r>
        <w:rPr>
          <w:rFonts w:hint="eastAsia"/>
        </w:rPr>
        <w:t>（5）因执行基准日期之后新颁布的法律、标准、规范引起的变更；</w:t>
      </w:r>
    </w:p>
    <w:p>
      <w:pPr>
        <w:pStyle w:val="2"/>
      </w:pPr>
      <w:bookmarkStart w:id="126" w:name="bookmark246"/>
      <w:bookmarkEnd w:id="126"/>
      <w:r>
        <w:rPr>
          <w:rFonts w:hint="eastAsia"/>
        </w:rPr>
        <w:t>（6）现场其它签证；</w:t>
      </w:r>
    </w:p>
    <w:p>
      <w:pPr>
        <w:pStyle w:val="2"/>
      </w:pPr>
      <w:bookmarkStart w:id="127" w:name="bookmark247"/>
      <w:bookmarkEnd w:id="127"/>
      <w:r>
        <w:rPr>
          <w:rFonts w:hint="eastAsia"/>
        </w:rPr>
        <w:t>（7）上述变更所需的附加工作。</w:t>
      </w:r>
    </w:p>
    <w:p>
      <w:pPr>
        <w:pStyle w:val="2"/>
      </w:pPr>
      <w:r>
        <w:rPr>
          <w:rFonts w:hint="eastAsia"/>
        </w:rPr>
        <w:t>13.2.4 发包人的赶工指令。承包人接受了发包人的书面指示，以发包人认为必要的方式加快设计、</w:t>
      </w:r>
    </w:p>
    <w:p>
      <w:pPr>
        <w:pStyle w:val="2"/>
        <w:ind w:left="0"/>
      </w:pPr>
      <w:r>
        <w:rPr>
          <w:rFonts w:hint="eastAsia"/>
        </w:rPr>
        <w:t>施工或其它任何部分的进度时，承包人为实施该赶工指令需对项目进度计划进行调整，并对所增加的措施和资源提出估算，经发包人批准后，作为一项变更。发包人未能批准此项变更的，承包人有权按合同约定的相关阶段的进度计划执行。</w:t>
      </w:r>
    </w:p>
    <w:p>
      <w:pPr>
        <w:pStyle w:val="2"/>
      </w:pPr>
      <w:r>
        <w:rPr>
          <w:rFonts w:hint="eastAsia"/>
        </w:rPr>
        <w:t>因承包人原因，实际进度明显落后于上述批准的项目进度计划时，承包人应按4.1.2款的约定，自</w:t>
      </w:r>
    </w:p>
    <w:p>
      <w:pPr>
        <w:pStyle w:val="2"/>
        <w:ind w:left="0"/>
      </w:pPr>
      <w:r>
        <w:rPr>
          <w:rFonts w:hint="eastAsia"/>
        </w:rPr>
        <w:t>费赶上；竣工日期延误时，按4.5款的约定承担误期赔偿责任。</w:t>
      </w:r>
    </w:p>
    <w:p>
      <w:pPr>
        <w:pStyle w:val="2"/>
      </w:pPr>
      <w:r>
        <w:rPr>
          <w:rFonts w:hint="eastAsia"/>
        </w:rPr>
        <w:t>13.2.5 调减部分工程。发包人的暂停超过45日，承包人请求复工时仍不能复工，或因不可抗力持</w:t>
      </w:r>
    </w:p>
    <w:p>
      <w:pPr>
        <w:pStyle w:val="2"/>
        <w:ind w:left="0"/>
      </w:pPr>
      <w:r>
        <w:rPr>
          <w:rFonts w:hint="eastAsia"/>
        </w:rPr>
        <w:t>续而无法继续施工的，双方可按合同约定以变更方式调减受暂停影响的部分工程。</w:t>
      </w:r>
    </w:p>
    <w:p>
      <w:pPr>
        <w:pStyle w:val="2"/>
      </w:pPr>
      <w:r>
        <w:rPr>
          <w:rFonts w:hint="eastAsia"/>
        </w:rPr>
        <w:t>13.2.6 其它变更。根据工程的具体特点，在专用条款中约定。</w:t>
      </w:r>
    </w:p>
    <w:p>
      <w:pPr>
        <w:pStyle w:val="6"/>
        <w:numPr>
          <w:ilvl w:val="1"/>
          <w:numId w:val="12"/>
        </w:numPr>
      </w:pPr>
      <w:bookmarkStart w:id="128" w:name="bookmark248"/>
      <w:bookmarkStart w:id="129" w:name="bookmark250"/>
      <w:bookmarkStart w:id="130" w:name="bookmark249"/>
      <w:r>
        <w:rPr>
          <w:rFonts w:hint="eastAsia"/>
        </w:rPr>
        <w:t>变更程序</w:t>
      </w:r>
      <w:bookmarkEnd w:id="128"/>
      <w:bookmarkEnd w:id="129"/>
      <w:bookmarkEnd w:id="130"/>
    </w:p>
    <w:p>
      <w:pPr>
        <w:pStyle w:val="2"/>
      </w:pPr>
      <w:r>
        <w:rPr>
          <w:rFonts w:hint="eastAsia"/>
        </w:rPr>
        <w:t>13.3.1 变更通知。发包人的变更应事先以书面形式通知承包人。</w:t>
      </w:r>
    </w:p>
    <w:p>
      <w:pPr>
        <w:pStyle w:val="2"/>
      </w:pPr>
      <w:r>
        <w:rPr>
          <w:rFonts w:hint="eastAsia"/>
        </w:rPr>
        <w:t>13.3.2 变更通知的建议报告。承包人接到发包人的变更通知后，有义务在10日内向发包人提交书</w:t>
      </w:r>
    </w:p>
    <w:p>
      <w:pPr>
        <w:pStyle w:val="2"/>
        <w:ind w:left="0"/>
      </w:pPr>
      <w:r>
        <w:rPr>
          <w:rFonts w:hint="eastAsia"/>
        </w:rPr>
        <w:t>面建议报告。</w:t>
      </w:r>
    </w:p>
    <w:p>
      <w:pPr>
        <w:pStyle w:val="2"/>
        <w:numPr>
          <w:ilvl w:val="0"/>
          <w:numId w:val="38"/>
        </w:numPr>
      </w:pPr>
      <w:r>
        <w:rPr>
          <w:rFonts w:hint="eastAsia"/>
        </w:rPr>
        <w:t>如承包人接受发包人变更通知中的变更时，建议报告中应包括：支持此项变更的理由、实施</w:t>
      </w:r>
    </w:p>
    <w:p>
      <w:pPr>
        <w:pStyle w:val="2"/>
        <w:ind w:left="0"/>
      </w:pPr>
      <w:r>
        <w:rPr>
          <w:rFonts w:hint="eastAsia"/>
        </w:rPr>
        <w:t>此项变更的工作内容、设备、材料、人力、机具、周转材料、消耗材料等资源消耗，以及相关管理费用和合理利润的估算。相关管理费用和合理利润的百分比，应在专用条款约定。此项变更引起竣工日期延长时，应在报告中说明理由，并提交与此项变更相关的进度计划。</w:t>
      </w:r>
    </w:p>
    <w:p>
      <w:pPr>
        <w:pStyle w:val="2"/>
      </w:pPr>
      <w:r>
        <w:rPr>
          <w:rFonts w:hint="eastAsia"/>
        </w:rPr>
        <w:t>承包人未提交增加费用的估算及竣工日期延长，视为该项变更不涉及合同价格调整和竣工日期延长，</w:t>
      </w:r>
    </w:p>
    <w:p>
      <w:pPr>
        <w:pStyle w:val="2"/>
        <w:ind w:left="0"/>
      </w:pPr>
      <w:r>
        <w:rPr>
          <w:rFonts w:hint="eastAsia"/>
        </w:rPr>
        <w:t>发包人不再承担此项变更的任何费用及竣工日期延长的责任。</w:t>
      </w:r>
    </w:p>
    <w:p>
      <w:pPr>
        <w:pStyle w:val="2"/>
        <w:numPr>
          <w:ilvl w:val="0"/>
          <w:numId w:val="38"/>
        </w:numPr>
      </w:pPr>
      <w:r>
        <w:rPr>
          <w:rFonts w:hint="eastAsia"/>
        </w:rPr>
        <w:t>如承包人不接受发包人变更通知中的变更时，建议报告中应包括不支持此项变更的理由，理</w:t>
      </w:r>
    </w:p>
    <w:p>
      <w:pPr>
        <w:pStyle w:val="2"/>
        <w:ind w:left="0"/>
      </w:pPr>
      <w:r>
        <w:rPr>
          <w:rFonts w:hint="eastAsia"/>
        </w:rPr>
        <w:t>由包括：</w:t>
      </w:r>
    </w:p>
    <w:p>
      <w:pPr>
        <w:pStyle w:val="2"/>
        <w:ind w:firstLine="220" w:firstLineChars="100"/>
      </w:pPr>
      <w:bookmarkStart w:id="131" w:name="bookmark253"/>
      <w:r>
        <w:rPr>
          <w:rFonts w:hint="eastAsia"/>
        </w:rPr>
        <w:t>1</w:t>
      </w:r>
      <w:bookmarkEnd w:id="131"/>
      <w:r>
        <w:rPr>
          <w:rFonts w:hint="eastAsia"/>
        </w:rPr>
        <w:t>）此变更不符合法律、法规等有关规定；</w:t>
      </w:r>
    </w:p>
    <w:p>
      <w:pPr>
        <w:pStyle w:val="2"/>
        <w:ind w:firstLine="220" w:firstLineChars="100"/>
      </w:pPr>
      <w:bookmarkStart w:id="132" w:name="bookmark254"/>
      <w:r>
        <w:rPr>
          <w:rFonts w:hint="eastAsia"/>
        </w:rPr>
        <w:t>2</w:t>
      </w:r>
      <w:bookmarkEnd w:id="132"/>
      <w:r>
        <w:rPr>
          <w:rFonts w:hint="eastAsia"/>
        </w:rPr>
        <w:t>）承包人难以取得变更所需的特殊设备、材料、部件；</w:t>
      </w:r>
    </w:p>
    <w:p>
      <w:pPr>
        <w:pStyle w:val="2"/>
        <w:ind w:firstLine="220" w:firstLineChars="100"/>
      </w:pPr>
      <w:bookmarkStart w:id="133" w:name="bookmark255"/>
      <w:r>
        <w:rPr>
          <w:rFonts w:hint="eastAsia"/>
        </w:rPr>
        <w:t>3</w:t>
      </w:r>
      <w:bookmarkEnd w:id="133"/>
      <w:r>
        <w:rPr>
          <w:rFonts w:hint="eastAsia"/>
        </w:rPr>
        <w:t>）承包人难以取得变更所需的工艺、技术；</w:t>
      </w:r>
    </w:p>
    <w:p>
      <w:pPr>
        <w:pStyle w:val="2"/>
        <w:ind w:firstLine="220" w:firstLineChars="100"/>
      </w:pPr>
      <w:bookmarkStart w:id="134" w:name="bookmark256"/>
      <w:r>
        <w:rPr>
          <w:rFonts w:hint="eastAsia"/>
        </w:rPr>
        <w:t>4</w:t>
      </w:r>
      <w:bookmarkEnd w:id="134"/>
      <w:r>
        <w:rPr>
          <w:rFonts w:hint="eastAsia"/>
        </w:rPr>
        <w:t>）变更将降低工程的安全性、稳定性、适用性；</w:t>
      </w:r>
    </w:p>
    <w:p>
      <w:pPr>
        <w:pStyle w:val="2"/>
        <w:ind w:firstLine="220" w:firstLineChars="100"/>
      </w:pPr>
      <w:bookmarkStart w:id="135" w:name="bookmark257"/>
      <w:r>
        <w:rPr>
          <w:rFonts w:hint="eastAsia"/>
        </w:rPr>
        <w:t>5</w:t>
      </w:r>
      <w:bookmarkEnd w:id="135"/>
      <w:r>
        <w:rPr>
          <w:rFonts w:hint="eastAsia"/>
        </w:rPr>
        <w:t>）对生产性能保证值、使用功能保证的实现产生不利影响等。</w:t>
      </w:r>
    </w:p>
    <w:p>
      <w:pPr>
        <w:pStyle w:val="2"/>
      </w:pPr>
      <w:r>
        <w:rPr>
          <w:rFonts w:hint="eastAsia"/>
        </w:rPr>
        <w:t>13.3.3 发包人的审査和批准。发包人应在接到承包人根据13.3.2款约定提交的书面建议报告后10</w:t>
      </w:r>
    </w:p>
    <w:p>
      <w:pPr>
        <w:pStyle w:val="2"/>
        <w:ind w:left="0"/>
      </w:pPr>
      <w:r>
        <w:rPr>
          <w:rFonts w:hint="eastAsia"/>
        </w:rPr>
        <w:t>日内对此项建议给予审查，并发出批准、撤销、改变、提出进一步要求的书面通知。承包人在等待发包人回复的时间内，不能停止或延误任何工作。</w:t>
      </w:r>
    </w:p>
    <w:p>
      <w:pPr>
        <w:pStyle w:val="2"/>
        <w:numPr>
          <w:ilvl w:val="0"/>
          <w:numId w:val="39"/>
        </w:numPr>
      </w:pPr>
      <w:r>
        <w:rPr>
          <w:rFonts w:hint="eastAsia"/>
        </w:rPr>
        <w:t>发包人接到承包人根据13.3.2款第（1）项的约定提交的建议报告，对其理由、估算、和（或）</w:t>
      </w:r>
    </w:p>
    <w:p>
      <w:pPr>
        <w:pStyle w:val="2"/>
        <w:ind w:left="0"/>
      </w:pPr>
      <w:r>
        <w:rPr>
          <w:rFonts w:hint="eastAsia"/>
        </w:rPr>
        <w:t>竣工日期延长经审查批准后，应以书面形式下达变更指令。</w:t>
      </w:r>
    </w:p>
    <w:p>
      <w:pPr>
        <w:pStyle w:val="2"/>
      </w:pPr>
      <w:r>
        <w:rPr>
          <w:rFonts w:hint="eastAsia"/>
        </w:rPr>
        <w:t>发包人在下达的变更指令中，未能确认承包人对此项变更提出的估算和（或）竣工日期延长亦未提</w:t>
      </w:r>
    </w:p>
    <w:p>
      <w:pPr>
        <w:pStyle w:val="2"/>
        <w:ind w:left="0"/>
      </w:pPr>
      <w:r>
        <w:rPr>
          <w:rFonts w:hint="eastAsia"/>
        </w:rPr>
        <w:t>出异议的，自发包人接到此项书面建议报告后的第11日开始，视为承包人提交的变更估算、和（或）竣工日期延长，已被发包人批准。</w:t>
      </w:r>
    </w:p>
    <w:p>
      <w:pPr>
        <w:pStyle w:val="2"/>
        <w:numPr>
          <w:ilvl w:val="0"/>
          <w:numId w:val="39"/>
        </w:numPr>
      </w:pPr>
      <w:r>
        <w:rPr>
          <w:rFonts w:hint="eastAsia"/>
        </w:rPr>
        <w:t>发包人对承包人根据13.3.2款第（2）项提交的不接受此项变更的理由进行审查后，发出继</w:t>
      </w:r>
    </w:p>
    <w:p>
      <w:pPr>
        <w:pStyle w:val="2"/>
        <w:ind w:left="0"/>
      </w:pPr>
      <w:r>
        <w:rPr>
          <w:rFonts w:hint="eastAsia"/>
        </w:rPr>
        <w:t>续执行、改变、提出进一步补充资料的书面通知，承包人应予以执行。</w:t>
      </w:r>
    </w:p>
    <w:p>
      <w:pPr>
        <w:pStyle w:val="2"/>
      </w:pPr>
      <w:r>
        <w:rPr>
          <w:rFonts w:hint="eastAsia"/>
        </w:rPr>
        <w:t>13.3.4 承人根据13.1.3款的约定提交变更建议书的，其变更程序按照本变更程序的约定办理。</w:t>
      </w:r>
    </w:p>
    <w:p>
      <w:pPr>
        <w:pStyle w:val="6"/>
        <w:numPr>
          <w:ilvl w:val="1"/>
          <w:numId w:val="12"/>
        </w:numPr>
      </w:pPr>
      <w:r>
        <w:rPr>
          <w:rFonts w:hint="eastAsia"/>
        </w:rPr>
        <w:t>紧急性变更程序</w:t>
      </w:r>
    </w:p>
    <w:p>
      <w:pPr>
        <w:pStyle w:val="2"/>
      </w:pPr>
      <w:r>
        <w:rPr>
          <w:rFonts w:hint="eastAsia"/>
        </w:rPr>
        <w:t>13.4.1 发包人有权以书面形式或口头形式发出紧急性变更指令，责令承包人立即执行此项变更。</w:t>
      </w:r>
    </w:p>
    <w:p>
      <w:pPr>
        <w:pStyle w:val="2"/>
        <w:ind w:left="0"/>
      </w:pPr>
      <w:r>
        <w:rPr>
          <w:rFonts w:hint="eastAsia"/>
        </w:rPr>
        <w:t>承包人接到此类指令后，应立即执行。发包人以口头形式发出紧急性变更指令的，须在</w:t>
      </w:r>
      <w:r>
        <w:rPr>
          <w:rFonts w:hint="eastAsia"/>
          <w:lang w:val="zh-CN"/>
        </w:rPr>
        <w:t>48</w:t>
      </w:r>
      <w:r>
        <w:rPr>
          <w:rFonts w:hint="eastAsia"/>
        </w:rPr>
        <w:t>小时内以书面方式确认此项变更，并送交承包人项目经理。</w:t>
      </w:r>
    </w:p>
    <w:p>
      <w:pPr>
        <w:pStyle w:val="2"/>
      </w:pPr>
      <w:r>
        <w:rPr>
          <w:rFonts w:hint="eastAsia"/>
        </w:rPr>
        <w:t>13.4.2 承包人应在紧急性变更指令执行完成后的10日内，向发包人提交实施此项变更的工作内容，</w:t>
      </w:r>
    </w:p>
    <w:p>
      <w:pPr>
        <w:pStyle w:val="2"/>
        <w:ind w:left="0"/>
      </w:pPr>
      <w:r>
        <w:rPr>
          <w:rFonts w:hint="eastAsia"/>
        </w:rPr>
        <w:t>资源消耗和估算。因执行此项变更造成工程关键路径延误时，可提出竣工日期延长要求，但应说明理由，并提交与此项变更相关的进度计划。</w:t>
      </w:r>
    </w:p>
    <w:p>
      <w:pPr>
        <w:pStyle w:val="2"/>
      </w:pPr>
      <w:r>
        <w:rPr>
          <w:rFonts w:hint="eastAsia"/>
        </w:rPr>
        <w:t>承包人未能在此项变更完成后的10日内提交实际消耗的估算、和（或）延长竣工日期的书面资料，</w:t>
      </w:r>
    </w:p>
    <w:p>
      <w:pPr>
        <w:pStyle w:val="2"/>
        <w:ind w:left="0"/>
      </w:pPr>
      <w:r>
        <w:rPr>
          <w:rFonts w:hint="eastAsia"/>
        </w:rPr>
        <w:t>视为该项变更不涉及合同价格调整和竣工日期延长，发包人不再承担此项变更的任何责任。</w:t>
      </w:r>
    </w:p>
    <w:p>
      <w:pPr>
        <w:pStyle w:val="2"/>
      </w:pPr>
      <w:r>
        <w:rPr>
          <w:rFonts w:hint="eastAsia"/>
        </w:rPr>
        <w:t>13.4.3 发包人应在接到承包人根据13.4.2款提交的书面资料后的10日内，以书面形式通知承包</w:t>
      </w:r>
    </w:p>
    <w:p>
      <w:pPr>
        <w:pStyle w:val="2"/>
        <w:ind w:left="0"/>
      </w:pPr>
      <w:r>
        <w:rPr>
          <w:rFonts w:hint="eastAsia"/>
        </w:rPr>
        <w:t>人被批准的合理估算，和（或）给予竣工日期的合理延长。</w:t>
      </w:r>
    </w:p>
    <w:p>
      <w:pPr>
        <w:pStyle w:val="2"/>
      </w:pPr>
      <w:r>
        <w:rPr>
          <w:rFonts w:hint="eastAsia"/>
        </w:rPr>
        <w:t>发包人在接到承包人的此项书面报告后的10日内，未能批准承包人的估算和（或）竣工日期延长</w:t>
      </w:r>
    </w:p>
    <w:p>
      <w:pPr>
        <w:pStyle w:val="2"/>
        <w:ind w:left="0"/>
      </w:pPr>
      <w:r>
        <w:rPr>
          <w:rFonts w:hint="eastAsia"/>
        </w:rPr>
        <w:t>亦未说明理由的，自接到该报告的第11日后，视为承包人提交的估算、和（或）竣工日期延长巳被发包人批准。</w:t>
      </w:r>
    </w:p>
    <w:p>
      <w:pPr>
        <w:pStyle w:val="2"/>
      </w:pPr>
      <w:r>
        <w:rPr>
          <w:rFonts w:hint="eastAsia"/>
        </w:rPr>
        <w:t>承包人对发包人批准的变更费用、竣工日期的延长存有争议时，双方应友好协商解决，协商不成时，</w:t>
      </w:r>
    </w:p>
    <w:p>
      <w:pPr>
        <w:pStyle w:val="2"/>
        <w:ind w:left="0"/>
      </w:pPr>
      <w:r>
        <w:rPr>
          <w:rFonts w:hint="eastAsia"/>
        </w:rPr>
        <w:t>依据16.3款争议和裁决的程序解决。</w:t>
      </w:r>
    </w:p>
    <w:p>
      <w:pPr>
        <w:pStyle w:val="6"/>
        <w:numPr>
          <w:ilvl w:val="1"/>
          <w:numId w:val="12"/>
        </w:numPr>
      </w:pPr>
      <w:r>
        <w:rPr>
          <w:rFonts w:hint="eastAsia"/>
        </w:rPr>
        <w:t>变更价款确定</w:t>
      </w:r>
    </w:p>
    <w:p>
      <w:pPr>
        <w:pStyle w:val="2"/>
      </w:pPr>
      <w:r>
        <w:rPr>
          <w:rFonts w:hint="eastAsia"/>
        </w:rPr>
        <w:t>变更价款按以下方法确定：</w:t>
      </w:r>
    </w:p>
    <w:p>
      <w:pPr>
        <w:pStyle w:val="2"/>
      </w:pPr>
      <w:r>
        <w:rPr>
          <w:rFonts w:hint="eastAsia"/>
        </w:rPr>
        <w:t>13.5.1 合同中已有相应人工、机具、工程量等单价（含取费）的，按合同中已有的相应人工、机</w:t>
      </w:r>
    </w:p>
    <w:p>
      <w:pPr>
        <w:pStyle w:val="2"/>
        <w:ind w:left="0"/>
      </w:pPr>
      <w:r>
        <w:rPr>
          <w:rFonts w:hint="eastAsia"/>
        </w:rPr>
        <w:t>具、工程量等单价（含取费）确定变更价款；</w:t>
      </w:r>
    </w:p>
    <w:p>
      <w:pPr>
        <w:pStyle w:val="2"/>
      </w:pPr>
      <w:r>
        <w:rPr>
          <w:rFonts w:hint="eastAsia"/>
        </w:rPr>
        <w:t>13.5.2 合同中无相应人工、机具、工程量等单价（含取费）的，按类似于变更工程的价格确定变</w:t>
      </w:r>
    </w:p>
    <w:p>
      <w:pPr>
        <w:pStyle w:val="2"/>
        <w:ind w:left="0"/>
      </w:pPr>
      <w:r>
        <w:rPr>
          <w:rFonts w:hint="eastAsia"/>
        </w:rPr>
        <w:t>更价款；</w:t>
      </w:r>
    </w:p>
    <w:p>
      <w:pPr>
        <w:pStyle w:val="2"/>
      </w:pPr>
      <w:r>
        <w:rPr>
          <w:rFonts w:hint="eastAsia"/>
        </w:rPr>
        <w:t>13.5.3 合同中无相应人工、机具、工程量等单价（含取费），亦无类似于变更工程的价格的，双方</w:t>
      </w:r>
    </w:p>
    <w:p>
      <w:pPr>
        <w:pStyle w:val="2"/>
        <w:ind w:left="0"/>
      </w:pPr>
      <w:r>
        <w:rPr>
          <w:rFonts w:hint="eastAsia"/>
        </w:rPr>
        <w:t>通过协商确定变更价款。</w:t>
      </w:r>
    </w:p>
    <w:p>
      <w:pPr>
        <w:pStyle w:val="2"/>
      </w:pPr>
      <w:r>
        <w:rPr>
          <w:rFonts w:hint="eastAsia"/>
        </w:rPr>
        <w:t>13.5.4 专用条款中约定的其它方法。</w:t>
      </w:r>
    </w:p>
    <w:p>
      <w:pPr>
        <w:pStyle w:val="6"/>
        <w:numPr>
          <w:ilvl w:val="1"/>
          <w:numId w:val="12"/>
        </w:numPr>
      </w:pPr>
      <w:r>
        <w:rPr>
          <w:rFonts w:hint="eastAsia"/>
        </w:rPr>
        <w:t>建议变更的利益分享</w:t>
      </w:r>
    </w:p>
    <w:p>
      <w:pPr>
        <w:pStyle w:val="2"/>
      </w:pPr>
      <w:r>
        <w:rPr>
          <w:rFonts w:hint="eastAsia"/>
        </w:rPr>
        <w:t>因发包人批准采用承包人根据13.1.3款提出的变更建议，使工程的投资减少、工期缩短、发包人</w:t>
      </w:r>
    </w:p>
    <w:p>
      <w:pPr>
        <w:pStyle w:val="2"/>
        <w:ind w:left="0"/>
      </w:pPr>
      <w:r>
        <w:rPr>
          <w:rFonts w:hint="eastAsia"/>
        </w:rPr>
        <w:t>获得长期运营效益或其它利益的，双方可按专用条款的约定进行利益分享，必要时双方可另行签订利益分享补充协议，作为合同附件。</w:t>
      </w:r>
    </w:p>
    <w:p>
      <w:pPr>
        <w:pStyle w:val="6"/>
        <w:numPr>
          <w:ilvl w:val="1"/>
          <w:numId w:val="12"/>
        </w:numPr>
      </w:pPr>
      <w:r>
        <w:rPr>
          <w:rFonts w:hint="eastAsia"/>
        </w:rPr>
        <w:t>合同价格调整</w:t>
      </w:r>
    </w:p>
    <w:p>
      <w:pPr>
        <w:pStyle w:val="2"/>
      </w:pPr>
      <w:r>
        <w:rPr>
          <w:rFonts w:hint="eastAsia"/>
        </w:rPr>
        <w:t>在下述情况发生后30日内，合同双方均有权将调整合同价格的原因及调整金额，以书面形式通知</w:t>
      </w:r>
    </w:p>
    <w:p>
      <w:pPr>
        <w:pStyle w:val="2"/>
        <w:ind w:left="0"/>
      </w:pPr>
      <w:r>
        <w:rPr>
          <w:rFonts w:hint="eastAsia"/>
        </w:rPr>
        <w:t>对方或监理人。经发包人确认的合理金额，作为合同价格的调整金额，并在支付当期工程进度款时支付或扣减调整的金额。一方收到另一方通知后15日内不予确认，也未能提出修改意见的，视为已经同意该项价格的调整。合同价格调整包括以下情况：</w:t>
      </w:r>
    </w:p>
    <w:p>
      <w:pPr>
        <w:pStyle w:val="2"/>
      </w:pPr>
      <w:bookmarkStart w:id="136" w:name="bookmark260"/>
      <w:r>
        <w:rPr>
          <w:rFonts w:hint="eastAsia"/>
        </w:rPr>
        <w:t>（</w:t>
      </w:r>
      <w:bookmarkEnd w:id="136"/>
      <w:r>
        <w:rPr>
          <w:rFonts w:hint="eastAsia"/>
        </w:rPr>
        <w:t>1）合同签订后，因法律、国家政策和需遵守的行业规定发生变化，影响到合同价格增减的；</w:t>
      </w:r>
    </w:p>
    <w:p>
      <w:pPr>
        <w:pStyle w:val="2"/>
      </w:pPr>
      <w:bookmarkStart w:id="137" w:name="bookmark261"/>
      <w:r>
        <w:rPr>
          <w:rFonts w:hint="eastAsia"/>
        </w:rPr>
        <w:t>（</w:t>
      </w:r>
      <w:bookmarkEnd w:id="137"/>
      <w:r>
        <w:rPr>
          <w:rFonts w:hint="eastAsia"/>
        </w:rPr>
        <w:t>2）合同执行过程中，工程造价管理部门公布的价格调整，涉及承包人投入成本增减的；</w:t>
      </w:r>
    </w:p>
    <w:p>
      <w:pPr>
        <w:pStyle w:val="2"/>
      </w:pPr>
      <w:bookmarkStart w:id="138" w:name="bookmark262"/>
      <w:r>
        <w:rPr>
          <w:rFonts w:hint="eastAsia"/>
        </w:rPr>
        <w:t>（</w:t>
      </w:r>
      <w:bookmarkEnd w:id="138"/>
      <w:r>
        <w:rPr>
          <w:rFonts w:hint="eastAsia"/>
        </w:rPr>
        <w:t>3）一周内非承包人原因的停水、停电、停气、道路中断等，造成工程现场停工累计超过8小时</w:t>
      </w:r>
    </w:p>
    <w:p>
      <w:pPr>
        <w:pStyle w:val="2"/>
        <w:ind w:left="0"/>
      </w:pPr>
      <w:r>
        <w:rPr>
          <w:rFonts w:hint="eastAsia"/>
        </w:rPr>
        <w:t>的（承包人须提交报告并提供可证实的证明和估算）；</w:t>
      </w:r>
    </w:p>
    <w:p>
      <w:pPr>
        <w:pStyle w:val="2"/>
      </w:pPr>
      <w:bookmarkStart w:id="139" w:name="bookmark263"/>
      <w:r>
        <w:rPr>
          <w:rFonts w:hint="eastAsia"/>
        </w:rPr>
        <w:t>（</w:t>
      </w:r>
      <w:bookmarkEnd w:id="139"/>
      <w:r>
        <w:rPr>
          <w:rFonts w:hint="eastAsia"/>
        </w:rPr>
        <w:t>4）发包人根据13.3款至13.5款变更程序中批准的变更估算的增减；</w:t>
      </w:r>
    </w:p>
    <w:p>
      <w:pPr>
        <w:pStyle w:val="2"/>
      </w:pPr>
      <w:bookmarkStart w:id="140" w:name="bookmark264"/>
      <w:r>
        <w:rPr>
          <w:rFonts w:hint="eastAsia"/>
        </w:rPr>
        <w:t>（</w:t>
      </w:r>
      <w:bookmarkEnd w:id="140"/>
      <w:r>
        <w:rPr>
          <w:rFonts w:hint="eastAsia"/>
        </w:rPr>
        <w:t>5）本合同约定的其它增减的款项调整。</w:t>
      </w:r>
    </w:p>
    <w:p>
      <w:pPr>
        <w:pStyle w:val="2"/>
      </w:pPr>
      <w:r>
        <w:rPr>
          <w:rFonts w:hint="eastAsia"/>
        </w:rPr>
        <w:t>对于合同中未约定的增减款项，发包人不承担调整合同价格的责任，适用法律另有规定时除外。合</w:t>
      </w:r>
    </w:p>
    <w:p>
      <w:pPr>
        <w:pStyle w:val="2"/>
        <w:ind w:left="0"/>
      </w:pPr>
      <w:r>
        <w:rPr>
          <w:rFonts w:hint="eastAsia"/>
        </w:rPr>
        <w:t>同价格的调整不包括合同变更。</w:t>
      </w:r>
    </w:p>
    <w:p>
      <w:pPr>
        <w:pStyle w:val="6"/>
        <w:numPr>
          <w:ilvl w:val="1"/>
          <w:numId w:val="12"/>
        </w:numPr>
      </w:pPr>
      <w:r>
        <w:rPr>
          <w:rFonts w:hint="eastAsia"/>
        </w:rPr>
        <w:t>合同价格调整的争议</w:t>
      </w:r>
    </w:p>
    <w:p>
      <w:pPr>
        <w:pStyle w:val="2"/>
      </w:pPr>
      <w:r>
        <w:rPr>
          <w:rFonts w:hint="eastAsia"/>
        </w:rPr>
        <w:t>经协商，双方未能对工程变更的费用、合同价格的调整或竣工日期的延长达成一致时，根据16.3</w:t>
      </w:r>
    </w:p>
    <w:p>
      <w:pPr>
        <w:pStyle w:val="2"/>
        <w:ind w:left="0"/>
      </w:pPr>
      <w:r>
        <w:rPr>
          <w:rFonts w:hint="eastAsia"/>
        </w:rPr>
        <w:t>款关于争议和裁决的约定解决。</w:t>
      </w:r>
    </w:p>
    <w:p>
      <w:pPr>
        <w:pStyle w:val="5"/>
        <w:numPr>
          <w:ilvl w:val="0"/>
          <w:numId w:val="12"/>
        </w:numPr>
      </w:pPr>
      <w:bookmarkStart w:id="141" w:name="bookmark266"/>
      <w:bookmarkStart w:id="142" w:name="bookmark265"/>
      <w:bookmarkStart w:id="143" w:name="bookmark267"/>
      <w:r>
        <w:rPr>
          <w:rFonts w:hint="eastAsia"/>
        </w:rPr>
        <w:t>合同总价和付款</w:t>
      </w:r>
      <w:bookmarkEnd w:id="141"/>
      <w:bookmarkEnd w:id="142"/>
      <w:bookmarkEnd w:id="143"/>
    </w:p>
    <w:p>
      <w:pPr>
        <w:pStyle w:val="6"/>
        <w:numPr>
          <w:ilvl w:val="1"/>
          <w:numId w:val="12"/>
        </w:numPr>
      </w:pPr>
      <w:r>
        <w:rPr>
          <w:rFonts w:hint="eastAsia"/>
        </w:rPr>
        <w:t>合同总价和付款</w:t>
      </w:r>
    </w:p>
    <w:p>
      <w:pPr>
        <w:pStyle w:val="2"/>
      </w:pPr>
      <w:r>
        <w:rPr>
          <w:rFonts w:hint="eastAsia"/>
        </w:rPr>
        <w:t xml:space="preserve">14.1.1 </w:t>
      </w:r>
      <w:r>
        <w:rPr>
          <w:rFonts w:hint="eastAsia"/>
          <w:lang w:val="zh-TW" w:eastAsia="zh-TW"/>
        </w:rPr>
        <w:t>合同总价</w:t>
      </w:r>
    </w:p>
    <w:p>
      <w:pPr>
        <w:pStyle w:val="2"/>
      </w:pPr>
      <w:r>
        <w:rPr>
          <w:rFonts w:hint="eastAsia"/>
        </w:rPr>
        <w:t>本合同为总价合同，除根据第13条变更和合同价格的调整，以及合同中其它相关增减金额的约定</w:t>
      </w:r>
    </w:p>
    <w:p>
      <w:pPr>
        <w:pStyle w:val="2"/>
        <w:ind w:left="0"/>
      </w:pPr>
      <w:r>
        <w:rPr>
          <w:rFonts w:hint="eastAsia"/>
        </w:rPr>
        <w:t>进行调整外，合同价格不做调整。</w:t>
      </w:r>
    </w:p>
    <w:p>
      <w:pPr>
        <w:pStyle w:val="2"/>
      </w:pPr>
      <w:r>
        <w:rPr>
          <w:rFonts w:hint="eastAsia"/>
        </w:rPr>
        <w:t xml:space="preserve">14.1.2 </w:t>
      </w:r>
      <w:r>
        <w:rPr>
          <w:rFonts w:hint="eastAsia"/>
          <w:lang w:val="zh-TW" w:eastAsia="zh-TW"/>
        </w:rPr>
        <w:t>付款</w:t>
      </w:r>
    </w:p>
    <w:p>
      <w:pPr>
        <w:pStyle w:val="2"/>
      </w:pPr>
      <w:bookmarkStart w:id="144" w:name="bookmark268"/>
      <w:r>
        <w:rPr>
          <w:rFonts w:hint="eastAsia"/>
        </w:rPr>
        <w:t>（</w:t>
      </w:r>
      <w:bookmarkEnd w:id="144"/>
      <w:r>
        <w:rPr>
          <w:rFonts w:hint="eastAsia"/>
        </w:rPr>
        <w:t>1）合同价款的货币币种为人民币，由发包人在中国境内支付给承包人。</w:t>
      </w:r>
    </w:p>
    <w:p>
      <w:pPr>
        <w:pStyle w:val="2"/>
      </w:pPr>
      <w:bookmarkStart w:id="145" w:name="bookmark269"/>
      <w:r>
        <w:rPr>
          <w:rFonts w:hint="eastAsia"/>
        </w:rPr>
        <w:t>（</w:t>
      </w:r>
      <w:bookmarkEnd w:id="145"/>
      <w:r>
        <w:rPr>
          <w:rFonts w:hint="eastAsia"/>
        </w:rPr>
        <w:t>2）发包人应依据合同约定的应付款类别和付款时间安排，向承包人支付合同价款。承包人指定</w:t>
      </w:r>
    </w:p>
    <w:p>
      <w:pPr>
        <w:pStyle w:val="2"/>
        <w:ind w:left="0"/>
      </w:pPr>
      <w:r>
        <w:rPr>
          <w:rFonts w:hint="eastAsia"/>
        </w:rPr>
        <w:t>的银行账户，在专用条款中约定。</w:t>
      </w:r>
    </w:p>
    <w:p>
      <w:pPr>
        <w:pStyle w:val="6"/>
        <w:numPr>
          <w:ilvl w:val="1"/>
          <w:numId w:val="12"/>
        </w:numPr>
      </w:pPr>
      <w:r>
        <w:rPr>
          <w:rFonts w:hint="eastAsia"/>
          <w:lang w:val="zh-TW" w:eastAsia="zh-TW"/>
        </w:rPr>
        <w:t>担保</w:t>
      </w:r>
    </w:p>
    <w:p>
      <w:pPr>
        <w:pStyle w:val="2"/>
      </w:pPr>
      <w:r>
        <w:rPr>
          <w:rFonts w:hint="eastAsia"/>
        </w:rPr>
        <w:t xml:space="preserve">14.2.1 </w:t>
      </w:r>
      <w:r>
        <w:rPr>
          <w:rFonts w:hint="eastAsia"/>
          <w:lang w:val="zh-TW" w:eastAsia="zh-TW"/>
        </w:rPr>
        <w:t>履约保函</w:t>
      </w:r>
    </w:p>
    <w:p>
      <w:pPr>
        <w:pStyle w:val="2"/>
      </w:pPr>
      <w:r>
        <w:rPr>
          <w:rFonts w:hint="eastAsia"/>
        </w:rPr>
        <w:t>合同约定由承包人向发包人提交履约保函时，履约保函的格式、金额和提交时间，在专用条款中约</w:t>
      </w:r>
    </w:p>
    <w:p>
      <w:pPr>
        <w:pStyle w:val="2"/>
        <w:ind w:left="0"/>
      </w:pPr>
      <w:r>
        <w:rPr>
          <w:rFonts w:hint="eastAsia"/>
        </w:rPr>
        <w:t>定。</w:t>
      </w:r>
    </w:p>
    <w:p>
      <w:pPr>
        <w:pStyle w:val="2"/>
      </w:pPr>
      <w:r>
        <w:rPr>
          <w:rFonts w:hint="eastAsia"/>
        </w:rPr>
        <w:t xml:space="preserve">14.2.2 </w:t>
      </w:r>
      <w:r>
        <w:rPr>
          <w:rFonts w:hint="eastAsia"/>
          <w:lang w:val="zh-TW" w:eastAsia="zh-TW"/>
        </w:rPr>
        <w:t>支付保函</w:t>
      </w:r>
    </w:p>
    <w:p>
      <w:pPr>
        <w:pStyle w:val="2"/>
      </w:pPr>
      <w:r>
        <w:rPr>
          <w:rFonts w:hint="eastAsia"/>
        </w:rPr>
        <w:t>合同约定由承包人向发包人提交履约保函时，发包人应向承包人提交支付保函。支付保函的格式、</w:t>
      </w:r>
    </w:p>
    <w:p>
      <w:pPr>
        <w:pStyle w:val="2"/>
        <w:ind w:left="0"/>
      </w:pPr>
      <w:r>
        <w:rPr>
          <w:rFonts w:hint="eastAsia"/>
        </w:rPr>
        <w:t>内容和提交时间在专用条款中约定。</w:t>
      </w:r>
    </w:p>
    <w:p>
      <w:pPr>
        <w:pStyle w:val="2"/>
      </w:pPr>
      <w:r>
        <w:rPr>
          <w:rFonts w:hint="eastAsia"/>
        </w:rPr>
        <w:t>14.2.3 预付款保函</w:t>
      </w:r>
    </w:p>
    <w:p>
      <w:pPr>
        <w:pStyle w:val="2"/>
      </w:pPr>
      <w:r>
        <w:rPr>
          <w:rFonts w:hint="eastAsia"/>
        </w:rPr>
        <w:t>合同约定由承包人向发包人提交预付款保函时，预付款保函的格式、金额和提交时间在专用条款中</w:t>
      </w:r>
    </w:p>
    <w:p>
      <w:pPr>
        <w:pStyle w:val="2"/>
        <w:ind w:left="0"/>
      </w:pPr>
      <w:r>
        <w:rPr>
          <w:rFonts w:hint="eastAsia"/>
        </w:rPr>
        <w:t>约定。</w:t>
      </w:r>
    </w:p>
    <w:p>
      <w:pPr>
        <w:pStyle w:val="6"/>
        <w:numPr>
          <w:ilvl w:val="1"/>
          <w:numId w:val="12"/>
        </w:numPr>
      </w:pPr>
      <w:r>
        <w:rPr>
          <w:rFonts w:hint="eastAsia"/>
        </w:rPr>
        <w:t>预付款</w:t>
      </w:r>
    </w:p>
    <w:p>
      <w:pPr>
        <w:pStyle w:val="2"/>
      </w:pPr>
      <w:r>
        <w:rPr>
          <w:rFonts w:hint="eastAsia"/>
        </w:rPr>
        <w:t>14.3.1 预付款金额</w:t>
      </w:r>
    </w:p>
    <w:p>
      <w:pPr>
        <w:pStyle w:val="2"/>
      </w:pPr>
      <w:r>
        <w:rPr>
          <w:rFonts w:hint="eastAsia"/>
        </w:rPr>
        <w:t>发包人同意将按合同价格的一定比例作为预付款金额,具体金额在专用条款中约定。</w:t>
      </w:r>
    </w:p>
    <w:p>
      <w:pPr>
        <w:pStyle w:val="2"/>
      </w:pPr>
      <w:r>
        <w:rPr>
          <w:rFonts w:hint="eastAsia"/>
        </w:rPr>
        <w:t>14.3.2 预付款支付</w:t>
      </w:r>
    </w:p>
    <w:p>
      <w:pPr>
        <w:pStyle w:val="2"/>
      </w:pPr>
      <w:r>
        <w:rPr>
          <w:rFonts w:hint="eastAsia"/>
        </w:rPr>
        <w:t>合同约定了预付款保函时，发包人应在合同生效及收到承包人提交的预付款保函后10日内，根据</w:t>
      </w:r>
    </w:p>
    <w:p>
      <w:pPr>
        <w:pStyle w:val="2"/>
        <w:ind w:left="0"/>
      </w:pPr>
      <w:r>
        <w:rPr>
          <w:rFonts w:hint="eastAsia"/>
        </w:rPr>
        <w:t>14.3.1款约定的预付款金额，一次支付给承包人；未约定预付款保函时，发包人应在合同生效后10日内，根据14.3.1款约定的预付款金额，一次支付给承包人。</w:t>
      </w:r>
    </w:p>
    <w:p>
      <w:pPr>
        <w:pStyle w:val="2"/>
      </w:pPr>
      <w:r>
        <w:rPr>
          <w:rFonts w:hint="eastAsia"/>
        </w:rPr>
        <w:t>14.3.3 预付款抵扣</w:t>
      </w:r>
    </w:p>
    <w:p>
      <w:pPr>
        <w:pStyle w:val="2"/>
      </w:pPr>
      <w:bookmarkStart w:id="146" w:name="bookmark270"/>
      <w:r>
        <w:rPr>
          <w:rFonts w:hint="eastAsia"/>
        </w:rPr>
        <w:t>（</w:t>
      </w:r>
      <w:bookmarkEnd w:id="146"/>
      <w:r>
        <w:rPr>
          <w:rFonts w:hint="eastAsia"/>
        </w:rPr>
        <w:t>1）预付款的抵扣方式、抵扣比例和抵扣时间安排，在专用条款中约定。</w:t>
      </w:r>
    </w:p>
    <w:p>
      <w:pPr>
        <w:pStyle w:val="2"/>
      </w:pPr>
      <w:bookmarkStart w:id="147" w:name="bookmark271"/>
      <w:r>
        <w:rPr>
          <w:rFonts w:hint="eastAsia"/>
        </w:rPr>
        <w:t>（</w:t>
      </w:r>
      <w:bookmarkEnd w:id="147"/>
      <w:r>
        <w:rPr>
          <w:rFonts w:hint="eastAsia"/>
        </w:rPr>
        <w:t>2）在发包人签发工程接收证书或合同解除时，预付款尚未抵扣完的，发包人有权要求承包人支</w:t>
      </w:r>
    </w:p>
    <w:p>
      <w:pPr>
        <w:pStyle w:val="2"/>
        <w:ind w:left="0"/>
      </w:pPr>
      <w:r>
        <w:rPr>
          <w:rFonts w:hint="eastAsia"/>
        </w:rPr>
        <w:t>付尚未抵扣完的预付款。承包人未能支付的，发包人有权按如下程序扣回预付款的余额：</w:t>
      </w:r>
    </w:p>
    <w:p>
      <w:pPr>
        <w:pStyle w:val="2"/>
      </w:pPr>
      <w:bookmarkStart w:id="148" w:name="bookmark272"/>
      <w:r>
        <w:rPr>
          <w:rFonts w:hint="eastAsia"/>
        </w:rPr>
        <w:t>1</w:t>
      </w:r>
      <w:bookmarkEnd w:id="148"/>
      <w:r>
        <w:rPr>
          <w:rFonts w:hint="eastAsia"/>
        </w:rPr>
        <w:t>）从应付给承包人的款项中或属于承包人的款项中一次或多次扣除；</w:t>
      </w:r>
    </w:p>
    <w:p>
      <w:pPr>
        <w:pStyle w:val="2"/>
      </w:pPr>
      <w:bookmarkStart w:id="149" w:name="bookmark273"/>
      <w:r>
        <w:rPr>
          <w:rFonts w:hint="eastAsia"/>
        </w:rPr>
        <w:t>2</w:t>
      </w:r>
      <w:bookmarkEnd w:id="149"/>
      <w:r>
        <w:rPr>
          <w:rFonts w:hint="eastAsia"/>
        </w:rPr>
        <w:t>）应付给承包人的款项或属于承包人的款项不足以抵扣时，发包人有权从预付款保函（如约定提</w:t>
      </w:r>
    </w:p>
    <w:p>
      <w:pPr>
        <w:pStyle w:val="2"/>
        <w:ind w:left="0"/>
      </w:pPr>
      <w:r>
        <w:rPr>
          <w:rFonts w:hint="eastAsia"/>
        </w:rPr>
        <w:t>交）中扣除尚未抵扣完的预付款；</w:t>
      </w:r>
    </w:p>
    <w:p>
      <w:pPr>
        <w:pStyle w:val="2"/>
        <w:numPr>
          <w:ilvl w:val="0"/>
          <w:numId w:val="40"/>
        </w:numPr>
      </w:pPr>
      <w:r>
        <w:rPr>
          <w:rFonts w:hint="eastAsia"/>
        </w:rPr>
        <w:t>应付给承包人或属于承包人的款项不足以抵扣且合同未约定承包人提交预付款保函时，承包人</w:t>
      </w:r>
    </w:p>
    <w:p>
      <w:pPr>
        <w:pStyle w:val="2"/>
        <w:ind w:left="0"/>
      </w:pPr>
      <w:r>
        <w:rPr>
          <w:rFonts w:hint="eastAsia"/>
        </w:rPr>
        <w:t>应与发包人签订支付尚未抵扣完的预付款支付时间安排协议书；</w:t>
      </w:r>
    </w:p>
    <w:p>
      <w:pPr>
        <w:pStyle w:val="2"/>
      </w:pPr>
      <w:bookmarkStart w:id="150" w:name="bookmark275"/>
      <w:r>
        <w:rPr>
          <w:rFonts w:hint="eastAsia"/>
        </w:rPr>
        <w:t>4</w:t>
      </w:r>
      <w:bookmarkEnd w:id="150"/>
      <w:r>
        <w:rPr>
          <w:rFonts w:hint="eastAsia"/>
        </w:rPr>
        <w:t>）承包人未能按上述协议书执行，发包人有权从履约保函（如有）中抵扣尚未扣完的预付款。</w:t>
      </w:r>
    </w:p>
    <w:p>
      <w:pPr>
        <w:pStyle w:val="6"/>
        <w:numPr>
          <w:ilvl w:val="1"/>
          <w:numId w:val="12"/>
        </w:numPr>
      </w:pPr>
      <w:r>
        <w:rPr>
          <w:rFonts w:hint="eastAsia"/>
        </w:rPr>
        <w:t>工程进度款</w:t>
      </w:r>
    </w:p>
    <w:p>
      <w:pPr>
        <w:pStyle w:val="2"/>
      </w:pPr>
      <w:r>
        <w:rPr>
          <w:rFonts w:hint="eastAsia"/>
        </w:rPr>
        <w:t>14.4.1 工程进度款。工程进度款支付方式、支付条件和支付时间等，在专用条款中约定。</w:t>
      </w:r>
    </w:p>
    <w:p>
      <w:pPr>
        <w:pStyle w:val="2"/>
      </w:pPr>
      <w:r>
        <w:rPr>
          <w:rFonts w:hint="eastAsia"/>
        </w:rPr>
        <w:t>14.4.2 根据工程具体情况，应付的其它进度款，在专用条款约定。</w:t>
      </w:r>
    </w:p>
    <w:p>
      <w:pPr>
        <w:pStyle w:val="6"/>
        <w:numPr>
          <w:ilvl w:val="1"/>
          <w:numId w:val="12"/>
        </w:numPr>
      </w:pPr>
      <w:r>
        <w:rPr>
          <w:rFonts w:hint="eastAsia"/>
        </w:rPr>
        <w:t>缺陷责任保修金的暂扣与支付</w:t>
      </w:r>
    </w:p>
    <w:p>
      <w:pPr>
        <w:pStyle w:val="2"/>
      </w:pPr>
      <w:r>
        <w:rPr>
          <w:rFonts w:hint="eastAsia"/>
        </w:rPr>
        <w:t>14.5.1 缺陷责任保修金的暂时扣减。发包人可根据11.2.1款约定的缺陷责任保修金金额和11.2.2</w:t>
      </w:r>
    </w:p>
    <w:p>
      <w:pPr>
        <w:pStyle w:val="2"/>
        <w:ind w:left="0"/>
      </w:pPr>
      <w:r>
        <w:rPr>
          <w:rFonts w:hint="eastAsia"/>
        </w:rPr>
        <w:t>款缺陷责任保修金暂扣的约定，暂时扣减缺陷责任保修金。</w:t>
      </w:r>
    </w:p>
    <w:p>
      <w:pPr>
        <w:pStyle w:val="2"/>
      </w:pPr>
      <w:r>
        <w:rPr>
          <w:rFonts w:hint="eastAsia"/>
        </w:rPr>
        <w:t>14.5.2 缺陷责任保修金的支付</w:t>
      </w:r>
    </w:p>
    <w:p>
      <w:pPr>
        <w:pStyle w:val="2"/>
      </w:pPr>
      <w:bookmarkStart w:id="151" w:name="bookmark276"/>
      <w:r>
        <w:rPr>
          <w:rFonts w:hint="eastAsia"/>
        </w:rPr>
        <w:t>（</w:t>
      </w:r>
      <w:bookmarkEnd w:id="151"/>
      <w:r>
        <w:rPr>
          <w:rFonts w:hint="eastAsia"/>
        </w:rPr>
        <w:t>1）发包人应在办理工程竣工验收和竣工结算时，将按14.5.1款暂时扣减的全部缺陷责任保修金</w:t>
      </w:r>
    </w:p>
    <w:p>
      <w:pPr>
        <w:pStyle w:val="2"/>
        <w:ind w:left="0"/>
      </w:pPr>
      <w:r>
        <w:rPr>
          <w:rFonts w:hint="eastAsia"/>
        </w:rPr>
        <w:t>金额的一半支付给承包人，专用条款另有约定时除外。此后，承包人未能按发包人通知修复缺陷责任期内出现的缺陷或委托发包人修复该缺陷的，修复缺陷的费用，从余下的缺陷责任保修金金额中扣除。发包人应在缺陷责任期届满后15日内，将暂扣的缺陷责任保修金余额支付给承包人。</w:t>
      </w:r>
    </w:p>
    <w:p>
      <w:pPr>
        <w:pStyle w:val="2"/>
        <w:numPr>
          <w:ilvl w:val="0"/>
          <w:numId w:val="39"/>
        </w:numPr>
      </w:pPr>
      <w:r>
        <w:rPr>
          <w:rFonts w:hint="eastAsia"/>
        </w:rPr>
        <w:t>专用条款约定承包人可提交缺陷责任保修金保函的，在办理工程竣工验收和竣工结算时，如</w:t>
      </w:r>
    </w:p>
    <w:p>
      <w:pPr>
        <w:pStyle w:val="2"/>
        <w:ind w:left="0"/>
      </w:pPr>
      <w:r>
        <w:rPr>
          <w:rFonts w:hint="eastAsia"/>
        </w:rPr>
        <w:t>承包人请求提供用于替代剩余的缺陷责任保修金的保函，发包人应在接到承包人按合同约定提交的缺陷责任保修金保函后，向承包人支付保修金的剩余金额。此后，如承包人未能自费修复缺陷责任期内出现的缺陷或委托发包人修复该缺陷的，修复缺陷的费用从该保函中扣除。发包人应在缺陷责任 期届满后15日内，退还该保函。保函的格式、金额和提交时间，在专用条款约定。</w:t>
      </w:r>
    </w:p>
    <w:p>
      <w:pPr>
        <w:pStyle w:val="6"/>
        <w:numPr>
          <w:ilvl w:val="1"/>
          <w:numId w:val="12"/>
        </w:numPr>
      </w:pPr>
      <w:r>
        <w:rPr>
          <w:rFonts w:hint="eastAsia"/>
        </w:rPr>
        <w:t>按月工程进度申请付款</w:t>
      </w:r>
    </w:p>
    <w:p>
      <w:pPr>
        <w:pStyle w:val="2"/>
      </w:pPr>
      <w:r>
        <w:rPr>
          <w:rFonts w:hint="eastAsia"/>
        </w:rPr>
        <w:t>14.6.1 按月申请付款。按月申请付款的，承包人应以合同协议书约定的合同价格为基础，按每月</w:t>
      </w:r>
    </w:p>
    <w:p>
      <w:pPr>
        <w:pStyle w:val="2"/>
        <w:ind w:left="0"/>
      </w:pPr>
      <w:r>
        <w:rPr>
          <w:rFonts w:hint="eastAsia"/>
        </w:rPr>
        <w:t>实际完成的工程量（含设计、釆购、施工、竣工试验和竣工后试验等）的合同金额，向发包人或监理人提交付款申请。承包人提交付款申请报告的格式、内容、份数和时间，在专用条款约定。</w:t>
      </w:r>
    </w:p>
    <w:p>
      <w:pPr>
        <w:pStyle w:val="2"/>
      </w:pPr>
      <w:r>
        <w:rPr>
          <w:rFonts w:hint="eastAsia"/>
        </w:rPr>
        <w:t>按月付款申请报告中的款项包括：</w:t>
      </w:r>
    </w:p>
    <w:p>
      <w:pPr>
        <w:pStyle w:val="2"/>
      </w:pPr>
      <w:bookmarkStart w:id="152" w:name="bookmark278"/>
      <w:r>
        <w:rPr>
          <w:rFonts w:hint="eastAsia"/>
        </w:rPr>
        <w:t>（</w:t>
      </w:r>
      <w:bookmarkEnd w:id="152"/>
      <w:r>
        <w:rPr>
          <w:rFonts w:hint="eastAsia"/>
        </w:rPr>
        <w:t>1）按14.4款工程进度款约定的款项类别；</w:t>
      </w:r>
    </w:p>
    <w:p>
      <w:pPr>
        <w:pStyle w:val="2"/>
      </w:pPr>
      <w:bookmarkStart w:id="153" w:name="bookmark279"/>
      <w:r>
        <w:rPr>
          <w:rFonts w:hint="eastAsia"/>
        </w:rPr>
        <w:t>（</w:t>
      </w:r>
      <w:bookmarkEnd w:id="153"/>
      <w:r>
        <w:rPr>
          <w:rFonts w:hint="eastAsia"/>
        </w:rPr>
        <w:t>2）按13.7款合同价格调整约定的增减款项；</w:t>
      </w:r>
    </w:p>
    <w:p>
      <w:pPr>
        <w:pStyle w:val="2"/>
      </w:pPr>
      <w:bookmarkStart w:id="154" w:name="bookmark280"/>
      <w:r>
        <w:rPr>
          <w:rFonts w:hint="eastAsia"/>
        </w:rPr>
        <w:t>（</w:t>
      </w:r>
      <w:bookmarkEnd w:id="154"/>
      <w:r>
        <w:rPr>
          <w:rFonts w:hint="eastAsia"/>
        </w:rPr>
        <w:t>3）按14.3款预付款约定的支付及扣减的款项；</w:t>
      </w:r>
    </w:p>
    <w:p>
      <w:pPr>
        <w:pStyle w:val="2"/>
      </w:pPr>
      <w:bookmarkStart w:id="155" w:name="bookmark281"/>
      <w:r>
        <w:rPr>
          <w:rFonts w:hint="eastAsia"/>
        </w:rPr>
        <w:t>（</w:t>
      </w:r>
      <w:bookmarkEnd w:id="155"/>
      <w:r>
        <w:rPr>
          <w:rFonts w:hint="eastAsia"/>
        </w:rPr>
        <w:t>4）按14.5款缺陷责任保修金约定暂扣及支付的款项；</w:t>
      </w:r>
    </w:p>
    <w:p>
      <w:pPr>
        <w:pStyle w:val="2"/>
      </w:pPr>
      <w:bookmarkStart w:id="156" w:name="bookmark282"/>
      <w:r>
        <w:rPr>
          <w:rFonts w:hint="eastAsia"/>
        </w:rPr>
        <w:t>（</w:t>
      </w:r>
      <w:bookmarkEnd w:id="156"/>
      <w:r>
        <w:rPr>
          <w:rFonts w:hint="eastAsia"/>
        </w:rPr>
        <w:t>5）根据16.2款索赔结果增减的款项；</w:t>
      </w:r>
    </w:p>
    <w:p>
      <w:pPr>
        <w:pStyle w:val="2"/>
      </w:pPr>
      <w:bookmarkStart w:id="157" w:name="bookmark283"/>
      <w:r>
        <w:rPr>
          <w:rFonts w:hint="eastAsia"/>
        </w:rPr>
        <w:t>（</w:t>
      </w:r>
      <w:bookmarkEnd w:id="157"/>
      <w:r>
        <w:rPr>
          <w:rFonts w:hint="eastAsia"/>
        </w:rPr>
        <w:t>6）根据另行签订的本合同补充协议增减的款项。</w:t>
      </w:r>
    </w:p>
    <w:p>
      <w:pPr>
        <w:pStyle w:val="2"/>
      </w:pPr>
      <w:r>
        <w:rPr>
          <w:rFonts w:hint="eastAsia"/>
        </w:rPr>
        <w:t>14.6.2 如双方约定了 14.6.1款按月工程进度申请付款的方式时，则不能再约定按14.7款按付款</w:t>
      </w:r>
    </w:p>
    <w:p>
      <w:pPr>
        <w:pStyle w:val="2"/>
        <w:ind w:left="0"/>
      </w:pPr>
      <w:r>
        <w:rPr>
          <w:rFonts w:hint="eastAsia"/>
        </w:rPr>
        <w:t>计划表申请付款的方式。</w:t>
      </w:r>
    </w:p>
    <w:p>
      <w:pPr>
        <w:pStyle w:val="6"/>
        <w:numPr>
          <w:ilvl w:val="1"/>
          <w:numId w:val="12"/>
        </w:numPr>
      </w:pPr>
      <w:r>
        <w:rPr>
          <w:rFonts w:hint="eastAsia"/>
        </w:rPr>
        <w:t>按付款计划表申请付款</w:t>
      </w:r>
    </w:p>
    <w:p>
      <w:pPr>
        <w:pStyle w:val="2"/>
      </w:pPr>
      <w:r>
        <w:rPr>
          <w:rFonts w:hint="eastAsia"/>
        </w:rPr>
        <w:t>14.7.1 按付款计划表申请付款</w:t>
      </w:r>
    </w:p>
    <w:p>
      <w:pPr>
        <w:pStyle w:val="2"/>
      </w:pPr>
      <w:r>
        <w:rPr>
          <w:rFonts w:hint="eastAsia"/>
        </w:rPr>
        <w:t>按付款计划表申请付款的，承包人应以合同协议书约定的合同价格为基础，按照专用条款约定的付</w:t>
      </w:r>
    </w:p>
    <w:p>
      <w:pPr>
        <w:pStyle w:val="2"/>
        <w:ind w:left="0"/>
      </w:pPr>
      <w:r>
        <w:rPr>
          <w:rFonts w:hint="eastAsia"/>
        </w:rPr>
        <w:t>款期数、计划每期达到的主要形象进度和（或）完成的主要计划工程量（含设计、采购、施工、竣工试验和竣工后试验等）等目标任务，以及每期付款金额，并依据专用条款约定的格式、内容、份数和提交时间，向发包人或监理人提交当期付款申请报告。</w:t>
      </w:r>
    </w:p>
    <w:p>
      <w:pPr>
        <w:pStyle w:val="2"/>
      </w:pPr>
      <w:r>
        <w:rPr>
          <w:rFonts w:hint="eastAsia"/>
        </w:rPr>
        <w:t>每期付款申请报告中的款项包括：</w:t>
      </w:r>
    </w:p>
    <w:p>
      <w:pPr>
        <w:pStyle w:val="2"/>
      </w:pPr>
      <w:bookmarkStart w:id="158" w:name="bookmark284"/>
      <w:r>
        <w:rPr>
          <w:rFonts w:hint="eastAsia"/>
        </w:rPr>
        <w:t>（</w:t>
      </w:r>
      <w:bookmarkEnd w:id="158"/>
      <w:r>
        <w:rPr>
          <w:rFonts w:hint="eastAsia"/>
        </w:rPr>
        <w:t>1）按专用条款中约定的当期计划申请付款的金额；</w:t>
      </w:r>
    </w:p>
    <w:p>
      <w:pPr>
        <w:pStyle w:val="2"/>
      </w:pPr>
      <w:bookmarkStart w:id="159" w:name="bookmark285"/>
      <w:r>
        <w:rPr>
          <w:rFonts w:hint="eastAsia"/>
        </w:rPr>
        <w:t>（</w:t>
      </w:r>
      <w:bookmarkEnd w:id="159"/>
      <w:r>
        <w:rPr>
          <w:rFonts w:hint="eastAsia"/>
        </w:rPr>
        <w:t>2）按13.7款合同价款调整约定的增减款项；</w:t>
      </w:r>
    </w:p>
    <w:p>
      <w:pPr>
        <w:pStyle w:val="2"/>
      </w:pPr>
      <w:bookmarkStart w:id="160" w:name="bookmark286"/>
      <w:r>
        <w:rPr>
          <w:rFonts w:hint="eastAsia"/>
        </w:rPr>
        <w:t>（</w:t>
      </w:r>
      <w:bookmarkEnd w:id="160"/>
      <w:r>
        <w:rPr>
          <w:rFonts w:hint="eastAsia"/>
        </w:rPr>
        <w:t>3）按14.3款预付款约定的，支付及扣减的款项；</w:t>
      </w:r>
    </w:p>
    <w:p>
      <w:pPr>
        <w:pStyle w:val="2"/>
      </w:pPr>
      <w:bookmarkStart w:id="161" w:name="bookmark287"/>
      <w:r>
        <w:rPr>
          <w:rFonts w:hint="eastAsia"/>
        </w:rPr>
        <w:t>（</w:t>
      </w:r>
      <w:bookmarkEnd w:id="161"/>
      <w:r>
        <w:rPr>
          <w:rFonts w:hint="eastAsia"/>
        </w:rPr>
        <w:t>4）按14.5款缺陷责任保修金约定暂扣及支付的款项；</w:t>
      </w:r>
    </w:p>
    <w:p>
      <w:pPr>
        <w:pStyle w:val="2"/>
      </w:pPr>
      <w:bookmarkStart w:id="162" w:name="bookmark288"/>
      <w:r>
        <w:rPr>
          <w:rFonts w:hint="eastAsia"/>
        </w:rPr>
        <w:t>（</w:t>
      </w:r>
      <w:bookmarkEnd w:id="162"/>
      <w:r>
        <w:rPr>
          <w:rFonts w:hint="eastAsia"/>
        </w:rPr>
        <w:t>5）根据16.2款索赔结果增减的款项；</w:t>
      </w:r>
    </w:p>
    <w:p>
      <w:pPr>
        <w:pStyle w:val="2"/>
      </w:pPr>
      <w:bookmarkStart w:id="163" w:name="bookmark289"/>
      <w:r>
        <w:rPr>
          <w:rFonts w:hint="eastAsia"/>
        </w:rPr>
        <w:t>（</w:t>
      </w:r>
      <w:bookmarkEnd w:id="163"/>
      <w:r>
        <w:rPr>
          <w:rFonts w:hint="eastAsia"/>
        </w:rPr>
        <w:t>6）根据另行签订的本合同的补充协议增减的款项。</w:t>
      </w:r>
    </w:p>
    <w:p>
      <w:pPr>
        <w:pStyle w:val="2"/>
      </w:pPr>
      <w:r>
        <w:rPr>
          <w:rFonts w:hint="eastAsia"/>
        </w:rPr>
        <w:t>14.7.2 发包人按付款计划表付款时，承包人的实际工作和（或）实际进度比付款计划表约定的关</w:t>
      </w:r>
    </w:p>
    <w:p>
      <w:pPr>
        <w:pStyle w:val="2"/>
        <w:ind w:left="0"/>
      </w:pPr>
      <w:r>
        <w:rPr>
          <w:rFonts w:hint="eastAsia"/>
        </w:rPr>
        <w:t>键路径的目标任务落后30日及以上时，发包人有权与承包人商定减少当期付款金额，并有权与承包人共同调整付款计划表。承包人以后各期的付款申请及发包人的付款，以调整后的付款计划表为依据。</w:t>
      </w:r>
    </w:p>
    <w:p>
      <w:pPr>
        <w:pStyle w:val="2"/>
      </w:pPr>
      <w:r>
        <w:rPr>
          <w:rFonts w:hint="eastAsia"/>
        </w:rPr>
        <w:t>14.7.3 如双方约定了按14.7款付款计划表的方式申请付款时，不能再约定按14.6款按月工程进</w:t>
      </w:r>
    </w:p>
    <w:p>
      <w:pPr>
        <w:pStyle w:val="2"/>
        <w:ind w:left="0"/>
      </w:pPr>
      <w:r>
        <w:rPr>
          <w:rFonts w:hint="eastAsia"/>
        </w:rPr>
        <w:t>度付款申请的方式。</w:t>
      </w:r>
    </w:p>
    <w:p>
      <w:pPr>
        <w:pStyle w:val="6"/>
        <w:numPr>
          <w:ilvl w:val="1"/>
          <w:numId w:val="12"/>
        </w:numPr>
      </w:pPr>
      <w:r>
        <w:rPr>
          <w:rFonts w:hint="eastAsia"/>
        </w:rPr>
        <w:t>付款条件与时间安排</w:t>
      </w:r>
    </w:p>
    <w:p>
      <w:pPr>
        <w:pStyle w:val="2"/>
      </w:pPr>
      <w:r>
        <w:rPr>
          <w:rFonts w:hint="eastAsia"/>
        </w:rPr>
        <w:t xml:space="preserve">14.8.1 </w:t>
      </w:r>
      <w:r>
        <w:rPr>
          <w:rFonts w:hint="eastAsia"/>
          <w:lang w:val="zh-TW" w:eastAsia="zh-TW"/>
        </w:rPr>
        <w:t>付款条件</w:t>
      </w:r>
    </w:p>
    <w:p>
      <w:pPr>
        <w:pStyle w:val="2"/>
      </w:pPr>
      <w:r>
        <w:rPr>
          <w:rFonts w:hint="eastAsia"/>
        </w:rPr>
        <w:t>双方约定由承包人提交履约保函时，履约保函的提交应为发包人支付各项款项的前提条件；未约定</w:t>
      </w:r>
    </w:p>
    <w:p>
      <w:pPr>
        <w:pStyle w:val="2"/>
        <w:ind w:left="0"/>
      </w:pPr>
      <w:r>
        <w:rPr>
          <w:rFonts w:hint="eastAsia"/>
        </w:rPr>
        <w:t>履约保函时，发包人按约定支付各项款项。</w:t>
      </w:r>
    </w:p>
    <w:p>
      <w:pPr>
        <w:pStyle w:val="2"/>
      </w:pPr>
      <w:r>
        <w:rPr>
          <w:rFonts w:hint="eastAsia"/>
        </w:rPr>
        <w:t>14.8.2 预付款的支付</w:t>
      </w:r>
    </w:p>
    <w:p>
      <w:pPr>
        <w:pStyle w:val="2"/>
      </w:pPr>
      <w:r>
        <w:rPr>
          <w:rFonts w:hint="eastAsia"/>
        </w:rPr>
        <w:t>工程预付款的支付依据14.3.2款预付款支付的约定执行。预付款抵扣完后，发包人应及时向承包</w:t>
      </w:r>
    </w:p>
    <w:p>
      <w:pPr>
        <w:pStyle w:val="2"/>
        <w:ind w:left="0"/>
      </w:pPr>
      <w:r>
        <w:rPr>
          <w:rFonts w:hint="eastAsia"/>
        </w:rPr>
        <w:t>人退还预付款保函。</w:t>
      </w:r>
    </w:p>
    <w:p>
      <w:pPr>
        <w:pStyle w:val="2"/>
      </w:pPr>
      <w:r>
        <w:rPr>
          <w:rFonts w:hint="eastAsia"/>
        </w:rPr>
        <w:t>14.8.3 工程进度款</w:t>
      </w:r>
    </w:p>
    <w:p>
      <w:pPr>
        <w:pStyle w:val="2"/>
        <w:numPr>
          <w:ilvl w:val="0"/>
          <w:numId w:val="41"/>
        </w:numPr>
      </w:pPr>
      <w:r>
        <w:rPr>
          <w:rFonts w:hint="eastAsia"/>
        </w:rPr>
        <w:t>按月工程进度申请与付款。依据14.6.1款按月工程进度申请付款和付款时，发包人应在收到</w:t>
      </w:r>
    </w:p>
    <w:p>
      <w:pPr>
        <w:pStyle w:val="2"/>
        <w:ind w:left="0"/>
      </w:pPr>
      <w:r>
        <w:rPr>
          <w:rFonts w:hint="eastAsia"/>
        </w:rPr>
        <w:t>承包人按14.6.1款提交的每月付款申请报告之日起的25 日内审査并支付。</w:t>
      </w:r>
    </w:p>
    <w:p>
      <w:pPr>
        <w:pStyle w:val="2"/>
        <w:numPr>
          <w:ilvl w:val="0"/>
          <w:numId w:val="41"/>
        </w:numPr>
      </w:pPr>
      <w:r>
        <w:rPr>
          <w:rFonts w:hint="eastAsia"/>
        </w:rPr>
        <w:t>按付款计划表申请与付款。依据14.7.1款按付款计划表申请付款和付款时，发包人应在收到</w:t>
      </w:r>
    </w:p>
    <w:p>
      <w:pPr>
        <w:pStyle w:val="2"/>
        <w:ind w:left="0"/>
      </w:pPr>
      <w:r>
        <w:rPr>
          <w:rFonts w:hint="eastAsia"/>
        </w:rPr>
        <w:t>承包人按14.7.1款提交的每期付款申请报告之日起的25 日内审査并支付。</w:t>
      </w:r>
    </w:p>
    <w:p>
      <w:pPr>
        <w:pStyle w:val="6"/>
        <w:numPr>
          <w:ilvl w:val="1"/>
          <w:numId w:val="12"/>
        </w:numPr>
      </w:pPr>
      <w:r>
        <w:rPr>
          <w:rFonts w:hint="eastAsia"/>
        </w:rPr>
        <w:t>付款时间延误</w:t>
      </w:r>
    </w:p>
    <w:p>
      <w:pPr>
        <w:pStyle w:val="2"/>
      </w:pPr>
      <w:r>
        <w:rPr>
          <w:rFonts w:hint="eastAsia"/>
        </w:rPr>
        <w:t>14.9.1 因发包人的原因未能按14.8.3款约定的时间向承包人支付工程进度款的，应从发包人收到</w:t>
      </w:r>
    </w:p>
    <w:p>
      <w:pPr>
        <w:pStyle w:val="2"/>
        <w:ind w:left="0"/>
      </w:pPr>
      <w:r>
        <w:rPr>
          <w:rFonts w:hint="eastAsia"/>
        </w:rPr>
        <w:t>付款申请报告后的第26日开始，以中国人民银行颁布的同期同类贷款利率向承包人支付延期付款的利息，作为延期付款的违约金额。</w:t>
      </w:r>
    </w:p>
    <w:p>
      <w:pPr>
        <w:pStyle w:val="2"/>
      </w:pPr>
      <w:r>
        <w:rPr>
          <w:rFonts w:hint="eastAsia"/>
        </w:rPr>
        <w:t>14.9.2 发包人延误付款15日以上，承包人有权向发包人发出要求付款的通知，发包人收到通知后</w:t>
      </w:r>
    </w:p>
    <w:p>
      <w:pPr>
        <w:pStyle w:val="2"/>
        <w:ind w:left="0"/>
      </w:pPr>
      <w:r>
        <w:rPr>
          <w:rFonts w:hint="eastAsia"/>
        </w:rPr>
        <w:t>仍不能付款的，承包人可暂停部分工作，视为发包人导致的暂停，并遵照4.6.1款发包人的暂停的约定执行。</w:t>
      </w:r>
    </w:p>
    <w:p>
      <w:pPr>
        <w:pStyle w:val="2"/>
      </w:pPr>
      <w:r>
        <w:rPr>
          <w:rFonts w:hint="eastAsia"/>
        </w:rPr>
        <w:t>双方协商签订延期付款协议书的，发包人应按延期付款协议书中约定的期数、时间、金额和利息付</w:t>
      </w:r>
    </w:p>
    <w:p>
      <w:pPr>
        <w:pStyle w:val="2"/>
        <w:ind w:left="0"/>
      </w:pPr>
      <w:r>
        <w:rPr>
          <w:rFonts w:hint="eastAsia"/>
        </w:rPr>
        <w:t>款；如双方未能达成延期付款协议，导致工程无法实施，承包人可停止部分或全部工程，发包人应承担违约责任，导致工程关键路径延误时，竣工日期顺延。</w:t>
      </w:r>
    </w:p>
    <w:p>
      <w:pPr>
        <w:pStyle w:val="2"/>
      </w:pPr>
      <w:r>
        <w:rPr>
          <w:rFonts w:hint="eastAsia"/>
        </w:rPr>
        <w:t>14.9.3 发包人的延误付款达60日以上，并影响到整个工程实施的，承包人有权根据18.2款的约</w:t>
      </w:r>
    </w:p>
    <w:p>
      <w:pPr>
        <w:pStyle w:val="2"/>
        <w:ind w:left="0"/>
      </w:pPr>
      <w:r>
        <w:rPr>
          <w:rFonts w:hint="eastAsia"/>
        </w:rPr>
        <w:t>定向发包人发出解除合同的通知，并有权就因此增加的相关费用向发包人提出索赔。</w:t>
      </w:r>
    </w:p>
    <w:p>
      <w:pPr>
        <w:pStyle w:val="6"/>
        <w:numPr>
          <w:ilvl w:val="1"/>
          <w:numId w:val="12"/>
        </w:numPr>
      </w:pPr>
      <w:r>
        <w:rPr>
          <w:rFonts w:hint="eastAsia"/>
        </w:rPr>
        <w:t>税务与关税</w:t>
      </w:r>
    </w:p>
    <w:p>
      <w:pPr>
        <w:pStyle w:val="2"/>
      </w:pPr>
      <w:r>
        <w:rPr>
          <w:rFonts w:hint="eastAsia"/>
        </w:rPr>
        <w:t>14.10.1 发包人与承包人按国家有关纳税规定，各自履行各自的纳税义务，含与进口工程物资相关</w:t>
      </w:r>
    </w:p>
    <w:p>
      <w:pPr>
        <w:pStyle w:val="2"/>
        <w:ind w:left="0"/>
      </w:pPr>
      <w:r>
        <w:rPr>
          <w:rFonts w:hint="eastAsia"/>
        </w:rPr>
        <w:t>的各项纳税义务。</w:t>
      </w:r>
    </w:p>
    <w:p>
      <w:pPr>
        <w:pStyle w:val="2"/>
      </w:pPr>
      <w:r>
        <w:rPr>
          <w:rFonts w:hint="eastAsia"/>
        </w:rPr>
        <w:t>14.10.2 合同一方享有本合同进口工程设备、材料、设备配件等进口增值税和关税减免时，另一方</w:t>
      </w:r>
    </w:p>
    <w:p>
      <w:pPr>
        <w:pStyle w:val="2"/>
        <w:ind w:left="0"/>
      </w:pPr>
      <w:r>
        <w:rPr>
          <w:rFonts w:hint="eastAsia"/>
        </w:rPr>
        <w:t>有义务就办理减免税手续给予协助和配合。</w:t>
      </w:r>
    </w:p>
    <w:p>
      <w:pPr>
        <w:pStyle w:val="6"/>
        <w:numPr>
          <w:ilvl w:val="1"/>
          <w:numId w:val="12"/>
        </w:numPr>
      </w:pPr>
      <w:r>
        <w:rPr>
          <w:rFonts w:hint="eastAsia"/>
        </w:rPr>
        <w:t>索赔款项的支付</w:t>
      </w:r>
    </w:p>
    <w:p>
      <w:pPr>
        <w:pStyle w:val="2"/>
      </w:pPr>
      <w:r>
        <w:rPr>
          <w:rFonts w:hint="eastAsia"/>
        </w:rPr>
        <w:t>14.11.1 经协商或调解确定的、或经仲裁裁决的、或法院判决的发包人应得的索赔款项，发包人可</w:t>
      </w:r>
    </w:p>
    <w:p>
      <w:pPr>
        <w:pStyle w:val="2"/>
        <w:ind w:left="0"/>
      </w:pPr>
      <w:r>
        <w:rPr>
          <w:rFonts w:hint="eastAsia"/>
        </w:rPr>
        <w:t>从应支付给承包人的当月工程进度款或当期付款计划表的付款中扣减该索赔款项。当支付给承包人的各期工程进度款中不足以抵扣发包人的索赔款项时，承包人应当另行支付。承包人未能支付，可协商支付协议，仍未支付时，发包人可从履约保函（如有）中抵扣。如履约保函不足以抵扣时，承包人须另行支付该索赔款项，或以双方协商一致的支付协议的期限支付。</w:t>
      </w:r>
    </w:p>
    <w:p>
      <w:pPr>
        <w:pStyle w:val="2"/>
      </w:pPr>
      <w:r>
        <w:rPr>
          <w:rFonts w:hint="eastAsia"/>
        </w:rPr>
        <w:t>14.11.2 经协商或调解确定的、或经仲裁裁决的、或法院判决的承包人应得的索赔款项，承包人可</w:t>
      </w:r>
    </w:p>
    <w:p>
      <w:pPr>
        <w:pStyle w:val="2"/>
        <w:ind w:left="0"/>
      </w:pPr>
      <w:r>
        <w:rPr>
          <w:rFonts w:hint="eastAsia"/>
        </w:rPr>
        <w:t>在当月工程进度款或当期付款计划表的付款申请中单列该索赔款项，发包人应在当期付款中支付该索赔款项。发包人未能支付该索赔款项时，承包人有权从发包人提交的支付保函（如有）中抵扣。如未约定支付保函时，发包人须另行支付该索赔款项。</w:t>
      </w:r>
    </w:p>
    <w:p>
      <w:pPr>
        <w:pStyle w:val="6"/>
        <w:numPr>
          <w:ilvl w:val="1"/>
          <w:numId w:val="12"/>
        </w:numPr>
      </w:pPr>
      <w:r>
        <w:rPr>
          <w:rFonts w:hint="eastAsia"/>
        </w:rPr>
        <w:t>竣工结算</w:t>
      </w:r>
    </w:p>
    <w:p>
      <w:pPr>
        <w:pStyle w:val="2"/>
      </w:pPr>
      <w:r>
        <w:rPr>
          <w:rFonts w:hint="eastAsia"/>
        </w:rPr>
        <w:t>14.12.1 提交竣工结算资料</w:t>
      </w:r>
    </w:p>
    <w:p>
      <w:pPr>
        <w:pStyle w:val="2"/>
      </w:pPr>
      <w:r>
        <w:rPr>
          <w:rFonts w:hint="eastAsia"/>
        </w:rPr>
        <w:t>承包人应在根据12.1款的约定提交的竣工验收报告和完整的竣工资料被发包人确认后的30日内，</w:t>
      </w:r>
    </w:p>
    <w:p>
      <w:pPr>
        <w:pStyle w:val="2"/>
        <w:ind w:left="0"/>
      </w:pPr>
      <w:r>
        <w:rPr>
          <w:rFonts w:hint="eastAsia"/>
        </w:rPr>
        <w:t>向发包人递交竣工结算报告和完整的竣工结算资料。竣工结算资料的格式、内容和份数，在专用条款中约定。</w:t>
      </w:r>
    </w:p>
    <w:p>
      <w:pPr>
        <w:pStyle w:val="2"/>
      </w:pPr>
      <w:r>
        <w:rPr>
          <w:rFonts w:hint="eastAsia"/>
        </w:rPr>
        <w:t>14.12.2 最终竣工结算资料</w:t>
      </w:r>
    </w:p>
    <w:p>
      <w:pPr>
        <w:pStyle w:val="2"/>
      </w:pPr>
      <w:r>
        <w:rPr>
          <w:rFonts w:hint="eastAsia"/>
        </w:rPr>
        <w:t>发包人应在收到承包人提交的竣工结算报告和完整的竣工结算资料后的30日内，进行审査并提出</w:t>
      </w:r>
    </w:p>
    <w:p>
      <w:pPr>
        <w:pStyle w:val="2"/>
        <w:ind w:left="0"/>
      </w:pPr>
      <w:r>
        <w:rPr>
          <w:rFonts w:hint="eastAsia"/>
        </w:rPr>
        <w:t>修改意见，双方就竣工结算报告和完整的竣工结算资料的修改达成一致意见后，由承包人自费进行修正，并提交最终的竣工结算报告和最终的结算资料。</w:t>
      </w:r>
    </w:p>
    <w:p>
      <w:pPr>
        <w:pStyle w:val="2"/>
      </w:pPr>
      <w:r>
        <w:rPr>
          <w:rFonts w:hint="eastAsia"/>
        </w:rPr>
        <w:t>14.12.3 结清竣工结算的款项</w:t>
      </w:r>
    </w:p>
    <w:p>
      <w:pPr>
        <w:pStyle w:val="2"/>
      </w:pPr>
      <w:r>
        <w:rPr>
          <w:rFonts w:hint="eastAsia"/>
        </w:rPr>
        <w:t>发包人应在收到承包人按14.12.2款的约定提交的最终竣工结算资料的30日内，结清竣工结算的</w:t>
      </w:r>
    </w:p>
    <w:p>
      <w:pPr>
        <w:pStyle w:val="2"/>
        <w:ind w:left="0"/>
      </w:pPr>
      <w:r>
        <w:rPr>
          <w:rFonts w:hint="eastAsia"/>
        </w:rPr>
        <w:t>款项。竣工款结清后5日内，发包人应将承包人按14.2.1款约定提交的履约保函返还给承包人;承包人应将发包人按14.2.2款约定提交的支付保函返还给发包人。</w:t>
      </w:r>
    </w:p>
    <w:p>
      <w:pPr>
        <w:pStyle w:val="2"/>
      </w:pPr>
      <w:r>
        <w:rPr>
          <w:rFonts w:hint="eastAsia"/>
        </w:rPr>
        <w:t>14.12.4 未能答复竣工结算报告</w:t>
      </w:r>
    </w:p>
    <w:p>
      <w:pPr>
        <w:pStyle w:val="2"/>
      </w:pPr>
      <w:r>
        <w:rPr>
          <w:rFonts w:hint="eastAsia"/>
        </w:rPr>
        <w:t>发包人在接到承包人根据14.12.1款约定提交的竣工结算报告和完整的竣工结算资料的30日内，</w:t>
      </w:r>
    </w:p>
    <w:p>
      <w:pPr>
        <w:pStyle w:val="2"/>
        <w:ind w:left="0"/>
      </w:pPr>
      <w:r>
        <w:rPr>
          <w:rFonts w:hint="eastAsia"/>
        </w:rPr>
        <w:t>未能提出修改意见，也未予答复的，视为发包人认可了该竣工结算资料作为最终竣工结算资料。发包人应根据14.12.3款的约定，结清竣工结算的款项。</w:t>
      </w:r>
    </w:p>
    <w:p>
      <w:pPr>
        <w:pStyle w:val="2"/>
      </w:pPr>
      <w:r>
        <w:rPr>
          <w:rFonts w:hint="eastAsia"/>
        </w:rPr>
        <w:t>14.12.5 发包人未能结清竣工结算的款项</w:t>
      </w:r>
    </w:p>
    <w:p>
      <w:pPr>
        <w:pStyle w:val="2"/>
        <w:numPr>
          <w:ilvl w:val="0"/>
          <w:numId w:val="42"/>
        </w:numPr>
      </w:pPr>
      <w:r>
        <w:rPr>
          <w:rFonts w:hint="eastAsia"/>
        </w:rPr>
        <w:t>发包人未能按14.12.3款的约定，结清应付给承包人的竣工结算的款项余额的，承包人有权</w:t>
      </w:r>
    </w:p>
    <w:p>
      <w:pPr>
        <w:pStyle w:val="2"/>
        <w:ind w:left="0"/>
      </w:pPr>
      <w:r>
        <w:rPr>
          <w:rFonts w:hint="eastAsia"/>
        </w:rPr>
        <w:t>从发包人根据14.2.2款约定提交的支付保函中扣减该款项的余额。</w:t>
      </w:r>
    </w:p>
    <w:p>
      <w:pPr>
        <w:pStyle w:val="2"/>
      </w:pPr>
      <w:r>
        <w:rPr>
          <w:rFonts w:hint="eastAsia"/>
        </w:rPr>
        <w:t>合同未约定发包人按14.2.2款提交支付保函或支付保函不足以抵偿应向承包人支付的竣工结算款</w:t>
      </w:r>
    </w:p>
    <w:p>
      <w:pPr>
        <w:pStyle w:val="2"/>
        <w:ind w:left="0"/>
      </w:pPr>
      <w:r>
        <w:rPr>
          <w:rFonts w:hint="eastAsia"/>
        </w:rPr>
        <w:t>项时，发包人从承包人提交最终结算资料后的第31日起，支付拖欠的竣工结算款项的余额，并按中国人民银行同期同类贷款利率支付相应利息。</w:t>
      </w:r>
    </w:p>
    <w:p>
      <w:pPr>
        <w:pStyle w:val="2"/>
        <w:numPr>
          <w:ilvl w:val="0"/>
          <w:numId w:val="42"/>
        </w:numPr>
      </w:pPr>
      <w:r>
        <w:rPr>
          <w:rFonts w:hint="eastAsia"/>
        </w:rPr>
        <w:t>根据14.12.4款的约定，发包人未能在约定的30日内对竣工结算资料提出修改意见和答复，</w:t>
      </w:r>
    </w:p>
    <w:p>
      <w:pPr>
        <w:pStyle w:val="2"/>
        <w:ind w:left="0"/>
      </w:pPr>
      <w:r>
        <w:rPr>
          <w:rFonts w:hint="eastAsia"/>
        </w:rPr>
        <w:t>也未能向承包人支付竣工结算款项的余额的，应从承包人提交该报告后的第31日起，支付拖欠的竣工结算款项的余额，并按中国人民银行同期同类贷款利率支付相应利息。</w:t>
      </w:r>
    </w:p>
    <w:p>
      <w:pPr>
        <w:pStyle w:val="2"/>
      </w:pPr>
      <w:r>
        <w:rPr>
          <w:rFonts w:hint="eastAsia"/>
        </w:rPr>
        <w:t>发包人在承包人提交最终竣工结算资料的90日内，仍未结清竣工结算款项的，承包人可依据第16.3</w:t>
      </w:r>
    </w:p>
    <w:p>
      <w:pPr>
        <w:pStyle w:val="2"/>
        <w:ind w:left="0"/>
      </w:pPr>
      <w:r>
        <w:rPr>
          <w:rFonts w:hint="eastAsia"/>
        </w:rPr>
        <w:t>款争议和裁决的约定解决。</w:t>
      </w:r>
    </w:p>
    <w:p>
      <w:pPr>
        <w:pStyle w:val="2"/>
      </w:pPr>
      <w:r>
        <w:rPr>
          <w:rFonts w:hint="eastAsia"/>
        </w:rPr>
        <w:t>14.12.6 未能按时提交竣工结算报告及完整的结算资料</w:t>
      </w:r>
    </w:p>
    <w:p>
      <w:pPr>
        <w:pStyle w:val="2"/>
      </w:pPr>
      <w:r>
        <w:rPr>
          <w:rFonts w:hint="eastAsia"/>
        </w:rPr>
        <w:t>工程竣工验收报告经发包人认可后的30日内，承包人未能向发包人提交竣工结算报告及完整的结</w:t>
      </w:r>
    </w:p>
    <w:p>
      <w:pPr>
        <w:pStyle w:val="2"/>
        <w:ind w:left="0"/>
      </w:pPr>
      <w:r>
        <w:rPr>
          <w:rFonts w:hint="eastAsia"/>
        </w:rPr>
        <w:t>算资料，造成工程竣工结算不能正常进行、或工程竣工结算不能按时结清，发包人要求承包人交付工程时，承包人应进行交付；发包人未要求交付工程时，承包人须承担保管、维护和保养的费用和责任，不包括根据第9条工程接收的约定已被发包人使用、接收的单项工程和工程的任何部分。</w:t>
      </w:r>
    </w:p>
    <w:p>
      <w:pPr>
        <w:pStyle w:val="2"/>
      </w:pPr>
      <w:r>
        <w:rPr>
          <w:rFonts w:hint="eastAsia"/>
        </w:rPr>
        <w:t>14.12.7 承包人未能支付竣工结算的款项</w:t>
      </w:r>
    </w:p>
    <w:p>
      <w:pPr>
        <w:pStyle w:val="2"/>
        <w:numPr>
          <w:ilvl w:val="0"/>
          <w:numId w:val="43"/>
        </w:numPr>
      </w:pPr>
      <w:r>
        <w:rPr>
          <w:rFonts w:hint="eastAsia"/>
        </w:rPr>
        <w:t>承包人未能按14.12.3款的约定，结清应付给发包人的竣工结算中的款项余额时，发包人有</w:t>
      </w:r>
    </w:p>
    <w:p>
      <w:pPr>
        <w:pStyle w:val="2"/>
        <w:ind w:left="0"/>
      </w:pPr>
      <w:r>
        <w:rPr>
          <w:rFonts w:hint="eastAsia"/>
        </w:rPr>
        <w:t>权从承包人根据14.2.1款约定提交的履约保函中扣减该款项的余额。</w:t>
      </w:r>
    </w:p>
    <w:p>
      <w:pPr>
        <w:pStyle w:val="2"/>
      </w:pPr>
      <w:r>
        <w:rPr>
          <w:rFonts w:hint="eastAsia"/>
        </w:rPr>
        <w:t>履约保函的金额不足以抵偿时，承包人应从最终竣工结算资料提交之后的31日起，支付拖欠的竣</w:t>
      </w:r>
    </w:p>
    <w:p>
      <w:pPr>
        <w:pStyle w:val="2"/>
        <w:ind w:left="0"/>
      </w:pPr>
      <w:r>
        <w:rPr>
          <w:rFonts w:hint="eastAsia"/>
        </w:rPr>
        <w:t>工结算款项的余额，并按中国人民银行同期同类贷款利率支付相应利息。承包人在最终竣工结算资料提交后的90日内仍未支付时，发包人有权根据第16.3款争议和裁决的约定解决。</w:t>
      </w:r>
    </w:p>
    <w:p>
      <w:pPr>
        <w:pStyle w:val="2"/>
        <w:numPr>
          <w:ilvl w:val="0"/>
          <w:numId w:val="43"/>
        </w:numPr>
      </w:pPr>
      <w:r>
        <w:rPr>
          <w:rFonts w:hint="eastAsia"/>
        </w:rPr>
        <w:t>合同未约定履约保函时，承包人应从最终竣工结算资料提交后的第31日起，支付拖欠的竣工</w:t>
      </w:r>
    </w:p>
    <w:p>
      <w:pPr>
        <w:pStyle w:val="2"/>
        <w:ind w:left="0"/>
      </w:pPr>
      <w:r>
        <w:rPr>
          <w:rFonts w:hint="eastAsia"/>
        </w:rPr>
        <w:t>结算款项的余额，并按中国人民银行同期同类贷款利率支付相应利息。如承包人在最终竣工结算资料提交后的90日内仍未支付时，发包人有权根据第16.3款争议和裁决的约定解决。</w:t>
      </w:r>
    </w:p>
    <w:p>
      <w:pPr>
        <w:pStyle w:val="2"/>
      </w:pPr>
      <w:r>
        <w:rPr>
          <w:rFonts w:hint="eastAsia"/>
        </w:rPr>
        <w:t>14.12.8 竣工结算的争议</w:t>
      </w:r>
    </w:p>
    <w:p>
      <w:pPr>
        <w:pStyle w:val="2"/>
      </w:pPr>
      <w:r>
        <w:rPr>
          <w:rFonts w:hint="eastAsia"/>
        </w:rPr>
        <w:t>如在发包人收到承包人递交的竣工结算报告及完整的结算资料后的30日内，双方对工程竣工结算</w:t>
      </w:r>
    </w:p>
    <w:p>
      <w:pPr>
        <w:pStyle w:val="2"/>
        <w:ind w:left="0"/>
      </w:pPr>
      <w:r>
        <w:rPr>
          <w:rFonts w:hint="eastAsia"/>
        </w:rPr>
        <w:t>的价款发生争议时，应共同委托一家具有相应资质等级的工程造价咨询单位进行竣工结算审核，按审核结果，结清竣工结算的款项。审核周期由合同双方与工程造价审核单位约定。对审核结果仍有争议时，依据第 16.3款争议和裁决的约定解决。</w:t>
      </w:r>
    </w:p>
    <w:p>
      <w:pPr>
        <w:pStyle w:val="5"/>
        <w:numPr>
          <w:ilvl w:val="0"/>
          <w:numId w:val="12"/>
        </w:numPr>
      </w:pPr>
      <w:bookmarkStart w:id="164" w:name="bookmark297"/>
      <w:bookmarkStart w:id="165" w:name="bookmark298"/>
      <w:bookmarkStart w:id="166" w:name="bookmark296"/>
      <w:r>
        <w:rPr>
          <w:rFonts w:hint="eastAsia"/>
        </w:rPr>
        <w:t>保险</w:t>
      </w:r>
      <w:bookmarkEnd w:id="164"/>
      <w:bookmarkEnd w:id="165"/>
      <w:bookmarkEnd w:id="166"/>
    </w:p>
    <w:p>
      <w:pPr>
        <w:pStyle w:val="6"/>
        <w:numPr>
          <w:ilvl w:val="1"/>
          <w:numId w:val="12"/>
        </w:numPr>
      </w:pPr>
      <w:r>
        <w:rPr>
          <w:rFonts w:hint="eastAsia"/>
        </w:rPr>
        <w:t>承包人的投保</w:t>
      </w:r>
    </w:p>
    <w:p>
      <w:pPr>
        <w:pStyle w:val="2"/>
      </w:pPr>
      <w:r>
        <w:rPr>
          <w:rFonts w:hint="eastAsia"/>
        </w:rPr>
        <w:t>15.1.1 按适用法律和专用条款约定的投保类别，由承包人投保的保险种类，其投保费用包含在合</w:t>
      </w:r>
    </w:p>
    <w:p>
      <w:pPr>
        <w:pStyle w:val="2"/>
        <w:ind w:left="0"/>
      </w:pPr>
      <w:r>
        <w:rPr>
          <w:rFonts w:hint="eastAsia"/>
        </w:rPr>
        <w:t>同价格中。由承包人投保的保险种类、保险范围、投保金额、保险期限和持续有效的时间等在专用条款中约定。</w:t>
      </w:r>
    </w:p>
    <w:p>
      <w:pPr>
        <w:pStyle w:val="2"/>
        <w:numPr>
          <w:ilvl w:val="0"/>
          <w:numId w:val="44"/>
        </w:numPr>
      </w:pPr>
      <w:r>
        <w:rPr>
          <w:rFonts w:hint="eastAsia"/>
        </w:rPr>
        <w:t>适用法律规定及专用条款约定的，由承包人负责投保的，承包人应依据工程实施阶段的需要</w:t>
      </w:r>
    </w:p>
    <w:p>
      <w:pPr>
        <w:pStyle w:val="2"/>
        <w:ind w:left="0"/>
      </w:pPr>
      <w:r>
        <w:rPr>
          <w:rFonts w:hint="eastAsia"/>
        </w:rPr>
        <w:t>按期投保；</w:t>
      </w:r>
    </w:p>
    <w:p>
      <w:pPr>
        <w:pStyle w:val="2"/>
        <w:numPr>
          <w:ilvl w:val="0"/>
          <w:numId w:val="44"/>
        </w:numPr>
      </w:pPr>
      <w:r>
        <w:rPr>
          <w:rFonts w:hint="eastAsia"/>
        </w:rPr>
        <w:t>在合同执行过程中，新颁布的适用法律规定由承包人投保的强制性保险，根据13条变更和合</w:t>
      </w:r>
    </w:p>
    <w:p>
      <w:pPr>
        <w:pStyle w:val="2"/>
        <w:ind w:left="0"/>
      </w:pPr>
      <w:r>
        <w:rPr>
          <w:rFonts w:hint="eastAsia"/>
        </w:rPr>
        <w:t>同价格调整的约定调整合同价格。</w:t>
      </w:r>
    </w:p>
    <w:p>
      <w:pPr>
        <w:pStyle w:val="2"/>
      </w:pPr>
      <w:r>
        <w:rPr>
          <w:rFonts w:hint="eastAsia"/>
        </w:rPr>
        <w:t>15.1.2 保险单对联合被保险人提供保险时，保险赔偿对每个联合被保险人分别施用。承包人应代</w:t>
      </w:r>
    </w:p>
    <w:p>
      <w:pPr>
        <w:pStyle w:val="2"/>
        <w:ind w:left="0"/>
      </w:pPr>
      <w:r>
        <w:rPr>
          <w:rFonts w:hint="eastAsia"/>
        </w:rPr>
        <w:t>表自己的被保险人，保证其被保险人遵守保险单约定的条件及其赔偿金额。</w:t>
      </w:r>
    </w:p>
    <w:p>
      <w:pPr>
        <w:pStyle w:val="2"/>
      </w:pPr>
      <w:r>
        <w:rPr>
          <w:rFonts w:hint="eastAsia"/>
        </w:rPr>
        <w:t>15.1.3 承包人从保险人收到的理赔款项，应用于保单约定的损失、损害、伤害的修复、购置、重</w:t>
      </w:r>
    </w:p>
    <w:p>
      <w:pPr>
        <w:pStyle w:val="2"/>
        <w:ind w:left="0"/>
      </w:pPr>
      <w:r>
        <w:rPr>
          <w:rFonts w:hint="eastAsia"/>
        </w:rPr>
        <w:t>建和赔偿。</w:t>
      </w:r>
    </w:p>
    <w:p>
      <w:pPr>
        <w:pStyle w:val="2"/>
      </w:pPr>
      <w:r>
        <w:rPr>
          <w:rFonts w:hint="eastAsia"/>
        </w:rPr>
        <w:t>15.1.4 承包人应在投保项目及其投保期限内，向发包人提供保险单副本、保费支付单据复印件和</w:t>
      </w:r>
    </w:p>
    <w:p>
      <w:pPr>
        <w:pStyle w:val="2"/>
        <w:ind w:left="0"/>
      </w:pPr>
      <w:r>
        <w:rPr>
          <w:rFonts w:hint="eastAsia"/>
        </w:rPr>
        <w:t>保险单生效的证明。</w:t>
      </w:r>
    </w:p>
    <w:p>
      <w:pPr>
        <w:pStyle w:val="2"/>
      </w:pPr>
      <w:r>
        <w:rPr>
          <w:rFonts w:hint="eastAsia"/>
        </w:rPr>
        <w:t>承包人未提交上述证明文件的，视为未按合同约定投保，发包人可以自己名义投保相应保险，由此</w:t>
      </w:r>
    </w:p>
    <w:p>
      <w:pPr>
        <w:pStyle w:val="2"/>
        <w:ind w:left="0"/>
      </w:pPr>
      <w:r>
        <w:rPr>
          <w:rFonts w:hint="eastAsia"/>
        </w:rPr>
        <w:t>引起的费用及理赔损失，由承包人承担。</w:t>
      </w:r>
    </w:p>
    <w:p>
      <w:pPr>
        <w:pStyle w:val="6"/>
        <w:numPr>
          <w:ilvl w:val="1"/>
          <w:numId w:val="12"/>
        </w:numPr>
      </w:pPr>
      <w:r>
        <w:rPr>
          <w:rFonts w:hint="eastAsia"/>
        </w:rPr>
        <w:t>一切险和第三方责任险</w:t>
      </w:r>
    </w:p>
    <w:p>
      <w:pPr>
        <w:pStyle w:val="2"/>
      </w:pPr>
      <w:r>
        <w:rPr>
          <w:rFonts w:hint="eastAsia"/>
        </w:rPr>
        <w:t>对于建筑工程一切险、安装工程一切险和第三者责任险，无论应投保方是任何一方，其在投保时均</w:t>
      </w:r>
    </w:p>
    <w:p>
      <w:pPr>
        <w:pStyle w:val="2"/>
        <w:ind w:left="0"/>
      </w:pPr>
      <w:r>
        <w:rPr>
          <w:rFonts w:hint="eastAsia"/>
        </w:rPr>
        <w:t>应将本合同的另一方、本合同项下分包商、供货商、服务商同时列为保险合同项下的被保险人。具体的应投保方在专用条款中约定。</w:t>
      </w:r>
    </w:p>
    <w:p>
      <w:pPr>
        <w:pStyle w:val="6"/>
        <w:numPr>
          <w:ilvl w:val="1"/>
          <w:numId w:val="12"/>
        </w:numPr>
      </w:pPr>
      <w:r>
        <w:rPr>
          <w:rFonts w:hint="eastAsia"/>
        </w:rPr>
        <w:t>保险的其它规定</w:t>
      </w:r>
    </w:p>
    <w:p>
      <w:pPr>
        <w:pStyle w:val="2"/>
      </w:pPr>
      <w:r>
        <w:rPr>
          <w:rFonts w:hint="eastAsia"/>
        </w:rPr>
        <w:t>15.3.1 由承包人负责釆购运输的设备、材料、部件的运输险，由承包人投保。此项保险费用已包</w:t>
      </w:r>
    </w:p>
    <w:p>
      <w:pPr>
        <w:pStyle w:val="2"/>
        <w:ind w:left="0"/>
      </w:pPr>
      <w:r>
        <w:rPr>
          <w:rFonts w:hint="eastAsia"/>
        </w:rPr>
        <w:t>含在合同价格中，专用条款中另有约定时除外。</w:t>
      </w:r>
    </w:p>
    <w:p>
      <w:pPr>
        <w:pStyle w:val="2"/>
      </w:pPr>
      <w:r>
        <w:rPr>
          <w:rFonts w:hint="eastAsia"/>
        </w:rPr>
        <w:t>15.3.2 保险事项的意外事件发生时，在场的各方均有责任努力釆取必要措施，防止损失、损害的</w:t>
      </w:r>
    </w:p>
    <w:p>
      <w:pPr>
        <w:pStyle w:val="2"/>
        <w:ind w:left="0"/>
      </w:pPr>
      <w:r>
        <w:rPr>
          <w:rFonts w:hint="eastAsia"/>
        </w:rPr>
        <w:t>扩大。</w:t>
      </w:r>
    </w:p>
    <w:p>
      <w:pPr>
        <w:pStyle w:val="2"/>
      </w:pPr>
      <w:r>
        <w:rPr>
          <w:rFonts w:hint="eastAsia"/>
        </w:rPr>
        <w:t>15.3.3 本合同约定以外的险种，根据各自的需要自行投保，保险费用由各自承担。</w:t>
      </w:r>
    </w:p>
    <w:p>
      <w:pPr>
        <w:pStyle w:val="5"/>
        <w:numPr>
          <w:ilvl w:val="0"/>
          <w:numId w:val="12"/>
        </w:numPr>
      </w:pPr>
      <w:bookmarkStart w:id="167" w:name="bookmark303"/>
      <w:bookmarkStart w:id="168" w:name="bookmark301"/>
      <w:bookmarkStart w:id="169" w:name="bookmark302"/>
      <w:r>
        <w:rPr>
          <w:rFonts w:hint="eastAsia"/>
        </w:rPr>
        <w:t>违约、索赔和争议</w:t>
      </w:r>
      <w:bookmarkEnd w:id="167"/>
      <w:bookmarkEnd w:id="168"/>
      <w:bookmarkEnd w:id="169"/>
    </w:p>
    <w:p>
      <w:pPr>
        <w:pStyle w:val="6"/>
        <w:numPr>
          <w:ilvl w:val="1"/>
          <w:numId w:val="12"/>
        </w:numPr>
      </w:pPr>
      <w:r>
        <w:rPr>
          <w:rFonts w:hint="eastAsia"/>
        </w:rPr>
        <w:t>违约责任</w:t>
      </w:r>
    </w:p>
    <w:p>
      <w:pPr>
        <w:pStyle w:val="2"/>
      </w:pPr>
      <w:r>
        <w:rPr>
          <w:rFonts w:hint="eastAsia"/>
        </w:rPr>
        <w:t>16.1.1 发包人的违约责任</w:t>
      </w:r>
    </w:p>
    <w:p>
      <w:pPr>
        <w:pStyle w:val="2"/>
      </w:pPr>
      <w:r>
        <w:rPr>
          <w:rFonts w:hint="eastAsia"/>
        </w:rPr>
        <w:t>当发生下列情况时：</w:t>
      </w:r>
    </w:p>
    <w:p>
      <w:pPr>
        <w:pStyle w:val="2"/>
      </w:pPr>
      <w:bookmarkStart w:id="170" w:name="bookmark304"/>
      <w:bookmarkEnd w:id="170"/>
      <w:r>
        <w:rPr>
          <w:rFonts w:hint="eastAsia"/>
        </w:rPr>
        <w:t>发包人未能履行5.1.2款、5.2.1款第(1)、(2)项的约定，未能按时提供真实、准确、齐全的工艺</w:t>
      </w:r>
    </w:p>
    <w:p>
      <w:pPr>
        <w:pStyle w:val="2"/>
        <w:ind w:left="0"/>
      </w:pPr>
      <w:r>
        <w:rPr>
          <w:rFonts w:hint="eastAsia"/>
        </w:rPr>
        <w:t>技术和(或)建筑设计方案、项目基础资料和现场障碍资料；</w:t>
      </w:r>
    </w:p>
    <w:p>
      <w:pPr>
        <w:pStyle w:val="2"/>
      </w:pPr>
      <w:bookmarkStart w:id="171" w:name="bookmark305"/>
      <w:bookmarkEnd w:id="171"/>
      <w:r>
        <w:rPr>
          <w:rFonts w:hint="eastAsia"/>
        </w:rPr>
        <w:t>发包人未能按13条的约定调整合同价格，未能按14条有关预付款、工程进度款、竣工结算约定的</w:t>
      </w:r>
    </w:p>
    <w:p>
      <w:pPr>
        <w:pStyle w:val="2"/>
        <w:ind w:left="0"/>
      </w:pPr>
      <w:r>
        <w:rPr>
          <w:rFonts w:hint="eastAsia"/>
        </w:rPr>
        <w:t>款项类别、金额、承包人指定的账户和时间支付相应款项；</w:t>
      </w:r>
    </w:p>
    <w:p>
      <w:pPr>
        <w:pStyle w:val="2"/>
      </w:pPr>
      <w:bookmarkStart w:id="172" w:name="bookmark306"/>
      <w:bookmarkEnd w:id="172"/>
      <w:r>
        <w:rPr>
          <w:rFonts w:hint="eastAsia"/>
        </w:rPr>
        <w:t>发包人未能履行合同中约定的其它责任和义务。</w:t>
      </w:r>
    </w:p>
    <w:p>
      <w:pPr>
        <w:pStyle w:val="2"/>
      </w:pPr>
      <w:r>
        <w:rPr>
          <w:rFonts w:hint="eastAsia"/>
        </w:rPr>
        <w:t>发包人应釆取补救措施，并赔偿因上述违约行为给承包人造成的损失。因其违约行为造成工程关键</w:t>
      </w:r>
    </w:p>
    <w:p>
      <w:pPr>
        <w:pStyle w:val="2"/>
        <w:ind w:left="0"/>
      </w:pPr>
      <w:r>
        <w:rPr>
          <w:rFonts w:hint="eastAsia"/>
        </w:rPr>
        <w:t>路径延误时，竣工日期顺延。发包人承担违约责任，并不能减轻或免除合同中约定的应由发包人继续履行的其它责任和义务。</w:t>
      </w:r>
    </w:p>
    <w:p>
      <w:pPr>
        <w:pStyle w:val="2"/>
      </w:pPr>
      <w:r>
        <w:rPr>
          <w:rFonts w:hint="eastAsia"/>
        </w:rPr>
        <w:t>16.1.2 承包人的违约责任</w:t>
      </w:r>
    </w:p>
    <w:p>
      <w:pPr>
        <w:pStyle w:val="2"/>
      </w:pPr>
      <w:r>
        <w:rPr>
          <w:rFonts w:hint="eastAsia"/>
        </w:rPr>
        <w:t>当发生下列情况时：</w:t>
      </w:r>
    </w:p>
    <w:p>
      <w:pPr>
        <w:pStyle w:val="2"/>
      </w:pPr>
      <w:bookmarkStart w:id="173" w:name="bookmark307"/>
      <w:bookmarkEnd w:id="173"/>
      <w:r>
        <w:rPr>
          <w:rFonts w:hint="eastAsia"/>
        </w:rPr>
        <w:t>承包人未能履行第6.2款对其提供的工程物资进行检验的约定、7.5款 施工质量与检验的约定，未</w:t>
      </w:r>
    </w:p>
    <w:p>
      <w:pPr>
        <w:pStyle w:val="2"/>
        <w:ind w:left="0"/>
      </w:pPr>
      <w:r>
        <w:rPr>
          <w:rFonts w:hint="eastAsia"/>
        </w:rPr>
        <w:t>能修复缺陷；</w:t>
      </w:r>
    </w:p>
    <w:p>
      <w:pPr>
        <w:pStyle w:val="2"/>
      </w:pPr>
      <w:bookmarkStart w:id="174" w:name="bookmark308"/>
      <w:bookmarkEnd w:id="174"/>
      <w:r>
        <w:rPr>
          <w:rFonts w:hint="eastAsia"/>
        </w:rPr>
        <w:t>承包人经三次试验仍未能通过竣工试验、或经三次试验仍未能通过竣工后试验，导致的工程任何主</w:t>
      </w:r>
    </w:p>
    <w:p>
      <w:pPr>
        <w:pStyle w:val="2"/>
        <w:ind w:left="0"/>
      </w:pPr>
      <w:r>
        <w:rPr>
          <w:rFonts w:hint="eastAsia"/>
        </w:rPr>
        <w:t>要部分或整个工程丧失了使用价值、生产价值、使用利益；</w:t>
      </w:r>
    </w:p>
    <w:p>
      <w:pPr>
        <w:pStyle w:val="2"/>
      </w:pPr>
      <w:bookmarkStart w:id="175" w:name="bookmark309"/>
      <w:r>
        <w:rPr>
          <w:rFonts w:hint="eastAsia"/>
          <w:lang w:val="zh-CN"/>
        </w:rPr>
        <w:t>（</w:t>
      </w:r>
      <w:bookmarkEnd w:id="175"/>
      <w:r>
        <w:rPr>
          <w:rFonts w:hint="eastAsia"/>
          <w:lang w:val="zh-CN"/>
        </w:rPr>
        <w:t>3）</w:t>
      </w:r>
      <w:r>
        <w:rPr>
          <w:rFonts w:hint="eastAsia"/>
        </w:rPr>
        <w:t>承包人未经发包人同意、或未经必要的许可、或适用法律不允许分包的，将工程分包给他人；</w:t>
      </w:r>
    </w:p>
    <w:p>
      <w:pPr>
        <w:pStyle w:val="2"/>
      </w:pPr>
      <w:bookmarkStart w:id="176" w:name="bookmark310"/>
      <w:r>
        <w:rPr>
          <w:rFonts w:hint="eastAsia"/>
        </w:rPr>
        <w:t>（</w:t>
      </w:r>
      <w:bookmarkEnd w:id="176"/>
      <w:r>
        <w:rPr>
          <w:rFonts w:hint="eastAsia"/>
        </w:rPr>
        <w:t>4）承包人未能履行合同约定的其它责任和义务。</w:t>
      </w:r>
    </w:p>
    <w:p>
      <w:pPr>
        <w:pStyle w:val="2"/>
      </w:pPr>
      <w:r>
        <w:rPr>
          <w:rFonts w:hint="eastAsia"/>
        </w:rPr>
        <w:t>承包人应釆取补救措施，并赔偿因上述违约行为给发包人造成的损失。承包人承担违约责任，并不</w:t>
      </w:r>
    </w:p>
    <w:p>
      <w:pPr>
        <w:pStyle w:val="2"/>
        <w:ind w:left="0"/>
      </w:pPr>
      <w:r>
        <w:rPr>
          <w:rFonts w:hint="eastAsia"/>
        </w:rPr>
        <w:t>能减轻或免除合同中约定的由承包人继续履行的其它责任和义务。</w:t>
      </w:r>
    </w:p>
    <w:p>
      <w:pPr>
        <w:pStyle w:val="6"/>
        <w:numPr>
          <w:ilvl w:val="1"/>
          <w:numId w:val="12"/>
        </w:numPr>
      </w:pPr>
      <w:r>
        <w:rPr>
          <w:rFonts w:hint="eastAsia"/>
          <w:lang w:val="zh-TW" w:eastAsia="zh-TW"/>
        </w:rPr>
        <w:t>索赔</w:t>
      </w:r>
    </w:p>
    <w:p>
      <w:pPr>
        <w:pStyle w:val="2"/>
      </w:pPr>
      <w:r>
        <w:rPr>
          <w:rFonts w:hint="eastAsia"/>
        </w:rPr>
        <w:t>16.2.1 发包人的索赔</w:t>
      </w:r>
    </w:p>
    <w:p>
      <w:pPr>
        <w:pStyle w:val="2"/>
      </w:pPr>
      <w:r>
        <w:rPr>
          <w:rFonts w:hint="eastAsia"/>
        </w:rPr>
        <w:t>发包人认为，承包人未能履行合同约定的职责、责任、义务，且根据本合同约定、与本合同有关的</w:t>
      </w:r>
    </w:p>
    <w:p>
      <w:pPr>
        <w:pStyle w:val="2"/>
        <w:ind w:left="0"/>
      </w:pPr>
      <w:r>
        <w:rPr>
          <w:rFonts w:hint="eastAsia"/>
        </w:rPr>
        <w:t>文件、资料的相关情况与事项，承包人应承担损失、损害 赔偿责任，但承包人未能按合同约定履行其赔偿责任时，发包人有权向承包人提出索赔。索赔依据法律及合同约定，并遵循如下程序进行：</w:t>
      </w:r>
    </w:p>
    <w:p>
      <w:pPr>
        <w:pStyle w:val="2"/>
      </w:pPr>
      <w:r>
        <w:rPr>
          <w:rFonts w:hint="eastAsia"/>
        </w:rPr>
        <w:t>（1）发包人应在索赔事件发生后的30日内，向承包人送交索赔通知。未能在索赔事件发生后的</w:t>
      </w:r>
    </w:p>
    <w:p>
      <w:pPr>
        <w:pStyle w:val="2"/>
        <w:ind w:left="0"/>
      </w:pPr>
      <w:r>
        <w:rPr>
          <w:rFonts w:hint="eastAsia"/>
        </w:rPr>
        <w:t>30日内发出索赔通知，承包人不再承担任何责任，法律另有规定的除外；</w:t>
      </w:r>
    </w:p>
    <w:p>
      <w:pPr>
        <w:pStyle w:val="2"/>
      </w:pPr>
      <w:r>
        <w:rPr>
          <w:rFonts w:hint="eastAsia"/>
        </w:rPr>
        <w:t>（2）发包人应在发出索赔通知后的30日内，以书面形式向承包人提供说明 索赔事件的正当理由、</w:t>
      </w:r>
    </w:p>
    <w:p>
      <w:pPr>
        <w:pStyle w:val="2"/>
        <w:ind w:left="0"/>
      </w:pPr>
      <w:r>
        <w:rPr>
          <w:rFonts w:hint="eastAsia"/>
        </w:rPr>
        <w:t>条款根据、有效的可证实的证据和索赔估算等相关资料；</w:t>
      </w:r>
    </w:p>
    <w:p>
      <w:pPr>
        <w:pStyle w:val="2"/>
        <w:numPr>
          <w:ilvl w:val="0"/>
          <w:numId w:val="44"/>
        </w:numPr>
      </w:pPr>
      <w:r>
        <w:rPr>
          <w:rFonts w:hint="eastAsia"/>
        </w:rPr>
        <w:t>承包人应在收到发包人送交的索赔资料后30日内与发包人协商解决，或给予答复，或要求发</w:t>
      </w:r>
    </w:p>
    <w:p>
      <w:pPr>
        <w:pStyle w:val="2"/>
        <w:ind w:left="0"/>
      </w:pPr>
      <w:r>
        <w:rPr>
          <w:rFonts w:hint="eastAsia"/>
        </w:rPr>
        <w:t>包人进一步补充提供索赔的理由和证据；</w:t>
      </w:r>
    </w:p>
    <w:p>
      <w:pPr>
        <w:pStyle w:val="2"/>
        <w:numPr>
          <w:ilvl w:val="0"/>
          <w:numId w:val="44"/>
        </w:numPr>
      </w:pPr>
      <w:r>
        <w:rPr>
          <w:rFonts w:hint="eastAsia"/>
        </w:rPr>
        <w:t>承包人在收到发包人送交的索赔资料后30日内未与发包人协商、未予答复、或未向发包人提</w:t>
      </w:r>
    </w:p>
    <w:p>
      <w:pPr>
        <w:pStyle w:val="2"/>
        <w:ind w:left="0"/>
      </w:pPr>
      <w:r>
        <w:rPr>
          <w:rFonts w:hint="eastAsia"/>
        </w:rPr>
        <w:t>出进一步要求，视为该项索赔已被承包人认可。</w:t>
      </w:r>
    </w:p>
    <w:p>
      <w:pPr>
        <w:pStyle w:val="2"/>
        <w:numPr>
          <w:ilvl w:val="0"/>
          <w:numId w:val="44"/>
        </w:numPr>
      </w:pPr>
      <w:r>
        <w:rPr>
          <w:rFonts w:hint="eastAsia"/>
        </w:rPr>
        <w:t>当发包人提出的索赔事件持续影响时，发包人每周应向承包人发出索赔事件的延续影响情况，</w:t>
      </w:r>
    </w:p>
    <w:p>
      <w:pPr>
        <w:pStyle w:val="2"/>
        <w:ind w:left="0"/>
      </w:pPr>
      <w:r>
        <w:rPr>
          <w:rFonts w:hint="eastAsia"/>
        </w:rPr>
        <w:t>在该索赔事件延续影响停止后的30日内，发包人应向承包人送交最终索赔报告和最终索赔估算。索赔程序与本款第（1）项至第（4）项的约定相同。</w:t>
      </w:r>
    </w:p>
    <w:p>
      <w:pPr>
        <w:pStyle w:val="2"/>
      </w:pPr>
      <w:r>
        <w:rPr>
          <w:rFonts w:hint="eastAsia"/>
        </w:rPr>
        <w:t>16.2.2 承包人的索赔</w:t>
      </w:r>
    </w:p>
    <w:p>
      <w:pPr>
        <w:pStyle w:val="2"/>
      </w:pPr>
      <w:r>
        <w:rPr>
          <w:rFonts w:hint="eastAsia"/>
        </w:rPr>
        <w:t>承包人认为，发包人未能履行合同约定的职责、责任和义务，且根据本合同的任何条款的约定、与</w:t>
      </w:r>
    </w:p>
    <w:p>
      <w:pPr>
        <w:pStyle w:val="2"/>
        <w:ind w:left="0"/>
      </w:pPr>
      <w:r>
        <w:rPr>
          <w:rFonts w:hint="eastAsia"/>
        </w:rPr>
        <w:t>本合同有关的文件、资料的相关情况和事项，发包人应承担损失、损害赔偿责任及延长竣工日期的，发包人未能按合同约定履行其赔偿义务或延长竣工日期时，承包人有权向发包人提出索赔。索赔依据法律和合同约定，并遵循如下程序进行：</w:t>
      </w:r>
    </w:p>
    <w:p>
      <w:pPr>
        <w:pStyle w:val="2"/>
        <w:numPr>
          <w:ilvl w:val="0"/>
          <w:numId w:val="45"/>
        </w:numPr>
      </w:pPr>
      <w:r>
        <w:rPr>
          <w:rFonts w:hint="eastAsia"/>
        </w:rPr>
        <w:t>承包人应在索赔事件发生后30日内，向发包人发出索赔通知。未在索赔事件发生后的30日</w:t>
      </w:r>
    </w:p>
    <w:p>
      <w:pPr>
        <w:pStyle w:val="2"/>
        <w:ind w:left="0"/>
      </w:pPr>
      <w:r>
        <w:rPr>
          <w:rFonts w:hint="eastAsia"/>
        </w:rPr>
        <w:t>内发出索赔通知，发包人不再承担任何责任，法律另有规定除外；</w:t>
      </w:r>
    </w:p>
    <w:p>
      <w:pPr>
        <w:pStyle w:val="2"/>
        <w:numPr>
          <w:ilvl w:val="0"/>
          <w:numId w:val="45"/>
        </w:numPr>
      </w:pPr>
      <w:r>
        <w:rPr>
          <w:rFonts w:hint="eastAsia"/>
        </w:rPr>
        <w:t>承包人应在发出索赔事件通知后的30日内，以书面形式向发包人提交说明索赔事件的正当理</w:t>
      </w:r>
    </w:p>
    <w:p>
      <w:pPr>
        <w:pStyle w:val="2"/>
        <w:ind w:left="0"/>
      </w:pPr>
      <w:r>
        <w:rPr>
          <w:rFonts w:hint="eastAsia"/>
        </w:rPr>
        <w:t>由、条款根据、有效的可证实的证据和索赔估算资料的报告；</w:t>
      </w:r>
    </w:p>
    <w:p>
      <w:pPr>
        <w:pStyle w:val="2"/>
        <w:numPr>
          <w:ilvl w:val="0"/>
          <w:numId w:val="45"/>
        </w:numPr>
      </w:pPr>
      <w:bookmarkStart w:id="177" w:name="bookmark318"/>
      <w:bookmarkEnd w:id="177"/>
      <w:r>
        <w:rPr>
          <w:rFonts w:hint="eastAsia"/>
        </w:rPr>
        <w:t>发包人应在收到承包人送交的有关索赔资料的报告后30日内与承包人协商解决，或给予答复，</w:t>
      </w:r>
    </w:p>
    <w:p>
      <w:pPr>
        <w:pStyle w:val="2"/>
        <w:ind w:left="0"/>
      </w:pPr>
      <w:r>
        <w:rPr>
          <w:rFonts w:hint="eastAsia"/>
        </w:rPr>
        <w:t>或要求承包人进一步补充索赔理由和证据；</w:t>
      </w:r>
    </w:p>
    <w:p>
      <w:pPr>
        <w:pStyle w:val="2"/>
        <w:numPr>
          <w:ilvl w:val="0"/>
          <w:numId w:val="45"/>
        </w:numPr>
      </w:pPr>
      <w:bookmarkStart w:id="178" w:name="bookmark319"/>
      <w:bookmarkEnd w:id="178"/>
      <w:r>
        <w:rPr>
          <w:rFonts w:hint="eastAsia"/>
        </w:rPr>
        <w:t>发包人在收到承包人按本款第(3)项提交的报告和补充资料后的30 日内未与承包人协商、或</w:t>
      </w:r>
    </w:p>
    <w:p>
      <w:pPr>
        <w:pStyle w:val="2"/>
        <w:ind w:left="0"/>
      </w:pPr>
      <w:r>
        <w:rPr>
          <w:rFonts w:hint="eastAsia"/>
        </w:rPr>
        <w:t>未予答复、或未向承包人提出进一步补充要求，视为该项索赔已被发包人认可。</w:t>
      </w:r>
    </w:p>
    <w:p>
      <w:pPr>
        <w:pStyle w:val="2"/>
        <w:numPr>
          <w:ilvl w:val="0"/>
          <w:numId w:val="45"/>
        </w:numPr>
      </w:pPr>
      <w:bookmarkStart w:id="179" w:name="bookmark320"/>
      <w:bookmarkEnd w:id="179"/>
      <w:r>
        <w:rPr>
          <w:rFonts w:hint="eastAsia"/>
        </w:rPr>
        <w:t>当承包人提出的索赔事件持续影响时，承包人每周应向发包人发出索赔事件的延续影响情况，</w:t>
      </w:r>
    </w:p>
    <w:p>
      <w:pPr>
        <w:pStyle w:val="2"/>
        <w:ind w:left="0"/>
      </w:pPr>
      <w:r>
        <w:rPr>
          <w:rFonts w:hint="eastAsia"/>
        </w:rPr>
        <w:t>在该索赔事件延续影响停止后的30日内，承包人向发包人送交最终索赔报告和最终索赔估算。索赔程序与本款第(1)项至第(4)项的约定相同。</w:t>
      </w:r>
    </w:p>
    <w:p>
      <w:pPr>
        <w:pStyle w:val="6"/>
        <w:numPr>
          <w:ilvl w:val="1"/>
          <w:numId w:val="12"/>
        </w:numPr>
      </w:pPr>
      <w:r>
        <w:rPr>
          <w:rFonts w:hint="eastAsia"/>
        </w:rPr>
        <w:t>争议和裁决</w:t>
      </w:r>
    </w:p>
    <w:p>
      <w:pPr>
        <w:pStyle w:val="2"/>
      </w:pPr>
      <w:r>
        <w:rPr>
          <w:rFonts w:hint="eastAsia"/>
        </w:rPr>
        <w:t>16.3.1 争议的解决程序</w:t>
      </w:r>
    </w:p>
    <w:p>
      <w:pPr>
        <w:pStyle w:val="2"/>
      </w:pPr>
      <w:r>
        <w:rPr>
          <w:rFonts w:hint="eastAsia"/>
        </w:rPr>
        <w:t>根据本合同或与本合同相关的事项所发生的任何索赔争议，合同双方首先应通过友好协商解决。争</w:t>
      </w:r>
    </w:p>
    <w:p>
      <w:pPr>
        <w:pStyle w:val="2"/>
        <w:ind w:left="0"/>
      </w:pPr>
      <w:r>
        <w:rPr>
          <w:rFonts w:hint="eastAsia"/>
        </w:rPr>
        <w:t>议的一方，应以书面形式通知另一方，说明争议的内容、细节及因由。在上述书面通知发出之日起的30日内，经友好协商后仍存争议时，合同双方可提请双方一致同意的工程所在地有关单位或权威机构对此项争议进行调解；在争议提交调解之日起30日内，双方仍存争议时，或合同任何一方不同意调解的，按专用条款的约定通过仲裁或诉讼方式解决争议事项。</w:t>
      </w:r>
    </w:p>
    <w:p>
      <w:pPr>
        <w:pStyle w:val="2"/>
      </w:pPr>
      <w:r>
        <w:rPr>
          <w:rFonts w:hint="eastAsia"/>
        </w:rPr>
        <w:t>16.3.2 争议不应影响履约</w:t>
      </w:r>
    </w:p>
    <w:p>
      <w:pPr>
        <w:pStyle w:val="2"/>
      </w:pPr>
      <w:r>
        <w:rPr>
          <w:rFonts w:hint="eastAsia"/>
        </w:rPr>
        <w:t>发生争议后，须继续履行其合同约定的责任和义务，保持工程继续实施。除非出现下列情况，任何</w:t>
      </w:r>
    </w:p>
    <w:p>
      <w:pPr>
        <w:pStyle w:val="2"/>
        <w:ind w:left="0"/>
      </w:pPr>
      <w:r>
        <w:rPr>
          <w:rFonts w:hint="eastAsia"/>
        </w:rPr>
        <w:t>一方不得停止工程或部分工程的实施，</w:t>
      </w:r>
    </w:p>
    <w:p>
      <w:pPr>
        <w:pStyle w:val="2"/>
      </w:pPr>
      <w:bookmarkStart w:id="180" w:name="bookmark321"/>
      <w:bookmarkEnd w:id="180"/>
      <w:r>
        <w:rPr>
          <w:rFonts w:hint="eastAsia"/>
        </w:rPr>
        <w:t>（1）当事人一方违约导致合同确已无法履行，经合同双方协议停止实施；</w:t>
      </w:r>
    </w:p>
    <w:p>
      <w:pPr>
        <w:pStyle w:val="2"/>
      </w:pPr>
      <w:bookmarkStart w:id="181" w:name="bookmark322"/>
      <w:bookmarkEnd w:id="181"/>
      <w:r>
        <w:rPr>
          <w:rFonts w:hint="eastAsia"/>
        </w:rPr>
        <w:t>（2）仲裁机构或法院责令停止实施。</w:t>
      </w:r>
    </w:p>
    <w:p>
      <w:pPr>
        <w:pStyle w:val="2"/>
      </w:pPr>
      <w:r>
        <w:rPr>
          <w:rFonts w:hint="eastAsia"/>
        </w:rPr>
        <w:t>16.3.3 停止实施的工程保护</w:t>
      </w:r>
    </w:p>
    <w:p>
      <w:pPr>
        <w:pStyle w:val="2"/>
      </w:pPr>
      <w:r>
        <w:rPr>
          <w:rFonts w:hint="eastAsia"/>
        </w:rPr>
        <w:t>根据16.3.2款约定，停止实施工程或部分工程时,双方应按合同约定的职责、责任和义务，保护好</w:t>
      </w:r>
    </w:p>
    <w:p>
      <w:pPr>
        <w:pStyle w:val="2"/>
        <w:ind w:left="0"/>
      </w:pPr>
      <w:r>
        <w:rPr>
          <w:rFonts w:hint="eastAsia"/>
        </w:rPr>
        <w:t>与合同工程有关的各种文件、资料、图纸、已完工程，以及尚未使用的工程物资。</w:t>
      </w:r>
    </w:p>
    <w:p>
      <w:pPr>
        <w:pStyle w:val="5"/>
        <w:numPr>
          <w:ilvl w:val="0"/>
          <w:numId w:val="12"/>
        </w:numPr>
      </w:pPr>
      <w:bookmarkStart w:id="182" w:name="bookmark324"/>
      <w:bookmarkStart w:id="183" w:name="bookmark323"/>
      <w:bookmarkStart w:id="184" w:name="bookmark325"/>
      <w:r>
        <w:rPr>
          <w:rFonts w:hint="eastAsia"/>
        </w:rPr>
        <w:t>不可抗力</w:t>
      </w:r>
      <w:bookmarkEnd w:id="182"/>
      <w:bookmarkEnd w:id="183"/>
      <w:bookmarkEnd w:id="184"/>
    </w:p>
    <w:p>
      <w:pPr>
        <w:pStyle w:val="6"/>
        <w:numPr>
          <w:ilvl w:val="1"/>
          <w:numId w:val="12"/>
        </w:numPr>
      </w:pPr>
      <w:r>
        <w:rPr>
          <w:rFonts w:hint="eastAsia"/>
        </w:rPr>
        <w:t>不可抗力发生时的义务</w:t>
      </w:r>
    </w:p>
    <w:p>
      <w:pPr>
        <w:pStyle w:val="2"/>
      </w:pPr>
      <w:r>
        <w:rPr>
          <w:rFonts w:hint="eastAsia"/>
        </w:rPr>
        <w:t xml:space="preserve">17.1.1 </w:t>
      </w:r>
      <w:r>
        <w:rPr>
          <w:rFonts w:hint="eastAsia"/>
          <w:lang w:val="zh-TW" w:eastAsia="zh-TW"/>
        </w:rPr>
        <w:t>通知义务</w:t>
      </w:r>
    </w:p>
    <w:p>
      <w:pPr>
        <w:pStyle w:val="2"/>
      </w:pPr>
      <w:r>
        <w:rPr>
          <w:rFonts w:hint="eastAsia"/>
        </w:rPr>
        <w:t>觉察或发现不可抗力事件发生的一方，有义务立即通知另一方。根据本合同约定，工程现场照管的</w:t>
      </w:r>
    </w:p>
    <w:p>
      <w:pPr>
        <w:pStyle w:val="2"/>
        <w:ind w:left="0"/>
      </w:pPr>
      <w:r>
        <w:rPr>
          <w:rFonts w:hint="eastAsia"/>
        </w:rPr>
        <w:t>责任方，在不可抗力事件发生时，应在力所能及的条件下迅速釆取措施，尽力减少损失；另一方全力协助并釆取措施。需暂停实施的施工或工作，立即停止。</w:t>
      </w:r>
    </w:p>
    <w:p>
      <w:pPr>
        <w:pStyle w:val="2"/>
      </w:pPr>
      <w:r>
        <w:rPr>
          <w:rFonts w:hint="eastAsia"/>
        </w:rPr>
        <w:t xml:space="preserve">17.1.2 </w:t>
      </w:r>
      <w:r>
        <w:rPr>
          <w:rFonts w:hint="eastAsia"/>
          <w:lang w:val="zh-TW" w:eastAsia="zh-TW"/>
        </w:rPr>
        <w:t>通报义务</w:t>
      </w:r>
    </w:p>
    <w:p>
      <w:pPr>
        <w:pStyle w:val="2"/>
      </w:pPr>
      <w:r>
        <w:rPr>
          <w:rFonts w:hint="eastAsia"/>
        </w:rPr>
        <w:t>工程现场发生不可抗力时，在不可抗力事件结束后的48小时内，承包人(如为工程现场的照管方)</w:t>
      </w:r>
    </w:p>
    <w:p>
      <w:pPr>
        <w:pStyle w:val="2"/>
        <w:ind w:left="0"/>
      </w:pPr>
      <w:r>
        <w:rPr>
          <w:rFonts w:hint="eastAsia"/>
        </w:rPr>
        <w:t>须向发包人通报受害和损失情况。当不可抗力事件持续发生时，承包人每周应向发包人和工程总监报告受害情况。对报告周期另有约定时除外。</w:t>
      </w:r>
    </w:p>
    <w:p>
      <w:pPr>
        <w:pStyle w:val="6"/>
        <w:numPr>
          <w:ilvl w:val="1"/>
          <w:numId w:val="12"/>
        </w:numPr>
      </w:pPr>
      <w:r>
        <w:rPr>
          <w:rFonts w:hint="eastAsia"/>
        </w:rPr>
        <w:t>不可抗力的后果</w:t>
      </w:r>
    </w:p>
    <w:p>
      <w:pPr>
        <w:pStyle w:val="2"/>
      </w:pPr>
      <w:r>
        <w:rPr>
          <w:rFonts w:hint="eastAsia"/>
        </w:rPr>
        <w:t>因不可抗力事件导致的损失、损害、伤害所发生的费用及延误的竣工日期，按如下约定处理：</w:t>
      </w:r>
    </w:p>
    <w:p>
      <w:pPr>
        <w:pStyle w:val="2"/>
      </w:pPr>
      <w:bookmarkStart w:id="185" w:name="bookmark326"/>
      <w:bookmarkEnd w:id="185"/>
      <w:r>
        <w:rPr>
          <w:rFonts w:hint="eastAsia"/>
        </w:rPr>
        <w:t>（1）永久性工程和工程物资等的损失、损害，由发包人承担；</w:t>
      </w:r>
    </w:p>
    <w:p>
      <w:pPr>
        <w:pStyle w:val="2"/>
      </w:pPr>
      <w:bookmarkStart w:id="186" w:name="bookmark327"/>
      <w:bookmarkEnd w:id="186"/>
      <w:r>
        <w:rPr>
          <w:rFonts w:hint="eastAsia"/>
        </w:rPr>
        <w:t>（2）受雇人员的伤害，分别按照各自的雇用合同关系负责处理；</w:t>
      </w:r>
    </w:p>
    <w:p>
      <w:pPr>
        <w:pStyle w:val="2"/>
      </w:pPr>
      <w:bookmarkStart w:id="187" w:name="bookmark328"/>
      <w:bookmarkEnd w:id="187"/>
      <w:r>
        <w:rPr>
          <w:rFonts w:hint="eastAsia"/>
        </w:rPr>
        <w:t>（3）承包人的机具、设备、财产和临时工程的损失、损害，由承包人承担；</w:t>
      </w:r>
    </w:p>
    <w:p>
      <w:pPr>
        <w:pStyle w:val="2"/>
      </w:pPr>
      <w:bookmarkStart w:id="188" w:name="bookmark329"/>
      <w:bookmarkEnd w:id="188"/>
      <w:r>
        <w:rPr>
          <w:rFonts w:hint="eastAsia"/>
        </w:rPr>
        <w:t>（4）承包人的停工损失，由承包人承担；</w:t>
      </w:r>
    </w:p>
    <w:p>
      <w:pPr>
        <w:pStyle w:val="2"/>
      </w:pPr>
      <w:bookmarkStart w:id="189" w:name="bookmark330"/>
      <w:bookmarkEnd w:id="189"/>
      <w:r>
        <w:rPr>
          <w:rFonts w:hint="eastAsia"/>
        </w:rPr>
        <w:t>（5）不可抗力事件发生后，因一方迟延履行合同约定的保护义务导致的延续损失、损害，由迟延</w:t>
      </w:r>
    </w:p>
    <w:p>
      <w:pPr>
        <w:pStyle w:val="2"/>
        <w:ind w:left="0"/>
      </w:pPr>
      <w:r>
        <w:rPr>
          <w:rFonts w:hint="eastAsia"/>
        </w:rPr>
        <w:t>履行义务的一方承担相应责任及其损失；</w:t>
      </w:r>
    </w:p>
    <w:p>
      <w:pPr>
        <w:pStyle w:val="2"/>
        <w:numPr>
          <w:ilvl w:val="0"/>
          <w:numId w:val="45"/>
        </w:numPr>
      </w:pPr>
      <w:bookmarkStart w:id="190" w:name="bookmark331"/>
      <w:bookmarkEnd w:id="190"/>
      <w:r>
        <w:rPr>
          <w:rFonts w:hint="eastAsia"/>
        </w:rPr>
        <w:t>发包人通知恢复建设时，承包人应在接到通知后的20日内、或双方根据具体情况约定的时间</w:t>
      </w:r>
    </w:p>
    <w:p>
      <w:pPr>
        <w:pStyle w:val="2"/>
        <w:ind w:left="0"/>
      </w:pPr>
      <w:r>
        <w:rPr>
          <w:rFonts w:hint="eastAsia"/>
        </w:rPr>
        <w:t>内，提交清理、修复的方案及其估算，以及进度计划安排的资料和报告，经发包人确认后，所需的清理、修复费用由发包人承担。恢复建设的竣工日期合理顺延。</w:t>
      </w:r>
    </w:p>
    <w:p>
      <w:pPr>
        <w:pStyle w:val="5"/>
        <w:numPr>
          <w:ilvl w:val="0"/>
          <w:numId w:val="12"/>
        </w:numPr>
      </w:pPr>
      <w:bookmarkStart w:id="191" w:name="bookmark333"/>
      <w:bookmarkStart w:id="192" w:name="bookmark334"/>
      <w:bookmarkStart w:id="193" w:name="bookmark332"/>
      <w:r>
        <w:rPr>
          <w:rFonts w:hint="eastAsia"/>
        </w:rPr>
        <w:t>合同解除</w:t>
      </w:r>
      <w:bookmarkEnd w:id="191"/>
      <w:bookmarkEnd w:id="192"/>
      <w:bookmarkEnd w:id="193"/>
    </w:p>
    <w:p>
      <w:pPr>
        <w:pStyle w:val="6"/>
        <w:numPr>
          <w:ilvl w:val="1"/>
          <w:numId w:val="12"/>
        </w:numPr>
      </w:pPr>
      <w:r>
        <w:rPr>
          <w:rFonts w:hint="eastAsia"/>
        </w:rPr>
        <w:t>由发包人解除合同</w:t>
      </w:r>
    </w:p>
    <w:p>
      <w:pPr>
        <w:pStyle w:val="2"/>
      </w:pPr>
      <w:r>
        <w:rPr>
          <w:rFonts w:hint="eastAsia"/>
        </w:rPr>
        <w:t xml:space="preserve">18.1.1 </w:t>
      </w:r>
      <w:r>
        <w:rPr>
          <w:rFonts w:hint="eastAsia"/>
          <w:lang w:val="zh-TW" w:eastAsia="zh-TW"/>
        </w:rPr>
        <w:t>通知改正</w:t>
      </w:r>
    </w:p>
    <w:p>
      <w:pPr>
        <w:pStyle w:val="2"/>
      </w:pPr>
      <w:r>
        <w:rPr>
          <w:rFonts w:hint="eastAsia"/>
        </w:rPr>
        <w:t>承包人未能按合同履行其职责、责任和义务，发包人可通知承包人，在合理的时间内纠正并补救其</w:t>
      </w:r>
    </w:p>
    <w:p>
      <w:pPr>
        <w:pStyle w:val="2"/>
        <w:ind w:left="0"/>
      </w:pPr>
      <w:r>
        <w:rPr>
          <w:rFonts w:hint="eastAsia"/>
        </w:rPr>
        <w:t>违约行为。</w:t>
      </w:r>
    </w:p>
    <w:p>
      <w:pPr>
        <w:pStyle w:val="2"/>
      </w:pPr>
      <w:r>
        <w:rPr>
          <w:rFonts w:hint="eastAsia"/>
        </w:rPr>
        <w:t>18.1.2 由发包人解除合同</w:t>
      </w:r>
    </w:p>
    <w:p>
      <w:pPr>
        <w:pStyle w:val="2"/>
      </w:pPr>
      <w:r>
        <w:rPr>
          <w:rFonts w:hint="eastAsia"/>
        </w:rPr>
        <w:t>发包人有权基于下列原因，以书面形式通知解除合同或解除合同的部分工作。发包人应在发出解除</w:t>
      </w:r>
    </w:p>
    <w:p>
      <w:pPr>
        <w:pStyle w:val="2"/>
        <w:ind w:left="0"/>
      </w:pPr>
      <w:r>
        <w:rPr>
          <w:rFonts w:hint="eastAsia"/>
        </w:rPr>
        <w:t>合同通知15日前告知承包人。发包人解除合同并不影响其根据合同约定享有的其它权利。</w:t>
      </w:r>
    </w:p>
    <w:p>
      <w:pPr>
        <w:pStyle w:val="2"/>
      </w:pPr>
      <w:bookmarkStart w:id="194" w:name="bookmark335"/>
      <w:bookmarkEnd w:id="194"/>
      <w:r>
        <w:rPr>
          <w:rFonts w:hint="eastAsia"/>
        </w:rPr>
        <w:t>（1）承包人未能遵守14.2.1款履约保函的约定；</w:t>
      </w:r>
    </w:p>
    <w:p>
      <w:pPr>
        <w:pStyle w:val="2"/>
      </w:pPr>
      <w:bookmarkStart w:id="195" w:name="bookmark336"/>
      <w:bookmarkEnd w:id="195"/>
      <w:r>
        <w:rPr>
          <w:rFonts w:hint="eastAsia"/>
        </w:rPr>
        <w:t>（2）承包人未能执行18.1.1款通知改正的约定；</w:t>
      </w:r>
    </w:p>
    <w:p>
      <w:pPr>
        <w:pStyle w:val="2"/>
      </w:pPr>
      <w:bookmarkStart w:id="196" w:name="bookmark337"/>
      <w:bookmarkEnd w:id="196"/>
      <w:r>
        <w:rPr>
          <w:rFonts w:hint="eastAsia"/>
        </w:rPr>
        <w:t>（3）承包人未能遵守3.8.1款至3.8.4款的有关分包和转包的约定；</w:t>
      </w:r>
    </w:p>
    <w:p>
      <w:pPr>
        <w:pStyle w:val="2"/>
      </w:pPr>
      <w:bookmarkStart w:id="197" w:name="bookmark338"/>
      <w:bookmarkEnd w:id="197"/>
      <w:r>
        <w:rPr>
          <w:rFonts w:hint="eastAsia"/>
        </w:rPr>
        <w:t>（4）承包人实际进度明显落后于进度计划，发包人指令其釆取措施并修正进度计划时，承包人无</w:t>
      </w:r>
    </w:p>
    <w:p>
      <w:pPr>
        <w:pStyle w:val="2"/>
        <w:ind w:left="0"/>
      </w:pPr>
      <w:r>
        <w:rPr>
          <w:rFonts w:hint="eastAsia"/>
        </w:rPr>
        <w:t>作为；</w:t>
      </w:r>
    </w:p>
    <w:p>
      <w:pPr>
        <w:pStyle w:val="2"/>
      </w:pPr>
      <w:bookmarkStart w:id="198" w:name="bookmark339"/>
      <w:r>
        <w:rPr>
          <w:rFonts w:hint="eastAsia"/>
        </w:rPr>
        <w:t>（</w:t>
      </w:r>
      <w:bookmarkEnd w:id="198"/>
      <w:r>
        <w:rPr>
          <w:rFonts w:hint="eastAsia"/>
        </w:rPr>
        <w:t>5）工程质量有严重缺陷，承包人无正当理由使修复开始日期拖延达30日以上；</w:t>
      </w:r>
    </w:p>
    <w:p>
      <w:pPr>
        <w:pStyle w:val="2"/>
      </w:pPr>
      <w:bookmarkStart w:id="199" w:name="bookmark340"/>
      <w:r>
        <w:rPr>
          <w:rFonts w:hint="eastAsia"/>
        </w:rPr>
        <w:t>（</w:t>
      </w:r>
      <w:bookmarkEnd w:id="199"/>
      <w:r>
        <w:rPr>
          <w:rFonts w:hint="eastAsia"/>
        </w:rPr>
        <w:t>6）承包人明确表示或以自己的行为明显表明不履行合同、或经发包人以书面形式通知其履约后</w:t>
      </w:r>
    </w:p>
    <w:p>
      <w:pPr>
        <w:pStyle w:val="2"/>
        <w:ind w:left="0"/>
      </w:pPr>
      <w:r>
        <w:rPr>
          <w:rFonts w:hint="eastAsia"/>
        </w:rPr>
        <w:t>仍未能依约履行合同、或以明显不适当的方式履行合同；</w:t>
      </w:r>
    </w:p>
    <w:p>
      <w:pPr>
        <w:pStyle w:val="2"/>
        <w:numPr>
          <w:ilvl w:val="0"/>
          <w:numId w:val="45"/>
        </w:numPr>
      </w:pPr>
      <w:r>
        <w:rPr>
          <w:rFonts w:hint="eastAsia"/>
        </w:rPr>
        <w:t>根据8.6.2款第（5）项（或）和10.8款的约定，未能通过的竣工试验、未能通过的竣工后</w:t>
      </w:r>
    </w:p>
    <w:p>
      <w:pPr>
        <w:pStyle w:val="2"/>
        <w:ind w:left="0"/>
      </w:pPr>
      <w:r>
        <w:rPr>
          <w:rFonts w:hint="eastAsia"/>
        </w:rPr>
        <w:t>试验，使工程的任何部分和（或）整个工程丧失了主要使用功能、生产功能；</w:t>
      </w:r>
    </w:p>
    <w:p>
      <w:pPr>
        <w:pStyle w:val="2"/>
      </w:pPr>
      <w:bookmarkStart w:id="200" w:name="bookmark342"/>
      <w:r>
        <w:rPr>
          <w:rFonts w:hint="eastAsia"/>
        </w:rPr>
        <w:t>（</w:t>
      </w:r>
      <w:bookmarkEnd w:id="200"/>
      <w:r>
        <w:rPr>
          <w:rFonts w:hint="eastAsia"/>
        </w:rPr>
        <w:t>8）承包人破产、停业清理或进入清算程序，或情况表明承包人将进入破产和（或）清算程序。</w:t>
      </w:r>
    </w:p>
    <w:p>
      <w:pPr>
        <w:pStyle w:val="2"/>
        <w:ind w:left="0"/>
      </w:pPr>
      <w:r>
        <w:rPr>
          <w:rFonts w:hint="eastAsia"/>
        </w:rPr>
        <w:t>发包人不能为另行安排其他承包人实施工程而解除合同或解除合同的部分工作。发包人违反该约定时，承包人有权依据本项约定，提出仲裁或诉讼。</w:t>
      </w:r>
    </w:p>
    <w:p>
      <w:pPr>
        <w:pStyle w:val="2"/>
      </w:pPr>
      <w:r>
        <w:rPr>
          <w:rFonts w:hint="eastAsia"/>
        </w:rPr>
        <w:t>18.1.3 解除合同后停止和进行的工作</w:t>
      </w:r>
    </w:p>
    <w:p>
      <w:pPr>
        <w:pStyle w:val="2"/>
      </w:pPr>
      <w:r>
        <w:rPr>
          <w:rFonts w:hint="eastAsia"/>
        </w:rPr>
        <w:t>承包人收到解除合同通知后的工作。承包人应在解除合同30日内或双方约定的时间内，完成以下</w:t>
      </w:r>
    </w:p>
    <w:p>
      <w:pPr>
        <w:pStyle w:val="2"/>
        <w:ind w:left="0"/>
      </w:pPr>
      <w:r>
        <w:rPr>
          <w:rFonts w:hint="eastAsia"/>
        </w:rPr>
        <w:t>工作：</w:t>
      </w:r>
    </w:p>
    <w:p>
      <w:pPr>
        <w:pStyle w:val="2"/>
        <w:numPr>
          <w:ilvl w:val="0"/>
          <w:numId w:val="46"/>
        </w:numPr>
      </w:pPr>
      <w:r>
        <w:rPr>
          <w:rFonts w:hint="eastAsia"/>
        </w:rPr>
        <w:t>除了为保护生命、财产或工程安全、清理和必须执行的工作外，停止执行所有被通知解除的</w:t>
      </w:r>
    </w:p>
    <w:p>
      <w:pPr>
        <w:pStyle w:val="2"/>
        <w:ind w:left="0"/>
      </w:pPr>
      <w:r>
        <w:rPr>
          <w:rFonts w:hint="eastAsia"/>
        </w:rPr>
        <w:t>工作；</w:t>
      </w:r>
    </w:p>
    <w:p>
      <w:pPr>
        <w:pStyle w:val="2"/>
        <w:numPr>
          <w:ilvl w:val="0"/>
          <w:numId w:val="46"/>
        </w:numPr>
      </w:pPr>
      <w:r>
        <w:rPr>
          <w:rFonts w:hint="eastAsia"/>
        </w:rPr>
        <w:t>将发包人提供的所有信息及承包人为本工程编制的设计文件、技术资料及其它文件移交给发</w:t>
      </w:r>
    </w:p>
    <w:p>
      <w:pPr>
        <w:pStyle w:val="2"/>
        <w:ind w:left="0"/>
      </w:pPr>
      <w:r>
        <w:rPr>
          <w:rFonts w:hint="eastAsia"/>
        </w:rPr>
        <w:t>包人。在承包人留有的资料文件中，销毁与发包人提供的所有信息相关的数据及资料的备份；</w:t>
      </w:r>
    </w:p>
    <w:p>
      <w:pPr>
        <w:pStyle w:val="2"/>
        <w:numPr>
          <w:ilvl w:val="0"/>
          <w:numId w:val="46"/>
        </w:numPr>
      </w:pPr>
      <w:r>
        <w:rPr>
          <w:rFonts w:hint="eastAsia"/>
        </w:rPr>
        <w:t>移交已完成的永久性工程及负责已运抵现场的工程物资。在移交前，妥善做好已完工程和已</w:t>
      </w:r>
    </w:p>
    <w:p>
      <w:pPr>
        <w:pStyle w:val="2"/>
        <w:ind w:left="0"/>
      </w:pPr>
      <w:r>
        <w:rPr>
          <w:rFonts w:hint="eastAsia"/>
        </w:rPr>
        <w:t>运抵现场的工程物资的保管、维护和保养；</w:t>
      </w:r>
    </w:p>
    <w:p>
      <w:pPr>
        <w:pStyle w:val="2"/>
        <w:numPr>
          <w:ilvl w:val="0"/>
          <w:numId w:val="46"/>
        </w:numPr>
      </w:pPr>
      <w:r>
        <w:rPr>
          <w:rFonts w:hint="eastAsia"/>
        </w:rPr>
        <w:t>移交相应实施阶段已经付款的并已完成的和尚待完成的设计文件、图纸、资料、操作维修手</w:t>
      </w:r>
    </w:p>
    <w:p>
      <w:pPr>
        <w:pStyle w:val="2"/>
        <w:ind w:left="0"/>
      </w:pPr>
      <w:r>
        <w:rPr>
          <w:rFonts w:hint="eastAsia"/>
        </w:rPr>
        <w:t>册、施工组织设计、质检资料、竣工资料等；</w:t>
      </w:r>
    </w:p>
    <w:p>
      <w:pPr>
        <w:pStyle w:val="2"/>
        <w:numPr>
          <w:ilvl w:val="0"/>
          <w:numId w:val="46"/>
        </w:numPr>
      </w:pPr>
      <w:r>
        <w:rPr>
          <w:rFonts w:hint="eastAsia"/>
        </w:rPr>
        <w:t>向发包人提交全部分包合同及执行情况说明。其中包括：承包人提供的工程物资（含在现场</w:t>
      </w:r>
    </w:p>
    <w:p>
      <w:pPr>
        <w:pStyle w:val="2"/>
        <w:ind w:left="0"/>
      </w:pPr>
      <w:r>
        <w:rPr>
          <w:rFonts w:hint="eastAsia"/>
        </w:rPr>
        <w:t>保管的、已经订货的、正在加工的、运输途中的、运抵现场尚未交接的），发包人承担解除合同通知之日之前发生的、合同约定的此类款项。承包人有义务协助并配合处理与其有合同关系的分包人的关系；</w:t>
      </w:r>
    </w:p>
    <w:p>
      <w:pPr>
        <w:pStyle w:val="2"/>
        <w:numPr>
          <w:ilvl w:val="0"/>
          <w:numId w:val="46"/>
        </w:numPr>
      </w:pPr>
      <w:r>
        <w:rPr>
          <w:rFonts w:hint="eastAsia"/>
        </w:rPr>
        <w:t>经发包人批准，承包人应将其与被解除合同或被解除合同中的部分工作相关的和正在执行的</w:t>
      </w:r>
    </w:p>
    <w:p>
      <w:pPr>
        <w:pStyle w:val="2"/>
        <w:ind w:left="0"/>
      </w:pPr>
      <w:r>
        <w:rPr>
          <w:rFonts w:hint="eastAsia"/>
        </w:rPr>
        <w:t>分包合同及相关的责任和义务转让至发包人和（或）发包 人指定方的名下，包括永久性工程及工程物资，以及相关工作；</w:t>
      </w:r>
    </w:p>
    <w:p>
      <w:pPr>
        <w:pStyle w:val="2"/>
      </w:pPr>
      <w:bookmarkStart w:id="201" w:name="bookmark349"/>
      <w:r>
        <w:rPr>
          <w:rFonts w:hint="eastAsia"/>
        </w:rPr>
        <w:t>（</w:t>
      </w:r>
      <w:bookmarkEnd w:id="201"/>
      <w:r>
        <w:rPr>
          <w:rFonts w:hint="eastAsia"/>
        </w:rPr>
        <w:t>7）承包人应按照合同约定，继续履行其未被解除的合同部分工作；</w:t>
      </w:r>
    </w:p>
    <w:p>
      <w:pPr>
        <w:pStyle w:val="2"/>
      </w:pPr>
      <w:bookmarkStart w:id="202" w:name="bookmark350"/>
      <w:r>
        <w:rPr>
          <w:rFonts w:hint="eastAsia"/>
        </w:rPr>
        <w:t>（</w:t>
      </w:r>
      <w:bookmarkEnd w:id="202"/>
      <w:r>
        <w:rPr>
          <w:rFonts w:hint="eastAsia"/>
        </w:rPr>
        <w:t>8）在解除合同的结算尚未结清之前，承包人不得将其机具、设备、设施、周转材料、措施材料</w:t>
      </w:r>
    </w:p>
    <w:p>
      <w:pPr>
        <w:pStyle w:val="2"/>
        <w:ind w:left="0"/>
      </w:pPr>
      <w:r>
        <w:rPr>
          <w:rFonts w:hint="eastAsia"/>
        </w:rPr>
        <w:t>撤离现场和（或）拆除，除非得到发包人同意。</w:t>
      </w:r>
    </w:p>
    <w:p>
      <w:pPr>
        <w:pStyle w:val="2"/>
      </w:pPr>
      <w:r>
        <w:rPr>
          <w:rFonts w:hint="eastAsia"/>
        </w:rPr>
        <w:t>18.1.4 解除日期的结算</w:t>
      </w:r>
    </w:p>
    <w:p>
      <w:pPr>
        <w:pStyle w:val="2"/>
      </w:pPr>
      <w:r>
        <w:rPr>
          <w:rFonts w:hint="eastAsia"/>
        </w:rPr>
        <w:t>依据</w:t>
      </w:r>
      <w:r>
        <w:rPr>
          <w:rFonts w:hint="eastAsia"/>
          <w:lang w:val="zh-CN"/>
        </w:rPr>
        <w:t>18</w:t>
      </w:r>
      <w:r>
        <w:rPr>
          <w:rFonts w:hint="eastAsia"/>
        </w:rPr>
        <w:t>.1.</w:t>
      </w:r>
      <w:r>
        <w:rPr>
          <w:rFonts w:hint="eastAsia"/>
          <w:lang w:val="zh-CN"/>
        </w:rPr>
        <w:t>2</w:t>
      </w:r>
      <w:r>
        <w:rPr>
          <w:rFonts w:hint="eastAsia"/>
        </w:rPr>
        <w:t>款的约定，承包人收到解除合同或解除合同部分工作的通知后，发包人应立即与承包</w:t>
      </w:r>
    </w:p>
    <w:p>
      <w:pPr>
        <w:pStyle w:val="2"/>
        <w:ind w:left="0"/>
      </w:pPr>
      <w:r>
        <w:rPr>
          <w:rFonts w:hint="eastAsia"/>
        </w:rPr>
        <w:t>人商定已发生的合同款项，包括14.3款的预付款、14.4款的工程进度款、13.7款的合同价格调整的款项、14.5款的缺陷责任保修金暂扣的款项、16.2.款的索赔款项、本合同补充协议的款项，及合同约定的任何应增减的款项。经双方协商一致的合同款项，作为解除日期的结算依据。</w:t>
      </w:r>
    </w:p>
    <w:p>
      <w:pPr>
        <w:pStyle w:val="2"/>
      </w:pPr>
      <w:r>
        <w:rPr>
          <w:rFonts w:hint="eastAsia"/>
        </w:rPr>
        <w:t>18.1.5 解除合同后的结算</w:t>
      </w:r>
    </w:p>
    <w:p>
      <w:pPr>
        <w:pStyle w:val="2"/>
        <w:numPr>
          <w:ilvl w:val="0"/>
          <w:numId w:val="47"/>
        </w:numPr>
      </w:pPr>
      <w:bookmarkStart w:id="203" w:name="bookmark351"/>
      <w:bookmarkEnd w:id="203"/>
      <w:r>
        <w:rPr>
          <w:rFonts w:hint="eastAsia"/>
        </w:rPr>
        <w:t>双方应根据18.1.4款解除合同日期的结算资料，结清双方应收应付款项的余额。此后，发包</w:t>
      </w:r>
    </w:p>
    <w:p>
      <w:pPr>
        <w:pStyle w:val="2"/>
        <w:ind w:left="0"/>
      </w:pPr>
      <w:r>
        <w:rPr>
          <w:rFonts w:hint="eastAsia"/>
        </w:rPr>
        <w:t>人应将承包人根据14.2.1款约定提交的履约保函返还给承包人，承包人应将发包人根据14.2.2款约定提交的支付保函返还给发包人。</w:t>
      </w:r>
    </w:p>
    <w:p>
      <w:pPr>
        <w:pStyle w:val="2"/>
        <w:numPr>
          <w:ilvl w:val="0"/>
          <w:numId w:val="47"/>
        </w:numPr>
      </w:pPr>
      <w:bookmarkStart w:id="204" w:name="bookmark352"/>
      <w:bookmarkEnd w:id="204"/>
      <w:r>
        <w:rPr>
          <w:rFonts w:hint="eastAsia"/>
        </w:rPr>
        <w:t>如合同解除时仍有未被扣减完的预付款，发包人应根据14.3.3预付款抵扣的约定扣除，并在</w:t>
      </w:r>
    </w:p>
    <w:p>
      <w:pPr>
        <w:pStyle w:val="2"/>
        <w:ind w:left="0"/>
      </w:pPr>
      <w:r>
        <w:rPr>
          <w:rFonts w:hint="eastAsia"/>
        </w:rPr>
        <w:t>此后将约定提交的预付款保函返还给承包人。</w:t>
      </w:r>
    </w:p>
    <w:p>
      <w:pPr>
        <w:pStyle w:val="2"/>
        <w:numPr>
          <w:ilvl w:val="0"/>
          <w:numId w:val="47"/>
        </w:numPr>
      </w:pPr>
      <w:bookmarkStart w:id="205" w:name="bookmark353"/>
      <w:bookmarkEnd w:id="205"/>
      <w:r>
        <w:rPr>
          <w:rFonts w:hint="eastAsia"/>
        </w:rPr>
        <w:t>发包人尚有其它未能扣减完的应收款余额时，有权从14.2.1款约定的承包人提交的履约保函</w:t>
      </w:r>
    </w:p>
    <w:p>
      <w:pPr>
        <w:pStyle w:val="2"/>
        <w:ind w:left="0"/>
      </w:pPr>
      <w:r>
        <w:rPr>
          <w:rFonts w:hint="eastAsia"/>
        </w:rPr>
        <w:t>中扣减，并在此后将履约保函返还给承包人。</w:t>
      </w:r>
    </w:p>
    <w:p>
      <w:pPr>
        <w:pStyle w:val="2"/>
        <w:numPr>
          <w:ilvl w:val="0"/>
          <w:numId w:val="47"/>
        </w:numPr>
      </w:pPr>
      <w:bookmarkStart w:id="206" w:name="bookmark354"/>
      <w:bookmarkEnd w:id="206"/>
      <w:r>
        <w:rPr>
          <w:rFonts w:hint="eastAsia"/>
        </w:rPr>
        <w:t>发包人按上述约定扣减后，仍有未能收回的款项时；或合同未能约定提交履约保函和预付款</w:t>
      </w:r>
    </w:p>
    <w:p>
      <w:pPr>
        <w:pStyle w:val="2"/>
        <w:ind w:left="0"/>
      </w:pPr>
      <w:r>
        <w:rPr>
          <w:rFonts w:hint="eastAsia"/>
        </w:rPr>
        <w:t>保函时，仍有未能扣减应收款项的余额时，可扣留与应收款价值相当的承包人的机具、设备、设施、周转材料等作为抵偿。</w:t>
      </w:r>
    </w:p>
    <w:p>
      <w:pPr>
        <w:pStyle w:val="2"/>
      </w:pPr>
      <w:r>
        <w:rPr>
          <w:rFonts w:hint="eastAsia"/>
        </w:rPr>
        <w:t>18.1.6 承包人的撤离</w:t>
      </w:r>
    </w:p>
    <w:p>
      <w:pPr>
        <w:pStyle w:val="2"/>
        <w:numPr>
          <w:ilvl w:val="0"/>
          <w:numId w:val="48"/>
        </w:numPr>
      </w:pPr>
      <w:bookmarkStart w:id="207" w:name="bookmark355"/>
      <w:bookmarkEnd w:id="207"/>
      <w:r>
        <w:rPr>
          <w:rFonts w:hint="eastAsia"/>
        </w:rPr>
        <w:t>全部合同解除的撤离。承包人有权按18.1.5款第(4)项的约定，将未被因抵偿扣留的机具、</w:t>
      </w:r>
    </w:p>
    <w:p>
      <w:pPr>
        <w:pStyle w:val="2"/>
        <w:ind w:left="0"/>
      </w:pPr>
      <w:r>
        <w:rPr>
          <w:rFonts w:hint="eastAsia"/>
        </w:rPr>
        <w:t>设备、设施等自行撤离现场，并承担撤离和拆除临时设施的费用。发包人应为此提供必要条件。</w:t>
      </w:r>
    </w:p>
    <w:p>
      <w:pPr>
        <w:pStyle w:val="2"/>
        <w:numPr>
          <w:ilvl w:val="0"/>
          <w:numId w:val="48"/>
        </w:numPr>
      </w:pPr>
      <w:bookmarkStart w:id="208" w:name="bookmark356"/>
      <w:bookmarkEnd w:id="208"/>
      <w:r>
        <w:rPr>
          <w:rFonts w:hint="eastAsia"/>
        </w:rPr>
        <w:t>部分合同解除的撤离。承包人应在接到发包人发出撤离现场的通知后，将其多余的机具、设</w:t>
      </w:r>
    </w:p>
    <w:p>
      <w:pPr>
        <w:pStyle w:val="2"/>
        <w:ind w:left="0"/>
      </w:pPr>
      <w:r>
        <w:rPr>
          <w:rFonts w:hint="eastAsia"/>
        </w:rPr>
        <w:t>备、设施等自费拆除并自费撤离现场(不包括根据18.1.5 款第(4)项约定被抵偿的机具等)。发包人应为此提供必要条件。</w:t>
      </w:r>
    </w:p>
    <w:p>
      <w:pPr>
        <w:pStyle w:val="2"/>
      </w:pPr>
      <w:r>
        <w:rPr>
          <w:rFonts w:hint="eastAsia"/>
        </w:rPr>
        <w:t>18.1.7 解除合同后继续实施工程的权利。发包人可继续完成工程或委托其他承包人继续完成工程。</w:t>
      </w:r>
    </w:p>
    <w:p>
      <w:pPr>
        <w:pStyle w:val="2"/>
        <w:ind w:left="0"/>
      </w:pPr>
      <w:r>
        <w:rPr>
          <w:rFonts w:hint="eastAsia"/>
        </w:rPr>
        <w:t>发包人有权与其他承包人使用已移交的永久性工程的物资，及承包人为本工程编制的设计文件、实施文件及资料，以及使用根据18.1.5 款第(4)项约定扣留抵偿的设施、机具和设备。</w:t>
      </w:r>
    </w:p>
    <w:p>
      <w:pPr>
        <w:pStyle w:val="6"/>
        <w:numPr>
          <w:ilvl w:val="1"/>
          <w:numId w:val="12"/>
        </w:numPr>
      </w:pPr>
      <w:r>
        <w:rPr>
          <w:rFonts w:hint="eastAsia"/>
        </w:rPr>
        <w:t>由承包人解除合同</w:t>
      </w:r>
    </w:p>
    <w:p>
      <w:pPr>
        <w:pStyle w:val="2"/>
      </w:pPr>
      <w:r>
        <w:rPr>
          <w:rFonts w:hint="eastAsia"/>
        </w:rPr>
        <w:t>18.2.1 由承包人解除合同。基于下列原因，承包人有权以书面形式通知发包人解除合同，但应在</w:t>
      </w:r>
    </w:p>
    <w:p>
      <w:pPr>
        <w:pStyle w:val="2"/>
        <w:ind w:left="0"/>
      </w:pPr>
      <w:r>
        <w:rPr>
          <w:rFonts w:hint="eastAsia"/>
        </w:rPr>
        <w:t>发出解除合同通知15日前告知发包人：</w:t>
      </w:r>
    </w:p>
    <w:p>
      <w:pPr>
        <w:pStyle w:val="2"/>
        <w:numPr>
          <w:ilvl w:val="0"/>
          <w:numId w:val="49"/>
        </w:numPr>
      </w:pPr>
      <w:bookmarkStart w:id="209" w:name="bookmark357"/>
      <w:bookmarkEnd w:id="209"/>
      <w:r>
        <w:rPr>
          <w:rFonts w:hint="eastAsia"/>
        </w:rPr>
        <w:t>发包人延误付款达60日以上，或根据4.6.4款承包人要求复工，但发包人在180日内仍未通</w:t>
      </w:r>
    </w:p>
    <w:p>
      <w:pPr>
        <w:pStyle w:val="2"/>
        <w:ind w:left="0"/>
      </w:pPr>
      <w:r>
        <w:rPr>
          <w:rFonts w:hint="eastAsia"/>
        </w:rPr>
        <w:t>知复工的；</w:t>
      </w:r>
    </w:p>
    <w:p>
      <w:pPr>
        <w:pStyle w:val="2"/>
      </w:pPr>
      <w:bookmarkStart w:id="210" w:name="bookmark358"/>
      <w:bookmarkEnd w:id="210"/>
      <w:r>
        <w:rPr>
          <w:rFonts w:hint="eastAsia"/>
        </w:rPr>
        <w:t>（2）发包人实质上未能根据合同约定履行其义务，影响承包人实施工作停止30日以上；</w:t>
      </w:r>
    </w:p>
    <w:p>
      <w:pPr>
        <w:pStyle w:val="2"/>
      </w:pPr>
      <w:bookmarkStart w:id="211" w:name="bookmark359"/>
      <w:bookmarkEnd w:id="211"/>
      <w:r>
        <w:rPr>
          <w:rFonts w:hint="eastAsia"/>
        </w:rPr>
        <w:t>（3）发包人未能按14.2.2款的约定提交支付保函；</w:t>
      </w:r>
    </w:p>
    <w:p>
      <w:pPr>
        <w:pStyle w:val="2"/>
      </w:pPr>
      <w:bookmarkStart w:id="212" w:name="bookmark360"/>
      <w:r>
        <w:rPr>
          <w:rFonts w:hint="eastAsia"/>
          <w:lang w:val="zh-CN"/>
        </w:rPr>
        <w:t>（</w:t>
      </w:r>
      <w:bookmarkEnd w:id="212"/>
      <w:r>
        <w:rPr>
          <w:rFonts w:hint="eastAsia"/>
          <w:lang w:val="zh-CN"/>
        </w:rPr>
        <w:t>4）</w:t>
      </w:r>
      <w:r>
        <w:rPr>
          <w:rFonts w:hint="eastAsia"/>
        </w:rPr>
        <w:t>出现第</w:t>
      </w:r>
      <w:r>
        <w:rPr>
          <w:rFonts w:hint="eastAsia"/>
          <w:lang w:val="zh-CN"/>
        </w:rPr>
        <w:t>17</w:t>
      </w:r>
      <w:r>
        <w:rPr>
          <w:rFonts w:hint="eastAsia"/>
        </w:rPr>
        <w:t>条约定的不可抗力事件，导致继续履行合同主要义务已成为不可能或不必要；</w:t>
      </w:r>
    </w:p>
    <w:p>
      <w:pPr>
        <w:pStyle w:val="2"/>
      </w:pPr>
      <w:bookmarkStart w:id="213" w:name="bookmark361"/>
      <w:r>
        <w:rPr>
          <w:rFonts w:hint="eastAsia"/>
        </w:rPr>
        <w:t>（</w:t>
      </w:r>
      <w:bookmarkEnd w:id="213"/>
      <w:r>
        <w:rPr>
          <w:rFonts w:hint="eastAsia"/>
        </w:rPr>
        <w:t>5）发包人破产、停业清理或进入清算程序、或情况表明发包人将进入破产或（和）清算程序，</w:t>
      </w:r>
    </w:p>
    <w:p>
      <w:pPr>
        <w:pStyle w:val="2"/>
        <w:ind w:left="0"/>
      </w:pPr>
      <w:r>
        <w:rPr>
          <w:rFonts w:hint="eastAsia"/>
        </w:rPr>
        <w:t>或发包人无力支付合同款项。</w:t>
      </w:r>
    </w:p>
    <w:p>
      <w:pPr>
        <w:pStyle w:val="2"/>
      </w:pPr>
      <w:r>
        <w:rPr>
          <w:rFonts w:hint="eastAsia"/>
        </w:rPr>
        <w:t>发包人接到承包人根据本款第（1）项、（2）项、（3）项解除合同的通知后，发包人随后给予了付</w:t>
      </w:r>
    </w:p>
    <w:p>
      <w:pPr>
        <w:pStyle w:val="2"/>
        <w:ind w:left="0"/>
      </w:pPr>
      <w:r>
        <w:rPr>
          <w:rFonts w:hint="eastAsia"/>
        </w:rPr>
        <w:t>款，或同意复工、或继续履行其义务、或提供了支付保函时，承包人应尽快安排并恢复正常工作。因此造成关键路线延误时，竣工日期顺延；承包人因此增加的费用，由发包人承担。</w:t>
      </w:r>
    </w:p>
    <w:p>
      <w:pPr>
        <w:pStyle w:val="2"/>
      </w:pPr>
      <w:r>
        <w:rPr>
          <w:rFonts w:hint="eastAsia"/>
        </w:rPr>
        <w:t>18.2.2 承包人发出解除合同的通知后，有权停止和必须进行的工作如下：</w:t>
      </w:r>
    </w:p>
    <w:p>
      <w:pPr>
        <w:pStyle w:val="2"/>
      </w:pPr>
      <w:bookmarkStart w:id="214" w:name="bookmark362"/>
      <w:r>
        <w:rPr>
          <w:rFonts w:hint="eastAsia"/>
        </w:rPr>
        <w:t>（</w:t>
      </w:r>
      <w:bookmarkEnd w:id="214"/>
      <w:r>
        <w:rPr>
          <w:rFonts w:hint="eastAsia"/>
        </w:rPr>
        <w:t>1）除为保护生命、财产、工程安全、清理和必须执行的工作外，停止所有进一步的工作；</w:t>
      </w:r>
    </w:p>
    <w:p>
      <w:pPr>
        <w:pStyle w:val="2"/>
      </w:pPr>
      <w:bookmarkStart w:id="215" w:name="bookmark363"/>
      <w:r>
        <w:rPr>
          <w:rFonts w:hint="eastAsia"/>
        </w:rPr>
        <w:t>（</w:t>
      </w:r>
      <w:bookmarkEnd w:id="215"/>
      <w:r>
        <w:rPr>
          <w:rFonts w:hint="eastAsia"/>
        </w:rPr>
        <w:t>2）移交已完成的永久性工程及承包人提供的工程物资（包括现场保管的、已经订货的、正在加</w:t>
      </w:r>
    </w:p>
    <w:p>
      <w:pPr>
        <w:pStyle w:val="2"/>
        <w:ind w:left="0"/>
      </w:pPr>
      <w:r>
        <w:rPr>
          <w:rFonts w:hint="eastAsia"/>
        </w:rPr>
        <w:t>工制造的、正在运输途中的、现场尚未交接的）。在未移交之前，承包人有义务妥善做好已完工程和已购工程物资的保管、维护和保养；</w:t>
      </w:r>
    </w:p>
    <w:p>
      <w:pPr>
        <w:pStyle w:val="2"/>
      </w:pPr>
      <w:r>
        <w:rPr>
          <w:rFonts w:hint="eastAsia"/>
        </w:rPr>
        <w:t>（3）移交已经付款并已经完成和尚待完成的设计文件、图纸、资料、操作 维修手册、施工组织设</w:t>
      </w:r>
    </w:p>
    <w:p>
      <w:pPr>
        <w:pStyle w:val="2"/>
        <w:ind w:left="0"/>
      </w:pPr>
      <w:r>
        <w:rPr>
          <w:rFonts w:hint="eastAsia"/>
        </w:rPr>
        <w:t>计、质检资料、竣工资料等。应发包人的要求，对已经完成但尚未付款的相关设计文件、图纸和资料等，按商定的价格付款后，承包人按约定的时间提交给发包人。</w:t>
      </w:r>
    </w:p>
    <w:p>
      <w:pPr>
        <w:pStyle w:val="2"/>
      </w:pPr>
      <w:bookmarkStart w:id="216" w:name="bookmark365"/>
      <w:r>
        <w:rPr>
          <w:rFonts w:hint="eastAsia"/>
        </w:rPr>
        <w:t>（</w:t>
      </w:r>
      <w:bookmarkEnd w:id="216"/>
      <w:r>
        <w:rPr>
          <w:rFonts w:hint="eastAsia"/>
        </w:rPr>
        <w:t>4）向发包人提交全部分包合同及执行情况说明，由发包人承担其费用。</w:t>
      </w:r>
    </w:p>
    <w:p>
      <w:pPr>
        <w:pStyle w:val="2"/>
      </w:pPr>
      <w:bookmarkStart w:id="217" w:name="bookmark366"/>
      <w:r>
        <w:rPr>
          <w:rFonts w:hint="eastAsia"/>
        </w:rPr>
        <w:t>（</w:t>
      </w:r>
      <w:bookmarkEnd w:id="217"/>
      <w:r>
        <w:rPr>
          <w:rFonts w:hint="eastAsia"/>
        </w:rPr>
        <w:t>5）应发包人的要求，将分包合同转给发包人或（和）发包人指定方的名下，包括永久性工程及</w:t>
      </w:r>
    </w:p>
    <w:p>
      <w:pPr>
        <w:pStyle w:val="2"/>
        <w:ind w:left="0"/>
      </w:pPr>
      <w:r>
        <w:rPr>
          <w:rFonts w:hint="eastAsia"/>
        </w:rPr>
        <w:t>其物资，以及相关工作；</w:t>
      </w:r>
    </w:p>
    <w:p>
      <w:pPr>
        <w:pStyle w:val="2"/>
      </w:pPr>
      <w:bookmarkStart w:id="218" w:name="bookmark367"/>
      <w:r>
        <w:rPr>
          <w:rFonts w:hint="eastAsia"/>
        </w:rPr>
        <w:t>（</w:t>
      </w:r>
      <w:bookmarkEnd w:id="218"/>
      <w:r>
        <w:rPr>
          <w:rFonts w:hint="eastAsia"/>
        </w:rPr>
        <w:t>6）在承包人自留文件资料中，销毁发包人提供的所有信息及其相关的数据及资料的备份。</w:t>
      </w:r>
    </w:p>
    <w:p>
      <w:pPr>
        <w:pStyle w:val="2"/>
      </w:pPr>
      <w:r>
        <w:rPr>
          <w:rFonts w:hint="eastAsia"/>
        </w:rPr>
        <w:t>18.2.3 解除合同日期的结算依据</w:t>
      </w:r>
    </w:p>
    <w:p>
      <w:pPr>
        <w:pStyle w:val="2"/>
      </w:pPr>
      <w:r>
        <w:rPr>
          <w:rFonts w:hint="eastAsia"/>
        </w:rPr>
        <w:t>根据18.2.1款的约定，发包人收到解除合同的通知后，应与承包人商定已发生的合同款项，包括：</w:t>
      </w:r>
    </w:p>
    <w:p>
      <w:pPr>
        <w:pStyle w:val="2"/>
        <w:ind w:left="0"/>
      </w:pPr>
      <w:r>
        <w:rPr>
          <w:rFonts w:hint="eastAsia"/>
        </w:rPr>
        <w:t>14.3款预付款、14.4款工程进度款、13.7款合同价格调整的款项、14.5款保修金暂扣与支付的款项、16.2款索赔的款项、本合同补充协议的款项，及合同任何条款约定的增减款项，以及承包人拆除临时设施和机具、设备等撤离到承包人企业所在地的费用（当出现18.2.1款第（4）项不可抗力的情况，撤离费用由承包人承担）。经双方协商一致的合同款项，作为解除日期的结算依据。</w:t>
      </w:r>
    </w:p>
    <w:p>
      <w:pPr>
        <w:pStyle w:val="2"/>
      </w:pPr>
      <w:r>
        <w:rPr>
          <w:rFonts w:hint="eastAsia"/>
        </w:rPr>
        <w:t>18.2.4 解除合同后的结算</w:t>
      </w:r>
    </w:p>
    <w:p>
      <w:pPr>
        <w:pStyle w:val="2"/>
        <w:numPr>
          <w:ilvl w:val="0"/>
          <w:numId w:val="50"/>
        </w:numPr>
      </w:pPr>
      <w:r>
        <w:rPr>
          <w:rFonts w:hint="eastAsia"/>
        </w:rPr>
        <w:t>双方应根据18.2.3款解除合同日期的结算资料，结清解除合同时双方的应收应付款项的余额。</w:t>
      </w:r>
    </w:p>
    <w:p>
      <w:pPr>
        <w:pStyle w:val="2"/>
        <w:ind w:left="0"/>
      </w:pPr>
      <w:r>
        <w:rPr>
          <w:rFonts w:hint="eastAsia"/>
        </w:rPr>
        <w:t>此后，承包人应将发包人根据1422款约定提交的支付保函返还给发包人，发包人将承包人根据14.2.1款约定提交的履约保函返还给承包人。</w:t>
      </w:r>
    </w:p>
    <w:p>
      <w:pPr>
        <w:pStyle w:val="2"/>
        <w:numPr>
          <w:ilvl w:val="0"/>
          <w:numId w:val="50"/>
        </w:numPr>
      </w:pPr>
      <w:r>
        <w:rPr>
          <w:rFonts w:hint="eastAsia"/>
        </w:rPr>
        <w:t>如合同解除时发包人仍有未被扣减完的预付款，发包人可根据14.3.3 款预付款抵扣的约定扣</w:t>
      </w:r>
    </w:p>
    <w:p>
      <w:pPr>
        <w:pStyle w:val="2"/>
        <w:ind w:left="0"/>
      </w:pPr>
      <w:r>
        <w:rPr>
          <w:rFonts w:hint="eastAsia"/>
        </w:rPr>
        <w:t>除，此后，应将预付款保函返还给承包人。</w:t>
      </w:r>
    </w:p>
    <w:p>
      <w:pPr>
        <w:pStyle w:val="2"/>
        <w:numPr>
          <w:ilvl w:val="0"/>
          <w:numId w:val="50"/>
        </w:numPr>
      </w:pPr>
      <w:r>
        <w:rPr>
          <w:rFonts w:hint="eastAsia"/>
        </w:rPr>
        <w:t>如合同解除时承包人尚有其它未能收回的应收款余额，承包人可从14.2.2款约定的发包人提</w:t>
      </w:r>
    </w:p>
    <w:p>
      <w:pPr>
        <w:pStyle w:val="2"/>
        <w:ind w:left="0"/>
      </w:pPr>
      <w:r>
        <w:rPr>
          <w:rFonts w:hint="eastAsia"/>
        </w:rPr>
        <w:t>交的支付保函中扣减，此后，应将支付保函返还给发包 人。</w:t>
      </w:r>
    </w:p>
    <w:p>
      <w:pPr>
        <w:pStyle w:val="2"/>
        <w:numPr>
          <w:ilvl w:val="0"/>
          <w:numId w:val="50"/>
        </w:numPr>
      </w:pPr>
      <w:r>
        <w:rPr>
          <w:rFonts w:hint="eastAsia"/>
        </w:rPr>
        <w:t>如合同解除时承包人尚有其它未能收回的应收款余额，而合同未约定发包人按14.2.2款提交</w:t>
      </w:r>
    </w:p>
    <w:p>
      <w:pPr>
        <w:pStyle w:val="2"/>
        <w:ind w:left="0"/>
      </w:pPr>
      <w:r>
        <w:rPr>
          <w:rFonts w:hint="eastAsia"/>
        </w:rPr>
        <w:t>支付保函时，发包人应根据1823款的约定，经协商一致的解除合同日期结算资料后的第1日起，按中国人民银行同期同类贷款利率，支付拖欠款项的利息。发包人在此后的60日内仍未支付的，承包人有权根据第16.3 款争议和裁决的约定解决。</w:t>
      </w:r>
    </w:p>
    <w:p>
      <w:pPr>
        <w:pStyle w:val="2"/>
        <w:numPr>
          <w:ilvl w:val="0"/>
          <w:numId w:val="50"/>
        </w:numPr>
      </w:pPr>
      <w:r>
        <w:rPr>
          <w:rFonts w:hint="eastAsia"/>
        </w:rPr>
        <w:t>如合同解除时承包人尚有未能付给发包人的付款余额，发包人有权根据18.1.5款约定的解除</w:t>
      </w:r>
    </w:p>
    <w:p>
      <w:pPr>
        <w:pStyle w:val="2"/>
        <w:ind w:left="0"/>
      </w:pPr>
      <w:r>
        <w:rPr>
          <w:rFonts w:hint="eastAsia"/>
        </w:rPr>
        <w:t>合同后的结算中的第（2）项至第（4）项进行结算。</w:t>
      </w:r>
    </w:p>
    <w:p>
      <w:pPr>
        <w:pStyle w:val="2"/>
      </w:pPr>
      <w:r>
        <w:rPr>
          <w:rFonts w:hint="eastAsia"/>
        </w:rPr>
        <w:t>18.2.5 承包人的撤离。在合同解除后，承包人应将除为安全需要以外的所有其它物资、机具、设</w:t>
      </w:r>
    </w:p>
    <w:p>
      <w:pPr>
        <w:pStyle w:val="2"/>
        <w:ind w:left="0"/>
      </w:pPr>
      <w:r>
        <w:rPr>
          <w:rFonts w:hint="eastAsia"/>
        </w:rPr>
        <w:t>备和设施，全部撤离现场。</w:t>
      </w:r>
    </w:p>
    <w:p>
      <w:pPr>
        <w:pStyle w:val="6"/>
        <w:numPr>
          <w:ilvl w:val="1"/>
          <w:numId w:val="12"/>
        </w:numPr>
      </w:pPr>
      <w:r>
        <w:rPr>
          <w:rFonts w:hint="eastAsia"/>
        </w:rPr>
        <w:t>合同解除后的事项</w:t>
      </w:r>
    </w:p>
    <w:p>
      <w:pPr>
        <w:pStyle w:val="2"/>
      </w:pPr>
      <w:r>
        <w:rPr>
          <w:rFonts w:hint="eastAsia"/>
        </w:rPr>
        <w:t>18.3.1 付款约定仍然有效</w:t>
      </w:r>
    </w:p>
    <w:p>
      <w:pPr>
        <w:pStyle w:val="2"/>
      </w:pPr>
      <w:r>
        <w:rPr>
          <w:rFonts w:hint="eastAsia"/>
        </w:rPr>
        <w:t>合同解除后，由发包人或由承包人解除合同的结算及结算后的付款约定仍然有效，直至解除合同的</w:t>
      </w:r>
    </w:p>
    <w:p>
      <w:pPr>
        <w:pStyle w:val="2"/>
        <w:ind w:left="0"/>
      </w:pPr>
      <w:r>
        <w:rPr>
          <w:rFonts w:hint="eastAsia"/>
        </w:rPr>
        <w:t>结算工作结清。</w:t>
      </w:r>
    </w:p>
    <w:p>
      <w:pPr>
        <w:pStyle w:val="2"/>
      </w:pPr>
      <w:r>
        <w:rPr>
          <w:rFonts w:hint="eastAsia"/>
        </w:rPr>
        <w:t>18.3.2 解除合同的争议</w:t>
      </w:r>
    </w:p>
    <w:p>
      <w:pPr>
        <w:pStyle w:val="2"/>
      </w:pPr>
      <w:r>
        <w:rPr>
          <w:rFonts w:hint="eastAsia"/>
        </w:rPr>
        <w:t>合同双方对解除合同或对解除日期的结算有争议的，应釆取友好协商方式解决。经友好协商仍存在</w:t>
      </w:r>
    </w:p>
    <w:p>
      <w:pPr>
        <w:pStyle w:val="2"/>
        <w:ind w:left="0"/>
      </w:pPr>
      <w:r>
        <w:rPr>
          <w:rFonts w:hint="eastAsia"/>
        </w:rPr>
        <w:t>争议、或有一方不接受友好协商时，根据16.3款争议和裁决的约定解决。</w:t>
      </w:r>
    </w:p>
    <w:p>
      <w:pPr>
        <w:pStyle w:val="5"/>
        <w:numPr>
          <w:ilvl w:val="0"/>
          <w:numId w:val="12"/>
        </w:numPr>
      </w:pPr>
      <w:bookmarkStart w:id="219" w:name="bookmark374"/>
      <w:bookmarkStart w:id="220" w:name="bookmark373"/>
      <w:bookmarkStart w:id="221" w:name="bookmark375"/>
      <w:r>
        <w:rPr>
          <w:rFonts w:hint="eastAsia"/>
        </w:rPr>
        <w:t>合同生效与合同终止</w:t>
      </w:r>
      <w:bookmarkEnd w:id="219"/>
      <w:bookmarkEnd w:id="220"/>
      <w:bookmarkEnd w:id="221"/>
    </w:p>
    <w:p>
      <w:pPr>
        <w:pStyle w:val="6"/>
        <w:numPr>
          <w:ilvl w:val="1"/>
          <w:numId w:val="12"/>
        </w:numPr>
      </w:pPr>
      <w:r>
        <w:rPr>
          <w:rFonts w:hint="eastAsia"/>
        </w:rPr>
        <w:t>合同生效</w:t>
      </w:r>
    </w:p>
    <w:p>
      <w:pPr>
        <w:pStyle w:val="2"/>
      </w:pPr>
      <w:r>
        <w:rPr>
          <w:rFonts w:hint="eastAsia"/>
        </w:rPr>
        <w:t>在合同协议书中约定的合同生效条件满足之日生效。</w:t>
      </w:r>
    </w:p>
    <w:p>
      <w:pPr>
        <w:pStyle w:val="6"/>
        <w:numPr>
          <w:ilvl w:val="1"/>
          <w:numId w:val="12"/>
        </w:numPr>
      </w:pPr>
      <w:r>
        <w:rPr>
          <w:rFonts w:hint="eastAsia"/>
        </w:rPr>
        <w:t>合同份数</w:t>
      </w:r>
    </w:p>
    <w:p>
      <w:pPr>
        <w:pStyle w:val="2"/>
      </w:pPr>
      <w:r>
        <w:rPr>
          <w:rFonts w:hint="eastAsia"/>
        </w:rPr>
        <w:t>合同正本、合同副本的份数，及合同双方应持的份数，在专用条款中约定。</w:t>
      </w:r>
    </w:p>
    <w:p>
      <w:pPr>
        <w:pStyle w:val="6"/>
        <w:numPr>
          <w:ilvl w:val="1"/>
          <w:numId w:val="12"/>
        </w:numPr>
      </w:pPr>
      <w:r>
        <w:rPr>
          <w:rFonts w:hint="eastAsia"/>
        </w:rPr>
        <w:t>后合同义务</w:t>
      </w:r>
    </w:p>
    <w:p>
      <w:pPr>
        <w:pStyle w:val="2"/>
      </w:pPr>
      <w:r>
        <w:rPr>
          <w:rFonts w:hint="eastAsia"/>
        </w:rPr>
        <w:t>合同双方应在合同终止后，遵循诚实信用原则，履行通知、协助、保密等义务。</w:t>
      </w:r>
    </w:p>
    <w:p>
      <w:pPr>
        <w:pStyle w:val="5"/>
        <w:numPr>
          <w:ilvl w:val="0"/>
          <w:numId w:val="12"/>
        </w:numPr>
      </w:pPr>
      <w:r>
        <w:rPr>
          <w:rFonts w:hint="eastAsia"/>
        </w:rPr>
        <w:t>补充条款</w:t>
      </w:r>
    </w:p>
    <w:p>
      <w:pPr>
        <w:pStyle w:val="2"/>
      </w:pPr>
      <w:r>
        <w:rPr>
          <w:rFonts w:hint="eastAsia"/>
        </w:rPr>
        <w:t>双方对本通用条款内容的具体约定、补充或修改在专用条款中约定。</w:t>
      </w:r>
      <w:r>
        <w:rPr>
          <w:rFonts w:hint="eastAsia"/>
        </w:rPr>
        <w:br w:type="page"/>
      </w:r>
    </w:p>
    <w:p>
      <w:pPr>
        <w:pStyle w:val="5"/>
        <w:numPr>
          <w:ilvl w:val="0"/>
          <w:numId w:val="11"/>
        </w:numPr>
        <w:jc w:val="center"/>
      </w:pPr>
      <w:r>
        <w:rPr>
          <w:rFonts w:hint="eastAsia"/>
        </w:rPr>
        <w:t>专用合同条款</w:t>
      </w:r>
    </w:p>
    <w:p>
      <w:pPr>
        <w:spacing w:line="276" w:lineRule="auto"/>
        <w:ind w:firstLine="440" w:firstLineChars="200"/>
        <w:jc w:val="both"/>
        <w:rPr>
          <w:rFonts w:ascii="宋体" w:hAnsi="宋体" w:cs="Times New Roman"/>
          <w:szCs w:val="22"/>
        </w:rPr>
      </w:pPr>
      <w:r>
        <w:rPr>
          <w:rFonts w:hint="eastAsia" w:ascii="宋体" w:hAnsi="宋体" w:cs="Times New Roman"/>
          <w:szCs w:val="22"/>
        </w:rPr>
        <w:t>根据“通用合同条款”明确“专用合同条款”可作出不同约定（“通用合同条款”中“除专用合同条款另有约定外”、“除合同另有约定外”）的规定，对“通用合同条款”的修改（即另有约定）如下：</w:t>
      </w:r>
    </w:p>
    <w:p>
      <w:pPr>
        <w:spacing w:line="276" w:lineRule="auto"/>
        <w:ind w:firstLine="420" w:firstLineChars="200"/>
        <w:jc w:val="both"/>
        <w:rPr>
          <w:rFonts w:ascii="宋体" w:hAnsi="宋体" w:cs="Times New Roman"/>
          <w:sz w:val="21"/>
          <w:szCs w:val="21"/>
        </w:rPr>
      </w:pPr>
    </w:p>
    <w:p>
      <w:pPr>
        <w:pStyle w:val="6"/>
      </w:pPr>
      <w:r>
        <w:rPr>
          <w:rFonts w:hint="eastAsia"/>
        </w:rPr>
        <w:t>1.通用合同条款修改表</w:t>
      </w:r>
    </w:p>
    <w:tbl>
      <w:tblPr>
        <w:tblStyle w:val="15"/>
        <w:tblW w:w="9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3142"/>
        <w:gridCol w:w="5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296" w:type="dxa"/>
            <w:shd w:val="clear" w:color="auto" w:fill="auto"/>
            <w:vAlign w:val="center"/>
          </w:tcPr>
          <w:p>
            <w:pPr>
              <w:pStyle w:val="2"/>
              <w:ind w:left="0"/>
              <w:jc w:val="center"/>
            </w:pPr>
            <w:r>
              <w:rPr>
                <w:rFonts w:hint="eastAsia"/>
              </w:rPr>
              <w:t>条款号</w:t>
            </w:r>
          </w:p>
        </w:tc>
        <w:tc>
          <w:tcPr>
            <w:tcW w:w="3142" w:type="dxa"/>
            <w:shd w:val="clear" w:color="auto" w:fill="auto"/>
            <w:vAlign w:val="center"/>
          </w:tcPr>
          <w:p>
            <w:pPr>
              <w:pStyle w:val="2"/>
              <w:ind w:left="0"/>
              <w:jc w:val="center"/>
            </w:pPr>
            <w:r>
              <w:rPr>
                <w:rFonts w:hint="eastAsia"/>
              </w:rPr>
              <w:t>原条款</w:t>
            </w:r>
          </w:p>
        </w:tc>
        <w:tc>
          <w:tcPr>
            <w:tcW w:w="5106" w:type="dxa"/>
            <w:shd w:val="clear" w:color="auto" w:fill="auto"/>
            <w:vAlign w:val="center"/>
          </w:tcPr>
          <w:p>
            <w:pPr>
              <w:pStyle w:val="2"/>
              <w:ind w:left="0"/>
              <w:jc w:val="center"/>
            </w:pPr>
            <w:r>
              <w:rPr>
                <w:rFonts w:hint="eastAsia"/>
              </w:rPr>
              <w:t>修改后的条款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296" w:type="dxa"/>
            <w:shd w:val="clear" w:color="auto" w:fill="auto"/>
            <w:vAlign w:val="center"/>
          </w:tcPr>
          <w:p>
            <w:pPr>
              <w:spacing w:line="276" w:lineRule="auto"/>
              <w:jc w:val="center"/>
              <w:rPr>
                <w:rFonts w:ascii="宋体" w:hAnsi="宋体" w:cs="Times New Roman"/>
                <w:szCs w:val="22"/>
              </w:rPr>
            </w:pPr>
          </w:p>
        </w:tc>
        <w:tc>
          <w:tcPr>
            <w:tcW w:w="3142" w:type="dxa"/>
            <w:shd w:val="clear" w:color="auto" w:fill="auto"/>
            <w:vAlign w:val="center"/>
          </w:tcPr>
          <w:p>
            <w:pPr>
              <w:spacing w:line="276" w:lineRule="auto"/>
              <w:jc w:val="center"/>
              <w:rPr>
                <w:rFonts w:ascii="宋体" w:hAnsi="宋体" w:cs="Times New Roman"/>
                <w:szCs w:val="22"/>
              </w:rPr>
            </w:pPr>
          </w:p>
        </w:tc>
        <w:tc>
          <w:tcPr>
            <w:tcW w:w="5106" w:type="dxa"/>
            <w:shd w:val="clear" w:color="auto" w:fill="auto"/>
            <w:vAlign w:val="center"/>
          </w:tcPr>
          <w:p>
            <w:pPr>
              <w:spacing w:line="276" w:lineRule="auto"/>
              <w:jc w:val="both"/>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296" w:type="dxa"/>
            <w:shd w:val="clear" w:color="auto" w:fill="auto"/>
            <w:vAlign w:val="center"/>
          </w:tcPr>
          <w:p>
            <w:pPr>
              <w:spacing w:line="276" w:lineRule="auto"/>
              <w:jc w:val="center"/>
              <w:rPr>
                <w:rFonts w:ascii="宋体" w:hAnsi="宋体" w:cs="Times New Roman"/>
                <w:szCs w:val="22"/>
              </w:rPr>
            </w:pPr>
          </w:p>
        </w:tc>
        <w:tc>
          <w:tcPr>
            <w:tcW w:w="3142" w:type="dxa"/>
            <w:shd w:val="clear" w:color="auto" w:fill="auto"/>
            <w:vAlign w:val="center"/>
          </w:tcPr>
          <w:p>
            <w:pPr>
              <w:spacing w:line="276" w:lineRule="auto"/>
              <w:jc w:val="center"/>
              <w:rPr>
                <w:rFonts w:ascii="宋体" w:hAnsi="宋体" w:cs="Times New Roman"/>
                <w:szCs w:val="22"/>
              </w:rPr>
            </w:pPr>
          </w:p>
        </w:tc>
        <w:tc>
          <w:tcPr>
            <w:tcW w:w="5106" w:type="dxa"/>
            <w:shd w:val="clear" w:color="auto" w:fill="auto"/>
            <w:vAlign w:val="center"/>
          </w:tcPr>
          <w:p>
            <w:pPr>
              <w:spacing w:line="276" w:lineRule="auto"/>
              <w:jc w:val="both"/>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296" w:type="dxa"/>
            <w:shd w:val="clear" w:color="auto" w:fill="auto"/>
            <w:vAlign w:val="center"/>
          </w:tcPr>
          <w:p>
            <w:pPr>
              <w:spacing w:line="276" w:lineRule="auto"/>
              <w:jc w:val="center"/>
              <w:rPr>
                <w:rFonts w:ascii="宋体" w:hAnsi="宋体" w:cs="Times New Roman"/>
                <w:szCs w:val="22"/>
              </w:rPr>
            </w:pPr>
          </w:p>
        </w:tc>
        <w:tc>
          <w:tcPr>
            <w:tcW w:w="3142" w:type="dxa"/>
            <w:shd w:val="clear" w:color="auto" w:fill="auto"/>
            <w:vAlign w:val="center"/>
          </w:tcPr>
          <w:p>
            <w:pPr>
              <w:spacing w:line="276" w:lineRule="auto"/>
              <w:jc w:val="center"/>
              <w:rPr>
                <w:rFonts w:ascii="宋体" w:hAnsi="宋体" w:cs="Times New Roman"/>
                <w:szCs w:val="22"/>
              </w:rPr>
            </w:pPr>
          </w:p>
        </w:tc>
        <w:tc>
          <w:tcPr>
            <w:tcW w:w="5106" w:type="dxa"/>
            <w:shd w:val="clear" w:color="auto" w:fill="auto"/>
            <w:vAlign w:val="center"/>
          </w:tcPr>
          <w:p>
            <w:pPr>
              <w:spacing w:line="276" w:lineRule="auto"/>
              <w:jc w:val="both"/>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296" w:type="dxa"/>
            <w:shd w:val="clear" w:color="auto" w:fill="auto"/>
            <w:vAlign w:val="center"/>
          </w:tcPr>
          <w:p>
            <w:pPr>
              <w:spacing w:line="276" w:lineRule="auto"/>
              <w:jc w:val="center"/>
              <w:rPr>
                <w:rFonts w:ascii="宋体" w:hAnsi="宋体" w:cs="Times New Roman"/>
                <w:szCs w:val="22"/>
              </w:rPr>
            </w:pPr>
          </w:p>
        </w:tc>
        <w:tc>
          <w:tcPr>
            <w:tcW w:w="3142" w:type="dxa"/>
            <w:shd w:val="clear" w:color="auto" w:fill="auto"/>
            <w:vAlign w:val="center"/>
          </w:tcPr>
          <w:p>
            <w:pPr>
              <w:spacing w:line="276" w:lineRule="auto"/>
              <w:jc w:val="center"/>
              <w:rPr>
                <w:rFonts w:ascii="宋体" w:hAnsi="宋体" w:cs="Times New Roman"/>
                <w:szCs w:val="22"/>
              </w:rPr>
            </w:pPr>
          </w:p>
        </w:tc>
        <w:tc>
          <w:tcPr>
            <w:tcW w:w="5106" w:type="dxa"/>
            <w:shd w:val="clear" w:color="auto" w:fill="auto"/>
            <w:vAlign w:val="center"/>
          </w:tcPr>
          <w:p>
            <w:pPr>
              <w:spacing w:line="276" w:lineRule="auto"/>
              <w:jc w:val="both"/>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296" w:type="dxa"/>
            <w:shd w:val="clear" w:color="auto" w:fill="auto"/>
            <w:vAlign w:val="center"/>
          </w:tcPr>
          <w:p>
            <w:pPr>
              <w:spacing w:line="276" w:lineRule="auto"/>
              <w:jc w:val="center"/>
              <w:rPr>
                <w:rFonts w:ascii="宋体" w:hAnsi="宋体" w:cs="Times New Roman"/>
                <w:szCs w:val="22"/>
              </w:rPr>
            </w:pPr>
          </w:p>
        </w:tc>
        <w:tc>
          <w:tcPr>
            <w:tcW w:w="3142" w:type="dxa"/>
            <w:shd w:val="clear" w:color="auto" w:fill="auto"/>
            <w:vAlign w:val="center"/>
          </w:tcPr>
          <w:p>
            <w:pPr>
              <w:spacing w:line="276" w:lineRule="auto"/>
              <w:jc w:val="center"/>
              <w:rPr>
                <w:rFonts w:ascii="宋体" w:hAnsi="宋体" w:cs="Times New Roman"/>
                <w:szCs w:val="22"/>
              </w:rPr>
            </w:pPr>
          </w:p>
        </w:tc>
        <w:tc>
          <w:tcPr>
            <w:tcW w:w="5106" w:type="dxa"/>
            <w:shd w:val="clear" w:color="auto" w:fill="auto"/>
            <w:vAlign w:val="center"/>
          </w:tcPr>
          <w:p>
            <w:pPr>
              <w:spacing w:line="276" w:lineRule="auto"/>
              <w:jc w:val="both"/>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296" w:type="dxa"/>
            <w:shd w:val="clear" w:color="auto" w:fill="auto"/>
            <w:vAlign w:val="center"/>
          </w:tcPr>
          <w:p>
            <w:pPr>
              <w:spacing w:line="276" w:lineRule="auto"/>
              <w:jc w:val="center"/>
              <w:rPr>
                <w:rFonts w:ascii="宋体" w:hAnsi="宋体" w:cs="Times New Roman"/>
                <w:szCs w:val="22"/>
              </w:rPr>
            </w:pPr>
          </w:p>
        </w:tc>
        <w:tc>
          <w:tcPr>
            <w:tcW w:w="3142" w:type="dxa"/>
            <w:shd w:val="clear" w:color="auto" w:fill="auto"/>
            <w:vAlign w:val="center"/>
          </w:tcPr>
          <w:p>
            <w:pPr>
              <w:spacing w:line="276" w:lineRule="auto"/>
              <w:jc w:val="center"/>
              <w:rPr>
                <w:rFonts w:ascii="宋体" w:hAnsi="宋体" w:cs="Times New Roman"/>
                <w:szCs w:val="22"/>
              </w:rPr>
            </w:pPr>
          </w:p>
        </w:tc>
        <w:tc>
          <w:tcPr>
            <w:tcW w:w="5106" w:type="dxa"/>
            <w:shd w:val="clear" w:color="auto" w:fill="auto"/>
            <w:vAlign w:val="center"/>
          </w:tcPr>
          <w:p>
            <w:pPr>
              <w:spacing w:line="276" w:lineRule="auto"/>
              <w:jc w:val="both"/>
              <w:rPr>
                <w:rFonts w:ascii="宋体" w:hAnsi="宋体" w:cs="Times New Roman"/>
                <w:szCs w:val="22"/>
              </w:rPr>
            </w:pPr>
          </w:p>
        </w:tc>
      </w:tr>
    </w:tbl>
    <w:p>
      <w:pPr>
        <w:spacing w:line="276" w:lineRule="auto"/>
        <w:jc w:val="both"/>
        <w:rPr>
          <w:rFonts w:ascii="宋体" w:hAnsi="宋体" w:cs="Times New Roman"/>
          <w:sz w:val="21"/>
          <w:szCs w:val="21"/>
        </w:rPr>
      </w:pPr>
    </w:p>
    <w:p>
      <w:pPr>
        <w:pStyle w:val="6"/>
      </w:pPr>
      <w:r>
        <w:rPr>
          <w:rFonts w:hint="eastAsia"/>
        </w:rPr>
        <w:t>2.通用合同条款补充表</w:t>
      </w:r>
    </w:p>
    <w:tbl>
      <w:tblPr>
        <w:tblStyle w:val="15"/>
        <w:tblW w:w="9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3132"/>
        <w:gridCol w:w="5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1292" w:type="dxa"/>
            <w:shd w:val="clear" w:color="auto" w:fill="auto"/>
            <w:vAlign w:val="center"/>
          </w:tcPr>
          <w:p>
            <w:pPr>
              <w:pStyle w:val="2"/>
              <w:ind w:left="0"/>
              <w:jc w:val="center"/>
            </w:pPr>
            <w:r>
              <w:rPr>
                <w:rFonts w:hint="eastAsia"/>
              </w:rPr>
              <w:t>条款号</w:t>
            </w:r>
          </w:p>
        </w:tc>
        <w:tc>
          <w:tcPr>
            <w:tcW w:w="3132" w:type="dxa"/>
            <w:shd w:val="clear" w:color="auto" w:fill="auto"/>
            <w:vAlign w:val="center"/>
          </w:tcPr>
          <w:p>
            <w:pPr>
              <w:pStyle w:val="2"/>
              <w:ind w:left="0"/>
              <w:jc w:val="center"/>
            </w:pPr>
            <w:r>
              <w:rPr>
                <w:rFonts w:hint="eastAsia"/>
              </w:rPr>
              <w:t>原条款</w:t>
            </w:r>
          </w:p>
        </w:tc>
        <w:tc>
          <w:tcPr>
            <w:tcW w:w="5090" w:type="dxa"/>
            <w:shd w:val="clear" w:color="auto" w:fill="auto"/>
            <w:vAlign w:val="center"/>
          </w:tcPr>
          <w:p>
            <w:pPr>
              <w:pStyle w:val="2"/>
              <w:ind w:left="0"/>
              <w:jc w:val="center"/>
            </w:pPr>
            <w:r>
              <w:rPr>
                <w:rFonts w:hint="eastAsia"/>
              </w:rPr>
              <w:t>补充后的条款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292" w:type="dxa"/>
            <w:shd w:val="clear" w:color="auto" w:fill="auto"/>
            <w:vAlign w:val="center"/>
          </w:tcPr>
          <w:p>
            <w:pPr>
              <w:jc w:val="center"/>
              <w:rPr>
                <w:rFonts w:ascii="宋体" w:hAnsi="宋体" w:cs="Times New Roman"/>
                <w:szCs w:val="22"/>
              </w:rPr>
            </w:pPr>
          </w:p>
        </w:tc>
        <w:tc>
          <w:tcPr>
            <w:tcW w:w="3132" w:type="dxa"/>
            <w:shd w:val="clear" w:color="auto" w:fill="auto"/>
            <w:vAlign w:val="center"/>
          </w:tcPr>
          <w:p>
            <w:pPr>
              <w:jc w:val="center"/>
              <w:rPr>
                <w:rFonts w:ascii="宋体" w:hAnsi="宋体" w:cs="Times New Roman"/>
                <w:szCs w:val="22"/>
              </w:rPr>
            </w:pPr>
          </w:p>
        </w:tc>
        <w:tc>
          <w:tcPr>
            <w:tcW w:w="5090" w:type="dxa"/>
            <w:shd w:val="clear" w:color="auto" w:fill="auto"/>
            <w:vAlign w:val="center"/>
          </w:tcPr>
          <w:p>
            <w:pPr>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292" w:type="dxa"/>
            <w:shd w:val="clear" w:color="auto" w:fill="auto"/>
            <w:vAlign w:val="center"/>
          </w:tcPr>
          <w:p>
            <w:pPr>
              <w:jc w:val="center"/>
              <w:rPr>
                <w:rFonts w:ascii="宋体" w:hAnsi="宋体" w:cs="Times New Roman"/>
                <w:szCs w:val="22"/>
              </w:rPr>
            </w:pPr>
          </w:p>
        </w:tc>
        <w:tc>
          <w:tcPr>
            <w:tcW w:w="3132" w:type="dxa"/>
            <w:shd w:val="clear" w:color="auto" w:fill="auto"/>
            <w:vAlign w:val="center"/>
          </w:tcPr>
          <w:p>
            <w:pPr>
              <w:jc w:val="center"/>
              <w:rPr>
                <w:rFonts w:ascii="宋体" w:hAnsi="宋体" w:cs="Times New Roman"/>
                <w:szCs w:val="22"/>
              </w:rPr>
            </w:pPr>
          </w:p>
        </w:tc>
        <w:tc>
          <w:tcPr>
            <w:tcW w:w="5090" w:type="dxa"/>
            <w:shd w:val="clear" w:color="auto" w:fill="auto"/>
            <w:vAlign w:val="center"/>
          </w:tcPr>
          <w:p>
            <w:pPr>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292" w:type="dxa"/>
            <w:shd w:val="clear" w:color="auto" w:fill="auto"/>
            <w:vAlign w:val="center"/>
          </w:tcPr>
          <w:p>
            <w:pPr>
              <w:jc w:val="center"/>
              <w:rPr>
                <w:rFonts w:ascii="宋体" w:hAnsi="宋体" w:cs="Times New Roman"/>
                <w:szCs w:val="22"/>
              </w:rPr>
            </w:pPr>
          </w:p>
        </w:tc>
        <w:tc>
          <w:tcPr>
            <w:tcW w:w="3132" w:type="dxa"/>
            <w:shd w:val="clear" w:color="auto" w:fill="auto"/>
            <w:vAlign w:val="center"/>
          </w:tcPr>
          <w:p>
            <w:pPr>
              <w:jc w:val="center"/>
              <w:rPr>
                <w:rFonts w:ascii="宋体" w:hAnsi="宋体" w:cs="Times New Roman"/>
                <w:szCs w:val="22"/>
              </w:rPr>
            </w:pPr>
          </w:p>
        </w:tc>
        <w:tc>
          <w:tcPr>
            <w:tcW w:w="5090" w:type="dxa"/>
            <w:shd w:val="clear" w:color="auto" w:fill="auto"/>
            <w:vAlign w:val="center"/>
          </w:tcPr>
          <w:p>
            <w:pPr>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292" w:type="dxa"/>
            <w:shd w:val="clear" w:color="auto" w:fill="auto"/>
            <w:vAlign w:val="center"/>
          </w:tcPr>
          <w:p>
            <w:pPr>
              <w:jc w:val="center"/>
              <w:rPr>
                <w:rFonts w:ascii="宋体" w:hAnsi="宋体" w:cs="Times New Roman"/>
                <w:szCs w:val="22"/>
              </w:rPr>
            </w:pPr>
          </w:p>
        </w:tc>
        <w:tc>
          <w:tcPr>
            <w:tcW w:w="3132" w:type="dxa"/>
            <w:shd w:val="clear" w:color="auto" w:fill="auto"/>
            <w:vAlign w:val="center"/>
          </w:tcPr>
          <w:p>
            <w:pPr>
              <w:jc w:val="center"/>
              <w:rPr>
                <w:rFonts w:ascii="宋体" w:hAnsi="宋体" w:cs="Times New Roman"/>
                <w:szCs w:val="22"/>
              </w:rPr>
            </w:pPr>
          </w:p>
        </w:tc>
        <w:tc>
          <w:tcPr>
            <w:tcW w:w="5090" w:type="dxa"/>
            <w:shd w:val="clear" w:color="auto" w:fill="auto"/>
            <w:vAlign w:val="center"/>
          </w:tcPr>
          <w:p>
            <w:pPr>
              <w:jc w:val="center"/>
              <w:rPr>
                <w:rFonts w:ascii="宋体" w:hAnsi="宋体" w:cs="Times New Roman"/>
                <w:szCs w:val="22"/>
              </w:rPr>
            </w:pPr>
          </w:p>
        </w:tc>
      </w:tr>
    </w:tbl>
    <w:p>
      <w:pPr>
        <w:spacing w:line="276" w:lineRule="auto"/>
        <w:jc w:val="both"/>
        <w:rPr>
          <w:rFonts w:ascii="宋体" w:hAnsi="宋体" w:cs="Times New Roman"/>
          <w:bCs/>
          <w:sz w:val="21"/>
          <w:szCs w:val="21"/>
        </w:rPr>
      </w:pPr>
    </w:p>
    <w:p>
      <w:pPr>
        <w:spacing w:line="276" w:lineRule="auto"/>
        <w:jc w:val="both"/>
      </w:pPr>
      <w:r>
        <w:rPr>
          <w:rFonts w:ascii="宋体" w:hAnsi="宋体" w:cs="Times New Roman"/>
          <w:bCs/>
          <w:sz w:val="21"/>
          <w:szCs w:val="21"/>
        </w:rPr>
        <w:br w:type="page"/>
      </w:r>
    </w:p>
    <w:p>
      <w:pPr>
        <w:pStyle w:val="2"/>
        <w:ind w:left="0"/>
      </w:pPr>
      <w:bookmarkStart w:id="222" w:name="_Toc351203652"/>
      <w:r>
        <w:t>附件</w:t>
      </w:r>
      <w:bookmarkEnd w:id="222"/>
      <w:r>
        <w:rPr>
          <w:rFonts w:hint="eastAsia"/>
        </w:rPr>
        <w:t>：</w:t>
      </w:r>
    </w:p>
    <w:p>
      <w:pPr>
        <w:spacing w:line="240" w:lineRule="auto"/>
        <w:jc w:val="center"/>
        <w:rPr>
          <w:rFonts w:ascii="Times New Roman" w:hAnsi="Times New Roman" w:cs="Times New Roman"/>
          <w:szCs w:val="28"/>
        </w:rPr>
      </w:pPr>
      <w:r>
        <w:rPr>
          <w:rFonts w:hint="eastAsia" w:ascii="Times New Roman" w:hAnsi="Times New Roman" w:cs="Times New Roman"/>
          <w:szCs w:val="28"/>
        </w:rPr>
        <w:t>（附件内容及格式招标人自拟）</w:t>
      </w:r>
    </w:p>
    <w:p>
      <w:pPr>
        <w:widowControl/>
        <w:spacing w:line="240" w:lineRule="auto"/>
        <w:rPr>
          <w:b/>
          <w:bCs/>
        </w:rPr>
      </w:pPr>
      <w:r>
        <w:rPr>
          <w:rFonts w:ascii="Times New Roman" w:hAnsi="Times New Roman" w:cs="Times New Roman"/>
          <w:sz w:val="21"/>
        </w:rPr>
        <w:br w:type="page"/>
      </w:r>
    </w:p>
    <w:p>
      <w:pPr>
        <w:pStyle w:val="6"/>
      </w:pPr>
      <w:r>
        <w:rPr>
          <w:rFonts w:hint="eastAsia"/>
        </w:rPr>
        <w:t>○合同条款及格式</w:t>
      </w:r>
    </w:p>
    <w:p>
      <w:pPr>
        <w:pStyle w:val="2"/>
        <w:ind w:left="0"/>
        <w:jc w:val="center"/>
      </w:pPr>
      <w:r>
        <w:rPr>
          <w:rFonts w:hint="eastAsia"/>
        </w:rPr>
        <w:t>(招标人自行拟定合同模板)</w:t>
      </w:r>
    </w:p>
    <w:p>
      <w:pPr>
        <w:pStyle w:val="2"/>
      </w:pPr>
    </w:p>
    <w:p>
      <w:r>
        <w:rPr>
          <w:rFonts w:hint="eastAsia"/>
        </w:rPr>
        <w:br w:type="page"/>
      </w:r>
    </w:p>
    <w:p>
      <w:pPr>
        <w:pStyle w:val="4"/>
        <w:numPr>
          <w:ilvl w:val="0"/>
          <w:numId w:val="10"/>
        </w:numPr>
      </w:pPr>
      <w:r>
        <w:rPr>
          <w:rFonts w:hint="eastAsia"/>
        </w:rPr>
        <w:t xml:space="preserve"> </w:t>
      </w:r>
      <w:bookmarkStart w:id="223" w:name="_Toc3266"/>
      <w:r>
        <w:rPr>
          <w:rFonts w:hint="eastAsia"/>
        </w:rPr>
        <w:t>工程量清单（另册）</w:t>
      </w:r>
      <w:bookmarkEnd w:id="223"/>
    </w:p>
    <w:p/>
    <w:p>
      <w:pPr>
        <w:rPr>
          <w:rFonts w:ascii="宋体" w:hAnsi="宋体" w:cs="宋体"/>
        </w:rPr>
      </w:pPr>
      <w:r>
        <w:rPr>
          <w:rFonts w:hint="eastAsia" w:ascii="宋体" w:hAnsi="宋体" w:cs="宋体"/>
        </w:rPr>
        <w:t>□投标人在成都市公共资源电子交易云平台(www.cdggzy.com）下载。</w:t>
      </w:r>
    </w:p>
    <w:p>
      <w:pPr>
        <w:rPr>
          <w:rFonts w:ascii="宋体" w:hAnsi="宋体" w:cs="宋体"/>
        </w:rPr>
      </w:pPr>
      <w:r>
        <w:rPr>
          <w:rFonts w:hint="eastAsia" w:ascii="宋体" w:hAnsi="宋体" w:cs="宋体"/>
        </w:rPr>
        <w:t>□本项目计价模式为：</w:t>
      </w:r>
      <w:r>
        <w:rPr>
          <w:rFonts w:hint="eastAsia" w:ascii="宋体" w:hAnsi="宋体" w:cs="宋体"/>
          <w:u w:val="single"/>
        </w:rPr>
        <w:t xml:space="preserve">            </w:t>
      </w:r>
      <w:r>
        <w:rPr>
          <w:rFonts w:hint="eastAsia" w:ascii="宋体" w:hAnsi="宋体" w:cs="宋体"/>
        </w:rPr>
        <w:t>，故不提供招标工程量清单。</w:t>
      </w: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注：招标人根据项目具体情况自拟投标报价的相关格式及内容要求。</w:t>
      </w: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sectPr>
          <w:footerReference r:id="rId8" w:type="default"/>
          <w:pgSz w:w="12240" w:h="15840"/>
          <w:pgMar w:top="1134" w:right="1134" w:bottom="1134" w:left="1134" w:header="0" w:footer="921" w:gutter="0"/>
          <w:cols w:space="720" w:num="1"/>
        </w:sectPr>
      </w:pPr>
    </w:p>
    <w:p>
      <w:pPr>
        <w:pStyle w:val="2"/>
        <w:ind w:left="0"/>
      </w:pPr>
    </w:p>
    <w:p>
      <w:pPr>
        <w:pStyle w:val="3"/>
      </w:pPr>
    </w:p>
    <w:p>
      <w:pPr>
        <w:pStyle w:val="3"/>
      </w:pPr>
    </w:p>
    <w:p>
      <w:pPr>
        <w:pStyle w:val="3"/>
      </w:pPr>
    </w:p>
    <w:p>
      <w:pPr>
        <w:pStyle w:val="3"/>
        <w:sectPr>
          <w:footerReference r:id="rId9" w:type="default"/>
          <w:pgSz w:w="12240" w:h="15840"/>
          <w:pgMar w:top="1134" w:right="1134" w:bottom="1134" w:left="1134" w:header="0" w:footer="921" w:gutter="0"/>
          <w:cols w:space="720" w:num="1"/>
        </w:sectPr>
      </w:pPr>
      <w:bookmarkStart w:id="224" w:name="_Toc3560"/>
      <w:bookmarkStart w:id="225" w:name="_Toc8280"/>
      <w:r>
        <w:rPr>
          <w:rFonts w:hint="eastAsia"/>
        </w:rPr>
        <w:t>第二卷</w:t>
      </w:r>
      <w:bookmarkEnd w:id="224"/>
      <w:bookmarkEnd w:id="225"/>
    </w:p>
    <w:p>
      <w:pPr>
        <w:pStyle w:val="4"/>
      </w:pPr>
      <w:bookmarkStart w:id="226" w:name="_Toc12202"/>
      <w:r>
        <w:rPr>
          <w:rFonts w:hint="eastAsia"/>
        </w:rPr>
        <w:t>第六章 图纸（另册）</w:t>
      </w:r>
      <w:bookmarkEnd w:id="226"/>
    </w:p>
    <w:p>
      <w:pPr>
        <w:pStyle w:val="2"/>
        <w:ind w:left="0"/>
        <w:rPr>
          <w:rFonts w:cs="宋体"/>
        </w:rPr>
        <w:sectPr>
          <w:footerReference r:id="rId10" w:type="default"/>
          <w:pgSz w:w="12240" w:h="15840"/>
          <w:pgMar w:top="1134" w:right="1134" w:bottom="1134" w:left="1134" w:header="0" w:footer="921" w:gutter="0"/>
          <w:cols w:space="720" w:num="1"/>
        </w:sectPr>
      </w:pPr>
      <w:r>
        <w:rPr>
          <w:rFonts w:hint="eastAsia"/>
        </w:rPr>
        <w:t>投标人</w:t>
      </w:r>
      <w:r>
        <w:rPr>
          <w:rFonts w:cs="宋体"/>
        </w:rPr>
        <w:t>在</w:t>
      </w:r>
      <w:r>
        <w:rPr>
          <w:rFonts w:hint="eastAsia" w:cs="宋体"/>
        </w:rPr>
        <w:t>成都市公共资源电子交易云平台(</w:t>
      </w:r>
      <w:r>
        <w:rPr>
          <w:rFonts w:cs="宋体"/>
        </w:rPr>
        <w:t>www.cdggzy.com）下载</w:t>
      </w:r>
      <w:r>
        <w:rPr>
          <w:rFonts w:hint="eastAsia" w:cs="宋体"/>
        </w:rPr>
        <w:t>。</w:t>
      </w:r>
    </w:p>
    <w:p>
      <w:pPr>
        <w:pStyle w:val="2"/>
        <w:ind w:left="0"/>
        <w:rPr>
          <w:rFonts w:cs="宋体"/>
        </w:rPr>
      </w:pPr>
    </w:p>
    <w:p>
      <w:pPr>
        <w:pStyle w:val="3"/>
      </w:pPr>
    </w:p>
    <w:p>
      <w:pPr>
        <w:pStyle w:val="3"/>
      </w:pPr>
    </w:p>
    <w:p>
      <w:pPr>
        <w:pStyle w:val="3"/>
      </w:pPr>
    </w:p>
    <w:p>
      <w:pPr>
        <w:pStyle w:val="3"/>
      </w:pPr>
      <w:bookmarkStart w:id="227" w:name="_Toc27000"/>
      <w:r>
        <w:rPr>
          <w:rFonts w:hint="eastAsia"/>
        </w:rPr>
        <w:t>第三卷</w:t>
      </w:r>
      <w:bookmarkEnd w:id="227"/>
    </w:p>
    <w:p>
      <w:pPr>
        <w:pStyle w:val="4"/>
        <w:sectPr>
          <w:footerReference r:id="rId11" w:type="default"/>
          <w:pgSz w:w="12240" w:h="15840"/>
          <w:pgMar w:top="1134" w:right="1134" w:bottom="1134" w:left="1134" w:header="0" w:footer="921" w:gutter="0"/>
          <w:cols w:space="720" w:num="1"/>
        </w:sectPr>
      </w:pPr>
    </w:p>
    <w:p>
      <w:pPr>
        <w:pStyle w:val="4"/>
      </w:pPr>
      <w:bookmarkStart w:id="228" w:name="_Toc360440746"/>
      <w:bookmarkStart w:id="229" w:name="_Toc23573"/>
      <w:bookmarkStart w:id="230" w:name="_Toc11515"/>
      <w:bookmarkStart w:id="231" w:name="_Toc29376"/>
      <w:r>
        <w:rPr>
          <w:rFonts w:hint="eastAsia"/>
        </w:rPr>
        <w:t xml:space="preserve">第七章 </w:t>
      </w:r>
      <w:bookmarkEnd w:id="228"/>
      <w:bookmarkStart w:id="232" w:name="_Toc360440747"/>
      <w:r>
        <w:rPr>
          <w:rFonts w:hint="eastAsia"/>
        </w:rPr>
        <w:t>技术标准和要求（另册）</w:t>
      </w:r>
      <w:bookmarkEnd w:id="229"/>
      <w:bookmarkEnd w:id="230"/>
      <w:bookmarkEnd w:id="231"/>
      <w:bookmarkEnd w:id="232"/>
    </w:p>
    <w:p/>
    <w:p>
      <w:pPr>
        <w:rPr>
          <w:rFonts w:ascii="宋体" w:hAnsi="宋体"/>
          <w:szCs w:val="21"/>
        </w:rPr>
      </w:pPr>
      <w:r>
        <w:rPr>
          <w:rFonts w:hint="eastAsia" w:ascii="宋体" w:hAnsi="宋体"/>
          <w:szCs w:val="21"/>
        </w:rPr>
        <w:t>□投标人</w:t>
      </w:r>
      <w:r>
        <w:rPr>
          <w:rFonts w:ascii="宋体" w:hAnsi="宋体" w:cs="宋体"/>
          <w:szCs w:val="21"/>
        </w:rPr>
        <w:t>在</w:t>
      </w:r>
      <w:r>
        <w:rPr>
          <w:rFonts w:hint="eastAsia" w:ascii="宋体" w:hAnsi="宋体" w:cs="宋体"/>
          <w:szCs w:val="21"/>
        </w:rPr>
        <w:t>成都市公共资源电子交易云平台(</w:t>
      </w:r>
      <w:r>
        <w:rPr>
          <w:rFonts w:ascii="宋体" w:hAnsi="宋体" w:cs="宋体"/>
          <w:szCs w:val="21"/>
        </w:rPr>
        <w:t>www.cdggzy.com）下载</w:t>
      </w:r>
      <w:r>
        <w:rPr>
          <w:rFonts w:hint="eastAsia" w:ascii="宋体" w:hAnsi="宋体" w:cs="宋体"/>
          <w:szCs w:val="21"/>
        </w:rPr>
        <w:t>。</w:t>
      </w:r>
      <w:r>
        <w:rPr>
          <w:rFonts w:hint="eastAsia" w:ascii="宋体" w:hAnsi="宋体"/>
          <w:szCs w:val="21"/>
        </w:rPr>
        <w:t>□本项目技术标准和要求为：</w:t>
      </w:r>
      <w:r>
        <w:rPr>
          <w:rFonts w:hint="eastAsia" w:ascii="宋体" w:hAnsi="宋体"/>
          <w:szCs w:val="21"/>
          <w:u w:val="single"/>
        </w:rPr>
        <w:t xml:space="preserve">    </w:t>
      </w:r>
      <w:r>
        <w:rPr>
          <w:rFonts w:hint="eastAsia" w:ascii="宋体" w:hAnsi="宋体"/>
          <w:szCs w:val="21"/>
        </w:rPr>
        <w:t>。</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pPr>
    </w:p>
    <w:p>
      <w:pPr>
        <w:pStyle w:val="2"/>
        <w:ind w:left="0"/>
        <w:sectPr>
          <w:footerReference r:id="rId12" w:type="default"/>
          <w:pgSz w:w="12240" w:h="15840"/>
          <w:pgMar w:top="1134" w:right="1134" w:bottom="1134" w:left="1134" w:header="0" w:footer="921" w:gutter="0"/>
          <w:cols w:space="720" w:num="1"/>
        </w:sectPr>
      </w:pPr>
    </w:p>
    <w:p>
      <w:pPr>
        <w:pStyle w:val="2"/>
        <w:ind w:left="0"/>
      </w:pPr>
    </w:p>
    <w:p>
      <w:pPr>
        <w:pStyle w:val="3"/>
      </w:pPr>
    </w:p>
    <w:p>
      <w:pPr>
        <w:pStyle w:val="3"/>
      </w:pPr>
    </w:p>
    <w:p>
      <w:pPr>
        <w:pStyle w:val="3"/>
      </w:pPr>
    </w:p>
    <w:p>
      <w:pPr>
        <w:pStyle w:val="3"/>
      </w:pPr>
      <w:bookmarkStart w:id="233" w:name="_Toc14079"/>
      <w:r>
        <w:rPr>
          <w:rFonts w:hint="eastAsia"/>
        </w:rPr>
        <w:t>第四卷</w:t>
      </w:r>
      <w:bookmarkEnd w:id="233"/>
    </w:p>
    <w:p>
      <w:pPr>
        <w:pStyle w:val="4"/>
        <w:numPr>
          <w:ilvl w:val="0"/>
          <w:numId w:val="10"/>
        </w:numPr>
        <w:sectPr>
          <w:footerReference r:id="rId13" w:type="default"/>
          <w:pgSz w:w="12240" w:h="15840"/>
          <w:pgMar w:top="1134" w:right="1134" w:bottom="1134" w:left="1134" w:header="0" w:footer="921" w:gutter="0"/>
          <w:cols w:space="720" w:num="1"/>
        </w:sectPr>
      </w:pPr>
    </w:p>
    <w:p>
      <w:pPr>
        <w:pStyle w:val="4"/>
      </w:pPr>
      <w:bookmarkStart w:id="234" w:name="_Toc360440748"/>
      <w:bookmarkStart w:id="235" w:name="_Toc23556"/>
      <w:bookmarkStart w:id="236" w:name="_Toc5705"/>
      <w:bookmarkStart w:id="237" w:name="_Toc31950"/>
      <w:r>
        <w:rPr>
          <w:rFonts w:hint="eastAsia"/>
        </w:rPr>
        <w:t>第八章 投标文件格式</w:t>
      </w:r>
      <w:bookmarkEnd w:id="234"/>
      <w:bookmarkEnd w:id="235"/>
      <w:bookmarkEnd w:id="236"/>
      <w:bookmarkEnd w:id="237"/>
    </w:p>
    <w:p>
      <w:pPr>
        <w:rPr>
          <w:rFonts w:ascii="宋体" w:hAnsi="宋体"/>
          <w:kern w:val="0"/>
          <w:sz w:val="28"/>
          <w:szCs w:val="28"/>
        </w:rPr>
      </w:pPr>
      <w:bookmarkStart w:id="238" w:name="_Toc20628"/>
      <w:bookmarkStart w:id="239" w:name="_Toc30117"/>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pStyle w:val="2"/>
        <w:rPr>
          <w:kern w:val="0"/>
          <w:sz w:val="28"/>
          <w:szCs w:val="28"/>
        </w:rPr>
      </w:pPr>
    </w:p>
    <w:p>
      <w:pPr>
        <w:rPr>
          <w:sz w:val="28"/>
          <w:szCs w:val="32"/>
        </w:rPr>
      </w:pPr>
      <w:r>
        <w:rPr>
          <w:rFonts w:hint="eastAsia"/>
          <w:sz w:val="28"/>
          <w:szCs w:val="32"/>
        </w:rPr>
        <w:t>投标文件封面格式</w:t>
      </w:r>
    </w:p>
    <w:p>
      <w:pPr>
        <w:jc w:val="right"/>
        <w:rPr>
          <w:sz w:val="28"/>
          <w:szCs w:val="32"/>
        </w:rPr>
      </w:pPr>
      <w:r>
        <w:rPr>
          <w:rFonts w:hint="eastAsia"/>
          <w:sz w:val="28"/>
          <w:szCs w:val="32"/>
        </w:rPr>
        <w:t>正本（副本）</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b/>
          <w:bCs/>
          <w:kern w:val="0"/>
          <w:szCs w:val="28"/>
        </w:rPr>
      </w:pPr>
      <w:r>
        <w:rPr>
          <w:rFonts w:hint="eastAsia" w:ascii="宋体" w:hAnsi="宋体" w:cs="宋体"/>
          <w:b/>
          <w:bCs/>
          <w:sz w:val="36"/>
          <w:szCs w:val="36"/>
          <w:u w:val="single"/>
        </w:rPr>
        <w:t xml:space="preserve">        </w:t>
      </w:r>
      <w:r>
        <w:rPr>
          <w:rFonts w:hint="eastAsia" w:ascii="宋体" w:hAnsi="宋体" w:cs="宋体"/>
          <w:b/>
          <w:bCs/>
          <w:sz w:val="36"/>
          <w:szCs w:val="36"/>
        </w:rPr>
        <w:t>（项目名称）设计-施工总承包</w:t>
      </w:r>
      <w:r>
        <w:rPr>
          <w:rFonts w:hint="eastAsia" w:ascii="宋体" w:hAnsi="宋体" w:cs="宋体"/>
          <w:b/>
          <w:bCs/>
          <w:sz w:val="36"/>
          <w:szCs w:val="36"/>
          <w:u w:val="single"/>
        </w:rPr>
        <w:t xml:space="preserve">        </w:t>
      </w:r>
      <w:r>
        <w:rPr>
          <w:rFonts w:hint="eastAsia" w:ascii="宋体" w:hAnsi="宋体" w:cs="宋体"/>
          <w:b/>
          <w:bCs/>
          <w:sz w:val="36"/>
          <w:szCs w:val="36"/>
        </w:rPr>
        <w:t>标段招标</w:t>
      </w:r>
    </w:p>
    <w:p>
      <w:pPr>
        <w:rPr>
          <w:rFonts w:ascii="宋体" w:hAnsi="宋体"/>
          <w:kern w:val="0"/>
          <w:sz w:val="28"/>
          <w:szCs w:val="28"/>
        </w:rPr>
      </w:pPr>
    </w:p>
    <w:p>
      <w:pPr>
        <w:rPr>
          <w:rFonts w:ascii="宋体" w:hAnsi="宋体"/>
          <w:kern w:val="0"/>
          <w:sz w:val="28"/>
          <w:szCs w:val="28"/>
        </w:rPr>
      </w:pPr>
    </w:p>
    <w:p>
      <w:pPr>
        <w:jc w:val="center"/>
        <w:rPr>
          <w:rFonts w:ascii="宋体" w:hAnsi="宋体"/>
          <w:b/>
          <w:bCs/>
          <w:kern w:val="0"/>
          <w:szCs w:val="72"/>
        </w:rPr>
      </w:pPr>
      <w:r>
        <w:rPr>
          <w:rFonts w:hint="eastAsia"/>
          <w:b/>
          <w:bCs/>
          <w:sz w:val="72"/>
          <w:szCs w:val="72"/>
        </w:rPr>
        <w:t>投标文件</w:t>
      </w:r>
    </w:p>
    <w:p>
      <w:pPr>
        <w:jc w:val="center"/>
        <w:rPr>
          <w:b/>
          <w:bCs/>
          <w:sz w:val="44"/>
          <w:szCs w:val="44"/>
        </w:rPr>
      </w:pPr>
      <w:r>
        <w:rPr>
          <w:rFonts w:hint="eastAsia"/>
          <w:b/>
          <w:bCs/>
          <w:sz w:val="44"/>
          <w:szCs w:val="44"/>
        </w:rPr>
        <w:t>（第 册，共 册）</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b/>
          <w:bCs/>
          <w:sz w:val="28"/>
          <w:szCs w:val="32"/>
        </w:rPr>
      </w:pPr>
    </w:p>
    <w:p>
      <w:pPr>
        <w:ind w:firstLine="643" w:firstLineChars="200"/>
        <w:rPr>
          <w:b/>
          <w:bCs/>
          <w:sz w:val="32"/>
          <w:szCs w:val="32"/>
        </w:rPr>
      </w:pPr>
      <w:r>
        <w:rPr>
          <w:rFonts w:hint="eastAsia"/>
          <w:b/>
          <w:bCs/>
          <w:sz w:val="32"/>
          <w:szCs w:val="32"/>
        </w:rPr>
        <w:t>投标人：</w:t>
      </w:r>
      <w:r>
        <w:rPr>
          <w:rFonts w:hint="eastAsia"/>
          <w:b/>
          <w:bCs/>
          <w:sz w:val="32"/>
          <w:szCs w:val="32"/>
          <w:u w:val="single"/>
        </w:rPr>
        <w:t xml:space="preserve">                          </w:t>
      </w:r>
      <w:r>
        <w:rPr>
          <w:rFonts w:hint="eastAsia"/>
          <w:b/>
          <w:bCs/>
          <w:sz w:val="32"/>
          <w:szCs w:val="32"/>
        </w:rPr>
        <w:t>（盖单位章）</w:t>
      </w:r>
    </w:p>
    <w:p>
      <w:pPr>
        <w:ind w:firstLine="643" w:firstLineChars="200"/>
        <w:rPr>
          <w:b/>
          <w:bCs/>
          <w:sz w:val="32"/>
          <w:szCs w:val="32"/>
        </w:rPr>
      </w:pPr>
      <w:r>
        <w:rPr>
          <w:rFonts w:hint="eastAsia"/>
          <w:b/>
          <w:bCs/>
          <w:sz w:val="32"/>
          <w:szCs w:val="32"/>
        </w:rPr>
        <w:t>法定代表人或其委托代理人：</w:t>
      </w:r>
      <w:r>
        <w:rPr>
          <w:rFonts w:hint="eastAsia"/>
          <w:b/>
          <w:bCs/>
          <w:sz w:val="32"/>
          <w:szCs w:val="32"/>
          <w:u w:val="single"/>
        </w:rPr>
        <w:t xml:space="preserve">        </w:t>
      </w:r>
      <w:r>
        <w:rPr>
          <w:rFonts w:hint="eastAsia"/>
          <w:b/>
          <w:bCs/>
          <w:sz w:val="32"/>
          <w:szCs w:val="32"/>
        </w:rPr>
        <w:t>（签字或盖章）</w:t>
      </w:r>
    </w:p>
    <w:p>
      <w:pPr>
        <w:jc w:val="center"/>
        <w:rPr>
          <w:b/>
          <w:bCs/>
          <w:sz w:val="32"/>
          <w:szCs w:val="36"/>
        </w:rPr>
      </w:pPr>
      <w:r>
        <w:rPr>
          <w:rFonts w:hint="eastAsia"/>
          <w:b/>
          <w:bCs/>
          <w:sz w:val="32"/>
          <w:szCs w:val="36"/>
        </w:rPr>
        <w:t>日期：</w:t>
      </w:r>
      <w:r>
        <w:rPr>
          <w:rFonts w:hint="eastAsia"/>
          <w:b/>
          <w:bCs/>
          <w:sz w:val="32"/>
          <w:szCs w:val="36"/>
        </w:rPr>
        <w:tab/>
      </w:r>
      <w:r>
        <w:rPr>
          <w:rFonts w:hint="eastAsia"/>
          <w:b/>
          <w:bCs/>
          <w:sz w:val="32"/>
          <w:szCs w:val="36"/>
        </w:rPr>
        <w:t xml:space="preserve"> 年  月</w:t>
      </w:r>
      <w:r>
        <w:rPr>
          <w:rFonts w:hint="eastAsia"/>
          <w:b/>
          <w:bCs/>
          <w:sz w:val="32"/>
          <w:szCs w:val="36"/>
        </w:rPr>
        <w:tab/>
      </w:r>
      <w:r>
        <w:rPr>
          <w:rFonts w:hint="eastAsia"/>
          <w:b/>
          <w:bCs/>
          <w:sz w:val="32"/>
          <w:szCs w:val="36"/>
        </w:rPr>
        <w:t xml:space="preserve"> 日</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b/>
          <w:bCs/>
          <w:sz w:val="28"/>
          <w:szCs w:val="32"/>
        </w:rPr>
      </w:pPr>
      <w:r>
        <w:rPr>
          <w:rFonts w:hint="eastAsia"/>
          <w:b/>
          <w:bCs/>
          <w:sz w:val="28"/>
          <w:szCs w:val="32"/>
        </w:rPr>
        <w:t>目  录</w:t>
      </w:r>
    </w:p>
    <w:p>
      <w:pPr>
        <w:rPr>
          <w:sz w:val="28"/>
          <w:szCs w:val="32"/>
        </w:rPr>
      </w:pPr>
      <w:r>
        <w:rPr>
          <w:rFonts w:hint="eastAsia"/>
          <w:sz w:val="28"/>
          <w:szCs w:val="32"/>
        </w:rPr>
        <w:t>一、投标函及投标函附录</w:t>
      </w:r>
    </w:p>
    <w:p>
      <w:pPr>
        <w:rPr>
          <w:sz w:val="28"/>
          <w:szCs w:val="32"/>
        </w:rPr>
      </w:pPr>
      <w:r>
        <w:rPr>
          <w:rFonts w:hint="eastAsia"/>
          <w:sz w:val="28"/>
          <w:szCs w:val="32"/>
        </w:rPr>
        <w:t>二、法定代表人身份证明</w:t>
      </w:r>
    </w:p>
    <w:p>
      <w:pPr>
        <w:rPr>
          <w:sz w:val="28"/>
          <w:szCs w:val="32"/>
        </w:rPr>
      </w:pPr>
      <w:r>
        <w:rPr>
          <w:rFonts w:hint="eastAsia"/>
          <w:sz w:val="28"/>
          <w:szCs w:val="32"/>
        </w:rPr>
        <w:t>三、授权委托书</w:t>
      </w:r>
    </w:p>
    <w:p>
      <w:pPr>
        <w:rPr>
          <w:sz w:val="28"/>
          <w:szCs w:val="32"/>
        </w:rPr>
      </w:pPr>
      <w:r>
        <w:rPr>
          <w:rFonts w:hint="eastAsia"/>
          <w:sz w:val="28"/>
          <w:szCs w:val="32"/>
        </w:rPr>
        <w:t>四、□联合体协议书</w:t>
      </w:r>
    </w:p>
    <w:p>
      <w:pPr>
        <w:rPr>
          <w:sz w:val="28"/>
          <w:szCs w:val="32"/>
        </w:rPr>
      </w:pPr>
      <w:r>
        <w:rPr>
          <w:rFonts w:hint="eastAsia"/>
          <w:sz w:val="28"/>
          <w:szCs w:val="32"/>
        </w:rPr>
        <w:t>五、项目管理机构</w:t>
      </w:r>
    </w:p>
    <w:p>
      <w:pPr>
        <w:rPr>
          <w:sz w:val="28"/>
          <w:szCs w:val="32"/>
        </w:rPr>
      </w:pPr>
      <w:r>
        <w:rPr>
          <w:rFonts w:hint="eastAsia"/>
          <w:sz w:val="28"/>
          <w:szCs w:val="32"/>
        </w:rPr>
        <w:t>六、资格审查资料</w:t>
      </w:r>
    </w:p>
    <w:p>
      <w:pPr>
        <w:rPr>
          <w:sz w:val="28"/>
          <w:szCs w:val="32"/>
        </w:rPr>
      </w:pPr>
      <w:r>
        <w:rPr>
          <w:rFonts w:hint="eastAsia"/>
          <w:sz w:val="28"/>
          <w:szCs w:val="32"/>
        </w:rPr>
        <w:t>七、</w:t>
      </w:r>
      <w:r>
        <w:rPr>
          <w:rFonts w:hint="eastAsia"/>
          <w:sz w:val="28"/>
          <w:szCs w:val="32"/>
        </w:rPr>
        <w:sym w:font="Wingdings 2" w:char="00A3"/>
      </w:r>
      <w:r>
        <w:rPr>
          <w:rFonts w:hint="eastAsia"/>
          <w:sz w:val="28"/>
          <w:szCs w:val="32"/>
        </w:rPr>
        <w:t>设计-施工总承包实施方案</w:t>
      </w:r>
    </w:p>
    <w:p>
      <w:pPr>
        <w:rPr>
          <w:sz w:val="28"/>
          <w:szCs w:val="32"/>
        </w:rPr>
      </w:pPr>
      <w:r>
        <w:rPr>
          <w:rFonts w:hint="eastAsia"/>
          <w:sz w:val="28"/>
          <w:szCs w:val="32"/>
        </w:rPr>
        <w:t>八、□投标报价</w:t>
      </w:r>
    </w:p>
    <w:p>
      <w:pPr>
        <w:rPr>
          <w:sz w:val="28"/>
          <w:szCs w:val="32"/>
        </w:rPr>
      </w:pPr>
      <w:r>
        <w:rPr>
          <w:rFonts w:hint="eastAsia"/>
          <w:sz w:val="28"/>
          <w:szCs w:val="32"/>
        </w:rPr>
        <w:t>九、□其他资料</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ind w:firstLine="440" w:firstLineChars="200"/>
      </w:pPr>
      <w:r>
        <w:rPr>
          <w:rFonts w:hint="eastAsia"/>
        </w:rPr>
        <w:t>注：1、上述目录供投标人参考，投标人根据情况可自行对投标文件进行分册，目录可按照具体内容自动生成。</w:t>
      </w:r>
    </w:p>
    <w:p>
      <w:pPr>
        <w:numPr>
          <w:ilvl w:val="0"/>
          <w:numId w:val="51"/>
        </w:numPr>
        <w:ind w:firstLine="880" w:firstLineChars="400"/>
      </w:pPr>
      <w:r>
        <w:rPr>
          <w:rFonts w:hint="eastAsia"/>
        </w:rPr>
        <w:t>投标文件中的“注”仅为更好的为投标人解释投标文件格式，各投标人在编制投标文件时，可自行删除“注”的内容。</w:t>
      </w:r>
    </w:p>
    <w:p>
      <w:pPr>
        <w:pStyle w:val="2"/>
        <w:ind w:left="0"/>
      </w:pPr>
    </w:p>
    <w:p>
      <w:pPr>
        <w:rPr>
          <w:rFonts w:ascii="宋体" w:hAnsi="宋体"/>
          <w:kern w:val="0"/>
          <w:sz w:val="28"/>
          <w:szCs w:val="28"/>
        </w:rPr>
      </w:pPr>
      <w:r>
        <w:rPr>
          <w:rFonts w:hint="eastAsia" w:ascii="宋体" w:hAnsi="宋体"/>
          <w:kern w:val="0"/>
          <w:sz w:val="28"/>
          <w:szCs w:val="28"/>
        </w:rPr>
        <w:br w:type="page"/>
      </w:r>
    </w:p>
    <w:bookmarkEnd w:id="238"/>
    <w:bookmarkEnd w:id="239"/>
    <w:p>
      <w:pPr>
        <w:pStyle w:val="5"/>
      </w:pPr>
      <w:bookmarkStart w:id="240" w:name="_Toc11390"/>
      <w:bookmarkStart w:id="241" w:name="_Toc7505"/>
      <w:r>
        <w:rPr>
          <w:rFonts w:hint="eastAsia"/>
        </w:rPr>
        <w:t>一、投标函及投标函附录</w:t>
      </w:r>
      <w:bookmarkEnd w:id="240"/>
      <w:bookmarkEnd w:id="241"/>
    </w:p>
    <w:p>
      <w:pPr>
        <w:pStyle w:val="6"/>
        <w:jc w:val="center"/>
        <w:rPr>
          <w:b/>
          <w:bCs/>
        </w:rPr>
      </w:pPr>
      <w:r>
        <w:rPr>
          <w:rFonts w:hint="eastAsia"/>
          <w:b/>
          <w:bCs/>
        </w:rPr>
        <w:t>(一)投标函</w:t>
      </w:r>
    </w:p>
    <w:p>
      <w:pPr>
        <w:ind w:firstLine="440" w:firstLineChars="200"/>
        <w:jc w:val="both"/>
        <w:rPr>
          <w:rFonts w:ascii="宋体" w:hAnsi="宋体" w:cs="Times New Roman"/>
          <w:szCs w:val="22"/>
        </w:rPr>
      </w:pPr>
      <w:r>
        <w:rPr>
          <w:rFonts w:hint="eastAsia" w:ascii="宋体" w:hAnsi="宋体" w:cs="Times New Roman"/>
          <w:szCs w:val="22"/>
          <w:u w:val="single"/>
        </w:rPr>
        <w:t xml:space="preserve">             </w:t>
      </w:r>
      <w:r>
        <w:rPr>
          <w:rFonts w:hint="eastAsia" w:ascii="宋体" w:hAnsi="宋体" w:cs="Times New Roman"/>
          <w:szCs w:val="22"/>
        </w:rPr>
        <w:t>（招标人名称）:</w:t>
      </w:r>
    </w:p>
    <w:p>
      <w:pPr>
        <w:ind w:left="376" w:leftChars="171" w:firstLine="440" w:firstLineChars="200"/>
        <w:jc w:val="both"/>
        <w:rPr>
          <w:rFonts w:ascii="宋体" w:hAnsi="宋体" w:cs="Times New Roman"/>
          <w:szCs w:val="22"/>
        </w:rPr>
      </w:pPr>
      <w:r>
        <w:rPr>
          <w:rFonts w:hint="eastAsia" w:ascii="宋体" w:hAnsi="宋体" w:cs="Times New Roman"/>
          <w:szCs w:val="22"/>
        </w:rPr>
        <w:t>1．我方己仔细研究了</w:t>
      </w:r>
      <w:r>
        <w:rPr>
          <w:rFonts w:hint="eastAsia" w:ascii="宋体" w:hAnsi="宋体" w:cs="Times New Roman"/>
          <w:szCs w:val="22"/>
          <w:u w:val="single"/>
        </w:rPr>
        <w:t xml:space="preserve">       </w:t>
      </w:r>
      <w:r>
        <w:rPr>
          <w:rFonts w:hint="eastAsia" w:ascii="宋体" w:hAnsi="宋体" w:cs="Times New Roman"/>
          <w:szCs w:val="22"/>
        </w:rPr>
        <w:t>（项目名称）□勘察□设计-施工</w:t>
      </w:r>
      <w:r>
        <w:rPr>
          <w:rFonts w:ascii="宋体" w:hAnsi="宋体" w:cs="Times New Roman"/>
          <w:szCs w:val="22"/>
        </w:rPr>
        <w:t>总承包</w:t>
      </w:r>
      <w:r>
        <w:rPr>
          <w:rFonts w:hint="eastAsia" w:ascii="宋体" w:hAnsi="宋体" w:cs="Times New Roman"/>
          <w:szCs w:val="22"/>
          <w:u w:val="single"/>
        </w:rPr>
        <w:t xml:space="preserve">      </w:t>
      </w:r>
      <w:r>
        <w:rPr>
          <w:rFonts w:hint="eastAsia" w:ascii="宋体" w:hAnsi="宋体" w:cs="Times New Roman"/>
          <w:szCs w:val="22"/>
        </w:rPr>
        <w:t>标段招标文件的全部内容，</w:t>
      </w:r>
      <w:r>
        <w:rPr>
          <w:rFonts w:hint="eastAsia" w:ascii="宋体" w:hAnsi="宋体" w:cs="Arial"/>
          <w:szCs w:val="22"/>
        </w:rPr>
        <w:t>遵照《中华人民共和国招标投标法》等有关规定，</w:t>
      </w:r>
      <w:r>
        <w:rPr>
          <w:rFonts w:ascii="宋体" w:hAnsi="宋体" w:cs="Arial"/>
          <w:szCs w:val="22"/>
        </w:rPr>
        <w:t>经踏勘项目现场和研究上述工程招标文件、工程建设标准及其他有关文件后，我方愿按上述招标文件、合同条款、工程建设标准的条件要求</w:t>
      </w:r>
      <w:r>
        <w:rPr>
          <w:rFonts w:hint="eastAsia" w:ascii="宋体" w:hAnsi="宋体" w:cs="Arial"/>
          <w:szCs w:val="22"/>
        </w:rPr>
        <w:t>，</w:t>
      </w:r>
      <w:r>
        <w:rPr>
          <w:rFonts w:ascii="宋体" w:hAnsi="宋体" w:cs="Arial"/>
          <w:szCs w:val="22"/>
        </w:rPr>
        <w:t>承包</w:t>
      </w:r>
      <w:r>
        <w:rPr>
          <w:rFonts w:hint="eastAsia" w:ascii="宋体" w:hAnsi="宋体" w:cs="Arial"/>
          <w:szCs w:val="22"/>
        </w:rPr>
        <w:t>本标段</w:t>
      </w:r>
      <w:r>
        <w:rPr>
          <w:rFonts w:ascii="宋体" w:hAnsi="宋体" w:cs="Arial"/>
          <w:szCs w:val="22"/>
        </w:rPr>
        <w:t>的</w:t>
      </w:r>
      <w:r>
        <w:rPr>
          <w:rFonts w:hint="eastAsia" w:ascii="宋体" w:hAnsi="宋体" w:cs="Times New Roman"/>
          <w:szCs w:val="22"/>
          <w:u w:val="single"/>
        </w:rPr>
        <w:t>设计-施工</w:t>
      </w:r>
      <w:r>
        <w:rPr>
          <w:rFonts w:ascii="宋体" w:hAnsi="宋体" w:cs="Times New Roman"/>
          <w:szCs w:val="22"/>
          <w:u w:val="single"/>
        </w:rPr>
        <w:t>总承包</w:t>
      </w:r>
      <w:r>
        <w:rPr>
          <w:rFonts w:hint="eastAsia" w:ascii="宋体" w:hAnsi="宋体" w:cs="Times New Roman"/>
          <w:szCs w:val="22"/>
        </w:rPr>
        <w:t>，并承担质量缺陷保修责任。</w:t>
      </w:r>
    </w:p>
    <w:p>
      <w:pPr>
        <w:ind w:left="376" w:leftChars="171" w:firstLine="440" w:firstLineChars="200"/>
        <w:jc w:val="both"/>
        <w:rPr>
          <w:rFonts w:ascii="宋体" w:hAnsi="宋体" w:cs="Times New Roman"/>
          <w:szCs w:val="22"/>
        </w:rPr>
      </w:pPr>
      <w:r>
        <w:rPr>
          <w:rFonts w:hint="eastAsia" w:ascii="宋体" w:hAnsi="宋体" w:cs="Times New Roman"/>
          <w:szCs w:val="22"/>
        </w:rPr>
        <w:t>我方愿意以的投标报价，总工期日历天，按合同约定实施和完成承包工程，修补工程中的任何缺陷。</w:t>
      </w:r>
    </w:p>
    <w:p>
      <w:pPr>
        <w:ind w:left="376" w:leftChars="171" w:firstLine="440" w:firstLineChars="200"/>
        <w:jc w:val="both"/>
        <w:rPr>
          <w:rFonts w:ascii="宋体" w:hAnsi="宋体" w:cs="Times New Roman"/>
          <w:szCs w:val="22"/>
        </w:rPr>
      </w:pPr>
      <w:r>
        <w:rPr>
          <w:rFonts w:hint="eastAsia" w:ascii="宋体" w:hAnsi="宋体" w:cs="Times New Roman"/>
          <w:szCs w:val="22"/>
        </w:rPr>
        <w:t>□勘察质量标准：</w:t>
      </w:r>
      <w:r>
        <w:rPr>
          <w:rFonts w:hint="eastAsia" w:ascii="宋体" w:hAnsi="宋体" w:cs="Times New Roman"/>
          <w:szCs w:val="22"/>
          <w:u w:val="single"/>
        </w:rPr>
        <w:t xml:space="preserve">             </w:t>
      </w:r>
      <w:r>
        <w:rPr>
          <w:rFonts w:hint="eastAsia" w:ascii="宋体" w:hAnsi="宋体" w:cs="Times New Roman"/>
          <w:szCs w:val="22"/>
        </w:rPr>
        <w:t>；</w:t>
      </w:r>
    </w:p>
    <w:p>
      <w:pPr>
        <w:ind w:left="376" w:leftChars="171" w:firstLine="440" w:firstLineChars="200"/>
        <w:jc w:val="both"/>
        <w:rPr>
          <w:rFonts w:ascii="宋体" w:hAnsi="宋体" w:cs="Times New Roman"/>
          <w:szCs w:val="22"/>
        </w:rPr>
      </w:pPr>
      <w:r>
        <w:rPr>
          <w:rFonts w:hint="eastAsia" w:ascii="宋体" w:hAnsi="宋体" w:cs="Times New Roman"/>
          <w:szCs w:val="22"/>
        </w:rPr>
        <w:t>□设计质量标准：</w:t>
      </w:r>
      <w:r>
        <w:rPr>
          <w:rFonts w:hint="eastAsia" w:ascii="宋体" w:hAnsi="宋体" w:cs="Times New Roman"/>
          <w:szCs w:val="22"/>
          <w:u w:val="single"/>
        </w:rPr>
        <w:t xml:space="preserve">             </w:t>
      </w:r>
      <w:r>
        <w:rPr>
          <w:rFonts w:hint="eastAsia" w:ascii="宋体" w:hAnsi="宋体" w:cs="Times New Roman"/>
          <w:szCs w:val="22"/>
        </w:rPr>
        <w:t>；</w:t>
      </w:r>
    </w:p>
    <w:p>
      <w:pPr>
        <w:ind w:left="376" w:leftChars="171" w:firstLine="440" w:firstLineChars="200"/>
        <w:jc w:val="both"/>
        <w:rPr>
          <w:rFonts w:ascii="宋体" w:hAnsi="宋体" w:cs="Times New Roman"/>
          <w:szCs w:val="22"/>
        </w:rPr>
      </w:pPr>
      <w:r>
        <w:rPr>
          <w:rFonts w:hint="eastAsia" w:ascii="宋体" w:hAnsi="宋体" w:cs="Times New Roman"/>
          <w:szCs w:val="22"/>
        </w:rPr>
        <w:t>施工工程质量标准：</w:t>
      </w:r>
      <w:r>
        <w:rPr>
          <w:rFonts w:hint="eastAsia" w:ascii="宋体" w:hAnsi="宋体" w:cs="Times New Roman"/>
          <w:szCs w:val="22"/>
          <w:u w:val="single"/>
        </w:rPr>
        <w:t xml:space="preserve">           </w:t>
      </w:r>
      <w:r>
        <w:rPr>
          <w:rFonts w:hint="eastAsia" w:ascii="宋体" w:hAnsi="宋体" w:cs="Times New Roman"/>
          <w:szCs w:val="22"/>
        </w:rPr>
        <w:t>；</w:t>
      </w:r>
    </w:p>
    <w:p>
      <w:pPr>
        <w:ind w:left="376" w:leftChars="171" w:firstLine="440" w:firstLineChars="200"/>
        <w:jc w:val="both"/>
        <w:rPr>
          <w:rFonts w:ascii="宋体" w:hAnsi="宋体" w:cs="Times New Roman"/>
          <w:szCs w:val="22"/>
        </w:rPr>
      </w:pPr>
      <w:r>
        <w:rPr>
          <w:rFonts w:hint="eastAsia" w:ascii="宋体" w:hAnsi="宋体" w:cs="Times New Roman"/>
          <w:szCs w:val="22"/>
        </w:rPr>
        <w:t>□其他：</w:t>
      </w:r>
      <w:r>
        <w:rPr>
          <w:rFonts w:hint="eastAsia" w:ascii="宋体" w:hAnsi="宋体" w:cs="Times New Roman"/>
          <w:szCs w:val="22"/>
          <w:u w:val="single"/>
        </w:rPr>
        <w:t xml:space="preserve">                     </w:t>
      </w:r>
      <w:r>
        <w:rPr>
          <w:rFonts w:hint="eastAsia" w:ascii="宋体" w:hAnsi="宋体" w:cs="Times New Roman"/>
          <w:szCs w:val="22"/>
        </w:rPr>
        <w:t>。</w:t>
      </w:r>
    </w:p>
    <w:p>
      <w:pPr>
        <w:ind w:left="376" w:leftChars="171" w:firstLine="440" w:firstLineChars="200"/>
        <w:jc w:val="both"/>
        <w:rPr>
          <w:rFonts w:ascii="宋体" w:hAnsi="宋体" w:cs="Times New Roman"/>
          <w:szCs w:val="22"/>
        </w:rPr>
      </w:pPr>
      <w:r>
        <w:rPr>
          <w:rFonts w:hint="eastAsia" w:ascii="宋体" w:hAnsi="宋体" w:cs="Times New Roman"/>
          <w:szCs w:val="22"/>
        </w:rPr>
        <w:t>2．我方承诺在投标有效期内不修改、撤销投标文件。</w:t>
      </w:r>
    </w:p>
    <w:p>
      <w:pPr>
        <w:ind w:left="376" w:leftChars="171" w:firstLine="440" w:firstLineChars="200"/>
        <w:jc w:val="both"/>
        <w:rPr>
          <w:rFonts w:ascii="宋体" w:hAnsi="宋体" w:cs="Times New Roman"/>
          <w:szCs w:val="22"/>
        </w:rPr>
      </w:pPr>
      <w:r>
        <w:rPr>
          <w:rFonts w:hint="eastAsia" w:ascii="宋体" w:hAnsi="宋体" w:cs="Times New Roman"/>
          <w:szCs w:val="22"/>
        </w:rPr>
        <w:t>3．如我方中标：</w:t>
      </w:r>
    </w:p>
    <w:p>
      <w:pPr>
        <w:ind w:left="376" w:leftChars="171" w:firstLine="440" w:firstLineChars="200"/>
        <w:jc w:val="both"/>
        <w:rPr>
          <w:rFonts w:ascii="宋体" w:hAnsi="宋体" w:cs="Times New Roman"/>
          <w:szCs w:val="22"/>
        </w:rPr>
      </w:pPr>
      <w:r>
        <w:rPr>
          <w:rFonts w:hint="eastAsia" w:ascii="宋体" w:hAnsi="宋体" w:cs="Times New Roman"/>
          <w:szCs w:val="22"/>
        </w:rPr>
        <w:t>（</w:t>
      </w:r>
      <w:r>
        <w:rPr>
          <w:rFonts w:ascii="宋体" w:hAnsi="宋体" w:cs="Times New Roman"/>
          <w:szCs w:val="22"/>
        </w:rPr>
        <w:t>l）我方承诺在收到中标通知书后，在中标通知书规定的期限内与你方签订合同。</w:t>
      </w:r>
    </w:p>
    <w:p>
      <w:pPr>
        <w:ind w:left="376" w:leftChars="171" w:firstLine="440" w:firstLineChars="200"/>
        <w:jc w:val="both"/>
        <w:rPr>
          <w:rFonts w:ascii="宋体" w:hAnsi="宋体" w:cs="Times New Roman"/>
          <w:szCs w:val="22"/>
        </w:rPr>
      </w:pPr>
      <w:r>
        <w:rPr>
          <w:rFonts w:hint="eastAsia" w:ascii="宋体" w:hAnsi="宋体" w:cs="Times New Roman"/>
          <w:szCs w:val="22"/>
        </w:rPr>
        <w:t>（</w:t>
      </w:r>
      <w:r>
        <w:rPr>
          <w:rFonts w:ascii="宋体" w:hAnsi="宋体" w:cs="Times New Roman"/>
          <w:szCs w:val="22"/>
        </w:rPr>
        <w:t>2）随同本投标函递交的投标函附录属于</w:t>
      </w:r>
      <w:r>
        <w:rPr>
          <w:rFonts w:hint="eastAsia" w:ascii="宋体" w:hAnsi="宋体" w:cs="Times New Roman"/>
          <w:szCs w:val="22"/>
        </w:rPr>
        <w:t>合</w:t>
      </w:r>
      <w:r>
        <w:rPr>
          <w:rFonts w:ascii="宋体" w:hAnsi="宋体" w:cs="Times New Roman"/>
          <w:szCs w:val="22"/>
        </w:rPr>
        <w:t>同文件的组成部分。</w:t>
      </w:r>
    </w:p>
    <w:p>
      <w:pPr>
        <w:ind w:left="376" w:leftChars="171" w:firstLine="440" w:firstLineChars="200"/>
        <w:jc w:val="both"/>
        <w:rPr>
          <w:rFonts w:ascii="宋体" w:hAnsi="宋体" w:cs="Times New Roman"/>
          <w:szCs w:val="22"/>
        </w:rPr>
      </w:pPr>
      <w:r>
        <w:rPr>
          <w:rFonts w:hint="eastAsia" w:ascii="宋体" w:hAnsi="宋体" w:cs="Times New Roman"/>
          <w:szCs w:val="22"/>
        </w:rPr>
        <w:t>（</w:t>
      </w:r>
      <w:r>
        <w:rPr>
          <w:rFonts w:ascii="宋体" w:hAnsi="宋体" w:cs="Times New Roman"/>
          <w:szCs w:val="22"/>
        </w:rPr>
        <w:t>3）我方承诺按照招标文件规定向你方递交履约担保</w:t>
      </w:r>
      <w:r>
        <w:rPr>
          <w:rFonts w:hint="eastAsia" w:ascii="宋体" w:hAnsi="宋体" w:cs="Times New Roman"/>
          <w:szCs w:val="22"/>
        </w:rPr>
        <w:t>（如有）</w:t>
      </w:r>
      <w:r>
        <w:rPr>
          <w:rFonts w:ascii="宋体" w:hAnsi="宋体" w:cs="Times New Roman"/>
          <w:szCs w:val="22"/>
        </w:rPr>
        <w:t>。</w:t>
      </w:r>
    </w:p>
    <w:p>
      <w:pPr>
        <w:ind w:left="376" w:leftChars="171" w:firstLine="440" w:firstLineChars="200"/>
        <w:jc w:val="both"/>
        <w:rPr>
          <w:rFonts w:ascii="宋体" w:hAnsi="宋体" w:cs="Times New Roman"/>
          <w:szCs w:val="22"/>
        </w:rPr>
      </w:pPr>
      <w:r>
        <w:rPr>
          <w:rFonts w:hint="eastAsia" w:ascii="宋体" w:hAnsi="宋体" w:cs="Times New Roman"/>
          <w:szCs w:val="22"/>
        </w:rPr>
        <w:t>（</w:t>
      </w:r>
      <w:r>
        <w:rPr>
          <w:rFonts w:ascii="宋体" w:hAnsi="宋体" w:cs="Times New Roman"/>
          <w:szCs w:val="22"/>
        </w:rPr>
        <w:t>4）</w:t>
      </w:r>
      <w:r>
        <w:rPr>
          <w:rFonts w:ascii="Times New Roman" w:hAnsi="Times New Roman" w:cs="Times New Roman"/>
          <w:szCs w:val="22"/>
        </w:rPr>
        <w:t>我方承诺在合同约定的期限内完成并移交全部合同工程</w:t>
      </w:r>
      <w:r>
        <w:rPr>
          <w:rFonts w:ascii="宋体" w:hAnsi="宋体" w:cs="Times New Roman"/>
          <w:szCs w:val="22"/>
        </w:rPr>
        <w:t>。</w:t>
      </w:r>
    </w:p>
    <w:p>
      <w:pPr>
        <w:ind w:left="376" w:leftChars="171" w:firstLine="440" w:firstLineChars="200"/>
        <w:jc w:val="both"/>
        <w:rPr>
          <w:rFonts w:ascii="宋体" w:hAnsi="宋体" w:cs="Times New Roman"/>
          <w:szCs w:val="22"/>
        </w:rPr>
      </w:pPr>
      <w:r>
        <w:rPr>
          <w:rFonts w:hint="eastAsia" w:ascii="宋体" w:hAnsi="宋体" w:cs="Times New Roman"/>
          <w:szCs w:val="22"/>
        </w:rPr>
        <w:t>（</w:t>
      </w:r>
      <w:r>
        <w:rPr>
          <w:rFonts w:ascii="宋体" w:hAnsi="宋体" w:cs="Times New Roman"/>
          <w:szCs w:val="22"/>
        </w:rPr>
        <w:t>5）我方在此承诺：我方拟派往本项目的项目班子成员均为我单位人员（如为联合体，则拟派人员均为联合体各成员单位人员）</w:t>
      </w:r>
      <w:r>
        <w:rPr>
          <w:rFonts w:ascii="Times New Roman" w:hAnsi="Times New Roman" w:cs="Times New Roman"/>
          <w:szCs w:val="22"/>
        </w:rPr>
        <w:t>在合同约定的期限内</w:t>
      </w:r>
      <w:r>
        <w:rPr>
          <w:rFonts w:hint="eastAsia" w:ascii="Times New Roman" w:hAnsi="Times New Roman" w:cs="Times New Roman"/>
          <w:szCs w:val="22"/>
        </w:rPr>
        <w:t>不更换项目经理、施工负责人，因特殊情况确需更换的，应征得你方同意，且更换后的人员不低于原投标承诺人员所具有的资格和条件，否则愿意承担相应违约责任。</w:t>
      </w:r>
    </w:p>
    <w:p>
      <w:pPr>
        <w:ind w:left="376" w:leftChars="171" w:firstLine="440" w:firstLineChars="200"/>
        <w:jc w:val="both"/>
        <w:rPr>
          <w:rFonts w:ascii="宋体" w:hAnsi="宋体" w:cs="Times New Roman"/>
          <w:szCs w:val="22"/>
        </w:rPr>
      </w:pPr>
      <w:r>
        <w:rPr>
          <w:rFonts w:hint="eastAsia" w:ascii="宋体" w:hAnsi="宋体" w:cs="Times New Roman"/>
          <w:szCs w:val="22"/>
        </w:rPr>
        <w:t>（7）我方承诺在投标报价中已充分考虑了该工程的特点及招标人对该工程的管理要求，充分考虑并接受最终审定的施工方案与投标文件的差异并已将上述因素综合计入投标报价中。</w:t>
      </w:r>
    </w:p>
    <w:p>
      <w:pPr>
        <w:ind w:left="376" w:leftChars="171" w:firstLine="440" w:firstLineChars="200"/>
        <w:jc w:val="both"/>
        <w:rPr>
          <w:rFonts w:ascii="宋体" w:hAnsi="宋体" w:cs="Times New Roman"/>
          <w:szCs w:val="22"/>
        </w:rPr>
      </w:pPr>
      <w:r>
        <w:rPr>
          <w:rFonts w:hint="eastAsia" w:ascii="宋体" w:hAnsi="宋体" w:cs="Times New Roman"/>
          <w:szCs w:val="22"/>
        </w:rPr>
        <w:t>4</w:t>
      </w:r>
      <w:r>
        <w:rPr>
          <w:rFonts w:ascii="宋体" w:hAnsi="宋体" w:cs="Times New Roman"/>
          <w:szCs w:val="22"/>
        </w:rPr>
        <w:t>.</w:t>
      </w:r>
      <w:r>
        <w:rPr>
          <w:rFonts w:hint="eastAsia" w:ascii="宋体" w:hAnsi="宋体" w:cs="Times New Roman"/>
          <w:szCs w:val="22"/>
        </w:rPr>
        <w:t>（其他补充说明）。</w:t>
      </w:r>
    </w:p>
    <w:p>
      <w:pPr>
        <w:spacing w:line="300" w:lineRule="exact"/>
        <w:jc w:val="center"/>
        <w:rPr>
          <w:rFonts w:ascii="宋体" w:hAnsi="宋体" w:cs="Times New Roman"/>
          <w:b/>
          <w:szCs w:val="22"/>
        </w:rPr>
      </w:pPr>
    </w:p>
    <w:p>
      <w:pPr>
        <w:spacing w:line="440" w:lineRule="exact"/>
        <w:jc w:val="both"/>
        <w:rPr>
          <w:rFonts w:ascii="宋体" w:hAnsi="宋体" w:cs="Times New Roman"/>
          <w:szCs w:val="22"/>
        </w:rPr>
      </w:pPr>
      <w:r>
        <w:rPr>
          <w:rFonts w:hint="eastAsia" w:ascii="宋体" w:hAnsi="宋体" w:cs="Times New Roman"/>
          <w:szCs w:val="22"/>
        </w:rPr>
        <w:t>投标人：(盖单位章)</w:t>
      </w:r>
    </w:p>
    <w:p>
      <w:pPr>
        <w:spacing w:line="440" w:lineRule="exact"/>
        <w:ind w:firstLine="5170" w:firstLineChars="2350"/>
        <w:jc w:val="both"/>
        <w:rPr>
          <w:rFonts w:ascii="宋体" w:hAnsi="宋体" w:cs="Times New Roman"/>
          <w:szCs w:val="22"/>
        </w:rPr>
      </w:pPr>
      <w:r>
        <w:rPr>
          <w:rFonts w:hint="eastAsia" w:ascii="宋体" w:hAnsi="宋体" w:cs="Times New Roman"/>
          <w:szCs w:val="22"/>
        </w:rPr>
        <w:t>法定代表人或其委托代理人：(签字或盖章)</w:t>
      </w:r>
    </w:p>
    <w:p>
      <w:pPr>
        <w:spacing w:line="440" w:lineRule="exact"/>
        <w:ind w:firstLine="5830" w:firstLineChars="2650"/>
        <w:jc w:val="both"/>
        <w:rPr>
          <w:rFonts w:ascii="宋体" w:hAnsi="宋体" w:cs="Times New Roman"/>
          <w:szCs w:val="22"/>
        </w:rPr>
      </w:pPr>
      <w:r>
        <w:rPr>
          <w:rFonts w:hint="eastAsia" w:ascii="宋体" w:hAnsi="宋体" w:cs="Times New Roman"/>
          <w:szCs w:val="22"/>
        </w:rPr>
        <w:t>年    月     日</w:t>
      </w:r>
    </w:p>
    <w:p>
      <w:pPr>
        <w:pStyle w:val="2"/>
        <w:rPr>
          <w:rFonts w:cs="Times New Roman"/>
          <w:szCs w:val="22"/>
        </w:rPr>
      </w:pPr>
    </w:p>
    <w:p>
      <w:pPr>
        <w:pStyle w:val="2"/>
        <w:ind w:left="0"/>
        <w:rPr>
          <w:rFonts w:cs="Times New Roman"/>
          <w:szCs w:val="22"/>
        </w:rPr>
        <w:sectPr>
          <w:headerReference r:id="rId16" w:type="first"/>
          <w:footerReference r:id="rId19" w:type="first"/>
          <w:headerReference r:id="rId14" w:type="default"/>
          <w:footerReference r:id="rId17" w:type="default"/>
          <w:headerReference r:id="rId15" w:type="even"/>
          <w:footerReference r:id="rId18" w:type="even"/>
          <w:endnotePr>
            <w:numFmt w:val="decimal"/>
          </w:endnotePr>
          <w:pgSz w:w="11906" w:h="16838"/>
          <w:pgMar w:top="1134" w:right="1134" w:bottom="1134" w:left="1134" w:header="851" w:footer="992" w:gutter="0"/>
          <w:cols w:space="720" w:num="1"/>
          <w:docGrid w:linePitch="312" w:charSpace="0"/>
        </w:sectPr>
      </w:pPr>
      <w:r>
        <w:rPr>
          <w:rFonts w:hint="eastAsia" w:ascii="仿宋" w:hAnsi="仿宋" w:eastAsia="仿宋" w:cs="Times New Roman"/>
          <w:szCs w:val="22"/>
        </w:rPr>
        <w:t>注：工程</w:t>
      </w:r>
      <w:r>
        <w:rPr>
          <w:rFonts w:ascii="仿宋" w:hAnsi="仿宋" w:eastAsia="仿宋" w:cs="Times New Roman"/>
          <w:szCs w:val="22"/>
        </w:rPr>
        <w:t>建设费</w:t>
      </w:r>
      <w:r>
        <w:rPr>
          <w:rFonts w:hint="eastAsia" w:ascii="仿宋" w:hAnsi="仿宋" w:eastAsia="仿宋" w:cs="Times New Roman"/>
          <w:szCs w:val="28"/>
        </w:rPr>
        <w:t>投标报价的单位应与公布的招标控制价一致，即以</w:t>
      </w:r>
      <w:r>
        <w:rPr>
          <w:rFonts w:ascii="仿宋" w:hAnsi="仿宋" w:eastAsia="仿宋" w:cs="Times New Roman"/>
          <w:szCs w:val="28"/>
          <w:u w:val="single"/>
        </w:rPr>
        <w:t xml:space="preserve">    </w:t>
      </w:r>
      <w:r>
        <w:rPr>
          <w:rFonts w:hint="eastAsia" w:ascii="仿宋" w:hAnsi="仿宋" w:eastAsia="仿宋" w:cs="Times New Roman"/>
          <w:szCs w:val="28"/>
        </w:rPr>
        <w:t>为单位，小数点后保留</w:t>
      </w:r>
      <w:r>
        <w:rPr>
          <w:rFonts w:hint="eastAsia" w:ascii="仿宋" w:hAnsi="仿宋" w:eastAsia="仿宋" w:cs="Times New Roman"/>
          <w:szCs w:val="28"/>
          <w:u w:val="single"/>
        </w:rPr>
        <w:t xml:space="preserve">  </w:t>
      </w:r>
      <w:r>
        <w:rPr>
          <w:rFonts w:hint="eastAsia" w:ascii="仿宋" w:hAnsi="仿宋" w:eastAsia="仿宋" w:cs="Times New Roman"/>
          <w:szCs w:val="28"/>
        </w:rPr>
        <w:t>位数。</w:t>
      </w:r>
    </w:p>
    <w:p>
      <w:pPr>
        <w:pStyle w:val="6"/>
        <w:jc w:val="center"/>
        <w:rPr>
          <w:b/>
          <w:bCs/>
        </w:rPr>
      </w:pPr>
      <w:r>
        <w:rPr>
          <w:rFonts w:hint="eastAsia"/>
          <w:b/>
          <w:bCs/>
        </w:rPr>
        <w:t>(二)投标文件真实性和不存在限制投标情形声明</w:t>
      </w:r>
    </w:p>
    <w:p>
      <w:pPr>
        <w:ind w:left="376" w:leftChars="171"/>
        <w:jc w:val="both"/>
        <w:rPr>
          <w:rFonts w:ascii="宋体" w:hAnsi="宋体" w:cs="Times New Roman"/>
          <w:sz w:val="21"/>
          <w:u w:val="single"/>
        </w:rPr>
      </w:pPr>
    </w:p>
    <w:p>
      <w:pPr>
        <w:ind w:left="376" w:leftChars="171"/>
        <w:jc w:val="both"/>
        <w:rPr>
          <w:rFonts w:ascii="宋体" w:hAnsi="宋体" w:cs="Times New Roman"/>
          <w:szCs w:val="28"/>
        </w:rPr>
      </w:pPr>
      <w:r>
        <w:rPr>
          <w:rFonts w:hint="eastAsia" w:ascii="宋体" w:hAnsi="宋体" w:cs="Times New Roman"/>
          <w:szCs w:val="28"/>
          <w:u w:val="single"/>
        </w:rPr>
        <w:t xml:space="preserve">                  </w:t>
      </w:r>
      <w:r>
        <w:rPr>
          <w:rFonts w:hint="eastAsia" w:ascii="宋体" w:hAnsi="宋体" w:cs="Times New Roman"/>
          <w:szCs w:val="28"/>
        </w:rPr>
        <w:t>（招标人名称）：</w:t>
      </w:r>
    </w:p>
    <w:p>
      <w:pPr>
        <w:ind w:left="376" w:leftChars="171" w:firstLine="435"/>
        <w:jc w:val="both"/>
        <w:rPr>
          <w:rFonts w:ascii="宋体" w:hAnsi="宋体" w:cs="Times New Roman"/>
          <w:szCs w:val="28"/>
        </w:rPr>
      </w:pPr>
      <w:r>
        <w:rPr>
          <w:rFonts w:hint="eastAsia" w:ascii="宋体" w:hAnsi="宋体" w:cs="Times New Roman"/>
          <w:szCs w:val="28"/>
        </w:rPr>
        <w:t>我方在此声明，所递交的投标文件（包括有关资料、澄清）真实可信，不存在虚假（包括隐瞒）。</w:t>
      </w:r>
    </w:p>
    <w:p>
      <w:pPr>
        <w:ind w:left="376" w:leftChars="171" w:firstLine="435"/>
        <w:jc w:val="both"/>
        <w:rPr>
          <w:rFonts w:ascii="宋体" w:hAnsi="宋体" w:cs="Times New Roman"/>
          <w:szCs w:val="28"/>
        </w:rPr>
      </w:pPr>
      <w:r>
        <w:rPr>
          <w:rFonts w:hint="eastAsia" w:ascii="宋体" w:hAnsi="宋体" w:cs="Times New Roman"/>
          <w:szCs w:val="28"/>
        </w:rPr>
        <w:t>经我方认真核查，本投标人不存在第二章“投标人须知”第1.4.3项和第1.4.4项规定的任何一种情形。</w:t>
      </w:r>
    </w:p>
    <w:p>
      <w:pPr>
        <w:ind w:left="376" w:leftChars="171" w:firstLine="435"/>
        <w:jc w:val="both"/>
        <w:rPr>
          <w:rFonts w:ascii="宋体" w:hAnsi="宋体" w:cs="Times New Roman"/>
          <w:szCs w:val="28"/>
        </w:rPr>
      </w:pPr>
      <w:r>
        <w:rPr>
          <w:rFonts w:hint="eastAsia" w:ascii="宋体" w:hAnsi="宋体" w:cs="Times New Roman"/>
          <w:szCs w:val="28"/>
        </w:rPr>
        <w:t>我方承诺，如存在以上两种行为，我方自愿按第二章“投标人须知前附表”1</w:t>
      </w:r>
      <w:r>
        <w:rPr>
          <w:rFonts w:ascii="宋体" w:hAnsi="宋体" w:cs="Times New Roman"/>
          <w:szCs w:val="28"/>
        </w:rPr>
        <w:t>0.9</w:t>
      </w:r>
      <w:r>
        <w:rPr>
          <w:rFonts w:hint="eastAsia" w:ascii="宋体" w:hAnsi="宋体" w:cs="Times New Roman"/>
          <w:szCs w:val="28"/>
        </w:rPr>
        <w:t>投标文件的真实性要求和其他有关规定承担责任。</w:t>
      </w:r>
    </w:p>
    <w:p>
      <w:pPr>
        <w:spacing w:line="300" w:lineRule="exact"/>
        <w:jc w:val="center"/>
        <w:rPr>
          <w:rFonts w:ascii="宋体" w:hAnsi="宋体" w:cs="Times New Roman"/>
          <w:b/>
          <w:sz w:val="24"/>
        </w:rPr>
      </w:pPr>
    </w:p>
    <w:p>
      <w:pPr>
        <w:spacing w:line="300" w:lineRule="exact"/>
        <w:jc w:val="center"/>
        <w:rPr>
          <w:rFonts w:ascii="宋体" w:hAnsi="宋体" w:cs="Times New Roman"/>
          <w:b/>
          <w:sz w:val="24"/>
        </w:rPr>
      </w:pPr>
    </w:p>
    <w:p>
      <w:pPr>
        <w:spacing w:line="300" w:lineRule="exact"/>
        <w:jc w:val="center"/>
        <w:rPr>
          <w:rFonts w:ascii="宋体" w:hAnsi="宋体" w:cs="Times New Roman"/>
          <w:b/>
          <w:sz w:val="24"/>
        </w:rPr>
      </w:pPr>
    </w:p>
    <w:p>
      <w:pPr>
        <w:spacing w:line="300" w:lineRule="exact"/>
        <w:jc w:val="center"/>
        <w:rPr>
          <w:rFonts w:ascii="宋体" w:hAnsi="宋体" w:cs="Times New Roman"/>
          <w:b/>
          <w:sz w:val="24"/>
        </w:rPr>
      </w:pPr>
    </w:p>
    <w:p>
      <w:pPr>
        <w:spacing w:line="300" w:lineRule="exact"/>
        <w:jc w:val="right"/>
        <w:rPr>
          <w:rFonts w:ascii="宋体" w:hAnsi="宋体" w:cs="Times New Roman"/>
          <w:b/>
          <w:szCs w:val="22"/>
        </w:rPr>
      </w:pPr>
    </w:p>
    <w:p>
      <w:pPr>
        <w:ind w:left="376" w:leftChars="171" w:firstLine="3632" w:firstLineChars="1651"/>
        <w:jc w:val="right"/>
        <w:rPr>
          <w:rFonts w:ascii="宋体" w:hAnsi="宋体" w:cs="Times New Roman"/>
          <w:szCs w:val="22"/>
        </w:rPr>
      </w:pPr>
      <w:r>
        <w:rPr>
          <w:rFonts w:hint="eastAsia" w:ascii="宋体" w:hAnsi="宋体" w:cs="Times New Roman"/>
          <w:szCs w:val="22"/>
        </w:rPr>
        <w:t>单位名称：</w:t>
      </w:r>
      <w:r>
        <w:rPr>
          <w:rFonts w:hint="eastAsia" w:ascii="宋体" w:hAnsi="宋体" w:cs="Times New Roman"/>
          <w:szCs w:val="22"/>
          <w:u w:val="single"/>
        </w:rPr>
        <w:t xml:space="preserve">                     </w:t>
      </w:r>
      <w:r>
        <w:rPr>
          <w:rFonts w:hint="eastAsia" w:ascii="宋体" w:hAnsi="宋体" w:cs="Times New Roman"/>
          <w:szCs w:val="22"/>
        </w:rPr>
        <w:t>（盖单位章）</w:t>
      </w:r>
    </w:p>
    <w:p>
      <w:pPr>
        <w:ind w:firstLine="3960" w:firstLineChars="1800"/>
        <w:jc w:val="right"/>
        <w:rPr>
          <w:rFonts w:ascii="宋体" w:hAnsi="宋体" w:cs="Times New Roman"/>
          <w:szCs w:val="22"/>
        </w:rPr>
      </w:pPr>
      <w:r>
        <w:rPr>
          <w:rFonts w:hint="eastAsia" w:ascii="宋体" w:hAnsi="宋体" w:cs="Times New Roman"/>
          <w:szCs w:val="22"/>
        </w:rPr>
        <w:t>法定代表人：</w:t>
      </w:r>
      <w:r>
        <w:rPr>
          <w:rFonts w:hint="eastAsia" w:ascii="宋体" w:hAnsi="宋体" w:cs="Times New Roman"/>
          <w:szCs w:val="22"/>
          <w:u w:val="single"/>
        </w:rPr>
        <w:t xml:space="preserve">                 </w:t>
      </w:r>
      <w:r>
        <w:rPr>
          <w:rFonts w:hint="eastAsia" w:ascii="宋体" w:hAnsi="宋体" w:cs="Times New Roman"/>
          <w:szCs w:val="22"/>
        </w:rPr>
        <w:t>（盖章）</w:t>
      </w:r>
    </w:p>
    <w:p>
      <w:pPr>
        <w:ind w:firstLine="3960" w:firstLineChars="1800"/>
        <w:jc w:val="right"/>
        <w:rPr>
          <w:rFonts w:ascii="宋体" w:hAnsi="宋体" w:cs="Times New Roman"/>
          <w:szCs w:val="22"/>
        </w:rPr>
      </w:pPr>
      <w:r>
        <w:rPr>
          <w:rFonts w:hint="eastAsia" w:ascii="宋体" w:hAnsi="宋体" w:cs="Times New Roman"/>
          <w:szCs w:val="22"/>
        </w:rPr>
        <w:t>日期:</w:t>
      </w:r>
      <w:r>
        <w:rPr>
          <w:rFonts w:hint="eastAsia" w:ascii="宋体" w:hAnsi="宋体" w:cs="Times New Roman"/>
          <w:szCs w:val="22"/>
          <w:u w:val="single"/>
        </w:rPr>
        <w:t xml:space="preserve">       </w:t>
      </w:r>
      <w:r>
        <w:rPr>
          <w:rFonts w:hint="eastAsia" w:ascii="宋体" w:hAnsi="宋体" w:cs="Times New Roman"/>
          <w:szCs w:val="22"/>
        </w:rPr>
        <w:t>年</w:t>
      </w:r>
      <w:r>
        <w:rPr>
          <w:rFonts w:hint="eastAsia" w:ascii="宋体" w:hAnsi="宋体" w:cs="Times New Roman"/>
          <w:szCs w:val="22"/>
          <w:u w:val="single"/>
        </w:rPr>
        <w:t xml:space="preserve">    </w:t>
      </w:r>
      <w:r>
        <w:rPr>
          <w:rFonts w:hint="eastAsia" w:ascii="宋体" w:hAnsi="宋体" w:cs="Times New Roman"/>
          <w:szCs w:val="22"/>
        </w:rPr>
        <w:t>月</w:t>
      </w:r>
      <w:r>
        <w:rPr>
          <w:rFonts w:hint="eastAsia" w:ascii="宋体" w:hAnsi="宋体" w:cs="Times New Roman"/>
          <w:szCs w:val="22"/>
          <w:u w:val="single"/>
        </w:rPr>
        <w:t xml:space="preserve">    </w:t>
      </w:r>
      <w:r>
        <w:rPr>
          <w:rFonts w:hint="eastAsia" w:ascii="宋体" w:hAnsi="宋体" w:cs="Times New Roman"/>
          <w:szCs w:val="22"/>
        </w:rPr>
        <w:t>日</w:t>
      </w: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p>
    <w:p>
      <w:pPr>
        <w:spacing w:line="240" w:lineRule="auto"/>
        <w:jc w:val="both"/>
        <w:rPr>
          <w:rFonts w:ascii="仿宋" w:hAnsi="仿宋" w:eastAsia="仿宋" w:cs="Times New Roman"/>
          <w:szCs w:val="22"/>
        </w:rPr>
      </w:pPr>
      <w:r>
        <w:rPr>
          <w:rFonts w:hint="eastAsia" w:ascii="仿宋" w:hAnsi="仿宋" w:eastAsia="仿宋" w:cs="Times New Roman"/>
          <w:szCs w:val="22"/>
        </w:rPr>
        <w:t>注：若为联合体投标，需提供所有联合体各方的投标文件真实性和不存在限制投标情形声明。</w:t>
      </w:r>
    </w:p>
    <w:p>
      <w:pPr>
        <w:spacing w:line="240" w:lineRule="auto"/>
        <w:jc w:val="both"/>
        <w:rPr>
          <w:rFonts w:ascii="仿宋" w:hAnsi="仿宋" w:eastAsia="仿宋" w:cs="Times New Roman"/>
          <w:sz w:val="21"/>
          <w:szCs w:val="21"/>
        </w:rPr>
      </w:pPr>
      <w:r>
        <w:rPr>
          <w:rFonts w:ascii="仿宋" w:hAnsi="仿宋" w:eastAsia="仿宋" w:cs="Times New Roman"/>
          <w:sz w:val="21"/>
          <w:szCs w:val="21"/>
        </w:rPr>
        <w:br w:type="page"/>
      </w:r>
    </w:p>
    <w:p>
      <w:pPr>
        <w:spacing w:line="300" w:lineRule="exact"/>
        <w:jc w:val="center"/>
        <w:rPr>
          <w:rFonts w:ascii="仿宋" w:hAnsi="仿宋" w:eastAsia="仿宋" w:cs="Times New Roman"/>
          <w:sz w:val="21"/>
        </w:rPr>
      </w:pPr>
    </w:p>
    <w:p>
      <w:pPr>
        <w:pStyle w:val="6"/>
        <w:jc w:val="center"/>
        <w:rPr>
          <w:b/>
          <w:bCs/>
        </w:rPr>
      </w:pPr>
      <w:r>
        <w:rPr>
          <w:rFonts w:hint="eastAsia"/>
          <w:b/>
          <w:bCs/>
        </w:rPr>
        <w:t>(三) 投标函附录</w:t>
      </w:r>
    </w:p>
    <w:tbl>
      <w:tblPr>
        <w:tblStyle w:val="15"/>
        <w:tblW w:w="926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8"/>
        <w:gridCol w:w="4048"/>
        <w:gridCol w:w="1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条款名称</w:t>
            </w:r>
          </w:p>
        </w:tc>
        <w:tc>
          <w:tcPr>
            <w:tcW w:w="404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约定内容</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投标人承诺</w:t>
            </w:r>
          </w:p>
          <w:p>
            <w:pPr>
              <w:jc w:val="center"/>
            </w:pPr>
            <w:r>
              <w:rPr>
                <w:rFonts w:hint="eastAsia"/>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项目经理</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姓名：</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□勘察负责人</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姓名：</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□设计负责人</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姓名：</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□施工负责人</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姓名：</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投标有效期</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天数:    日历天（从投标截止之日算起）</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工期</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总</w:t>
            </w:r>
            <w:r>
              <w:t>工期：</w:t>
            </w:r>
            <w:r>
              <w:rPr>
                <w:rFonts w:hint="eastAsia"/>
              </w:rPr>
              <w:t xml:space="preserve">  </w:t>
            </w:r>
            <w:r>
              <w:t>日历天</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是否接受招标文件中的合同条款</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是</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是否响应招标文件中的技术标准及要求</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是</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工程质量</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□勘察</w:t>
            </w:r>
          </w:p>
          <w:p>
            <w:r>
              <w:rPr>
                <w:rFonts w:hint="eastAsia"/>
              </w:rPr>
              <w:t>□设计：</w:t>
            </w:r>
          </w:p>
          <w:p>
            <w:r>
              <w:rPr>
                <w:rFonts w:hint="eastAsia"/>
              </w:rPr>
              <w:t>施工：</w:t>
            </w:r>
          </w:p>
          <w:p>
            <w:r>
              <w:rPr>
                <w:rFonts w:hint="eastAsia"/>
              </w:rPr>
              <w:t>□其他：</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是否响应招标文件中的招标范围</w:t>
            </w:r>
          </w:p>
        </w:tc>
        <w:tc>
          <w:tcPr>
            <w:tcW w:w="4048" w:type="dxa"/>
            <w:tcBorders>
              <w:top w:val="single" w:color="auto" w:sz="4" w:space="0"/>
              <w:left w:val="single" w:color="auto" w:sz="4" w:space="0"/>
              <w:bottom w:val="single" w:color="auto" w:sz="4" w:space="0"/>
              <w:right w:val="single" w:color="auto" w:sz="4" w:space="0"/>
            </w:tcBorders>
            <w:vAlign w:val="center"/>
          </w:tcPr>
          <w:p>
            <w:r>
              <w:rPr>
                <w:rFonts w:hint="eastAsia"/>
              </w:rPr>
              <w:t>是</w:t>
            </w:r>
          </w:p>
        </w:tc>
        <w:tc>
          <w:tcPr>
            <w:tcW w:w="168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538" w:type="dxa"/>
            <w:tcBorders>
              <w:top w:val="single" w:color="auto" w:sz="4" w:space="0"/>
              <w:left w:val="single" w:color="auto" w:sz="4" w:space="0"/>
              <w:bottom w:val="single" w:color="auto" w:sz="4" w:space="0"/>
              <w:right w:val="single" w:color="auto" w:sz="4" w:space="0"/>
            </w:tcBorders>
            <w:vAlign w:val="center"/>
          </w:tcPr>
          <w:p>
            <w:pPr>
              <w:jc w:val="center"/>
            </w:pPr>
            <w:r>
              <w:t>……</w:t>
            </w:r>
          </w:p>
        </w:tc>
        <w:tc>
          <w:tcPr>
            <w:tcW w:w="4048" w:type="dxa"/>
            <w:tcBorders>
              <w:top w:val="single" w:color="auto" w:sz="4" w:space="0"/>
              <w:left w:val="single" w:color="auto" w:sz="4" w:space="0"/>
              <w:bottom w:val="single" w:color="auto" w:sz="4" w:space="0"/>
              <w:right w:val="single" w:color="auto" w:sz="4" w:space="0"/>
            </w:tcBorders>
            <w:vAlign w:val="center"/>
          </w:tcPr>
          <w:p/>
        </w:tc>
        <w:tc>
          <w:tcPr>
            <w:tcW w:w="1683" w:type="dxa"/>
            <w:tcBorders>
              <w:top w:val="single" w:color="auto" w:sz="4" w:space="0"/>
              <w:left w:val="single" w:color="auto" w:sz="4" w:space="0"/>
              <w:bottom w:val="single" w:color="auto" w:sz="4" w:space="0"/>
              <w:right w:val="single" w:color="auto" w:sz="4" w:space="0"/>
            </w:tcBorders>
            <w:vAlign w:val="center"/>
          </w:tcPr>
          <w:p/>
        </w:tc>
      </w:tr>
    </w:tbl>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r>
        <w:rPr>
          <w:rFonts w:ascii="Times New Roman" w:hAnsi="Times New Roman" w:cs="Times New Roman"/>
          <w:sz w:val="21"/>
        </w:rPr>
        <w:br w:type="page"/>
      </w:r>
    </w:p>
    <w:p>
      <w:pPr>
        <w:pStyle w:val="6"/>
        <w:jc w:val="center"/>
        <w:rPr>
          <w:b/>
          <w:bCs/>
        </w:rPr>
      </w:pPr>
      <w:r>
        <w:rPr>
          <w:rFonts w:hint="eastAsia"/>
          <w:b/>
          <w:bCs/>
        </w:rPr>
        <w:t>□（四）投标报价附表</w:t>
      </w:r>
    </w:p>
    <w:p>
      <w:pPr>
        <w:jc w:val="center"/>
        <w:rPr>
          <w:b/>
          <w:bCs/>
        </w:rPr>
      </w:pPr>
      <w:r>
        <w:rPr>
          <w:rFonts w:hint="eastAsia"/>
          <w:b/>
          <w:bCs/>
        </w:rPr>
        <w:t>1、□勘察费/□设计费报价表</w:t>
      </w:r>
    </w:p>
    <w:tbl>
      <w:tblPr>
        <w:tblStyle w:val="15"/>
        <w:tblW w:w="100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1751"/>
        <w:gridCol w:w="1980"/>
        <w:gridCol w:w="1980"/>
        <w:gridCol w:w="1800"/>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7" w:hRule="atLeast"/>
        </w:trPr>
        <w:tc>
          <w:tcPr>
            <w:tcW w:w="877" w:type="dxa"/>
            <w:vAlign w:val="center"/>
          </w:tcPr>
          <w:p>
            <w:pPr>
              <w:spacing w:line="240" w:lineRule="auto"/>
              <w:jc w:val="center"/>
              <w:rPr>
                <w:rFonts w:ascii="宋体" w:hAnsi="宋体" w:cs="宋体"/>
                <w:szCs w:val="22"/>
              </w:rPr>
            </w:pPr>
            <w:r>
              <w:rPr>
                <w:rFonts w:hint="eastAsia" w:ascii="宋体" w:hAnsi="宋体" w:cs="宋体"/>
                <w:szCs w:val="22"/>
              </w:rPr>
              <w:t>序号</w:t>
            </w:r>
          </w:p>
        </w:tc>
        <w:tc>
          <w:tcPr>
            <w:tcW w:w="1751" w:type="dxa"/>
            <w:vAlign w:val="center"/>
          </w:tcPr>
          <w:p>
            <w:pPr>
              <w:spacing w:line="240" w:lineRule="auto"/>
              <w:jc w:val="center"/>
              <w:rPr>
                <w:rFonts w:ascii="宋体" w:hAnsi="宋体" w:cs="宋体"/>
                <w:szCs w:val="22"/>
              </w:rPr>
            </w:pPr>
            <w:r>
              <w:rPr>
                <w:rFonts w:hint="eastAsia" w:ascii="宋体" w:hAnsi="宋体" w:cs="宋体"/>
                <w:szCs w:val="22"/>
              </w:rPr>
              <w:t>工作内容</w:t>
            </w:r>
          </w:p>
        </w:tc>
        <w:tc>
          <w:tcPr>
            <w:tcW w:w="1980" w:type="dxa"/>
            <w:vAlign w:val="center"/>
          </w:tcPr>
          <w:p>
            <w:pPr>
              <w:spacing w:line="240" w:lineRule="auto"/>
              <w:jc w:val="center"/>
              <w:rPr>
                <w:rFonts w:ascii="宋体" w:hAnsi="宋体" w:cs="宋体"/>
                <w:szCs w:val="22"/>
              </w:rPr>
            </w:pPr>
            <w:r>
              <w:rPr>
                <w:rFonts w:hint="eastAsia" w:ascii="宋体" w:hAnsi="宋体" w:cs="宋体"/>
                <w:szCs w:val="22"/>
              </w:rPr>
              <w:t>控制价</w:t>
            </w:r>
          </w:p>
        </w:tc>
        <w:tc>
          <w:tcPr>
            <w:tcW w:w="1980" w:type="dxa"/>
            <w:vAlign w:val="center"/>
          </w:tcPr>
          <w:p>
            <w:pPr>
              <w:spacing w:line="240" w:lineRule="auto"/>
              <w:jc w:val="center"/>
              <w:rPr>
                <w:rFonts w:ascii="宋体" w:hAnsi="宋体" w:cs="宋体"/>
                <w:szCs w:val="22"/>
              </w:rPr>
            </w:pPr>
            <w:r>
              <w:rPr>
                <w:rFonts w:hint="eastAsia" w:ascii="宋体" w:hAnsi="宋体" w:cs="宋体"/>
                <w:szCs w:val="22"/>
              </w:rPr>
              <w:t>规模</w:t>
            </w:r>
          </w:p>
        </w:tc>
        <w:tc>
          <w:tcPr>
            <w:tcW w:w="1800" w:type="dxa"/>
            <w:vAlign w:val="center"/>
          </w:tcPr>
          <w:p>
            <w:pPr>
              <w:spacing w:line="240" w:lineRule="auto"/>
              <w:jc w:val="center"/>
              <w:rPr>
                <w:rFonts w:ascii="宋体" w:hAnsi="宋体" w:cs="宋体"/>
                <w:szCs w:val="22"/>
              </w:rPr>
            </w:pPr>
            <w:r>
              <w:rPr>
                <w:rFonts w:hint="eastAsia" w:ascii="宋体" w:hAnsi="宋体" w:cs="宋体"/>
                <w:szCs w:val="22"/>
              </w:rPr>
              <w:t>投标报价</w:t>
            </w:r>
          </w:p>
        </w:tc>
        <w:tc>
          <w:tcPr>
            <w:tcW w:w="1676" w:type="dxa"/>
            <w:vAlign w:val="center"/>
          </w:tcPr>
          <w:p>
            <w:pPr>
              <w:spacing w:line="240" w:lineRule="auto"/>
              <w:jc w:val="center"/>
              <w:rPr>
                <w:rFonts w:ascii="宋体" w:hAnsi="宋体" w:cs="宋体"/>
                <w:szCs w:val="22"/>
              </w:rPr>
            </w:pPr>
            <w:r>
              <w:rPr>
                <w:rFonts w:hint="eastAsia" w:ascii="宋体" w:hAnsi="宋体" w:cs="宋体"/>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77" w:type="dxa"/>
            <w:vAlign w:val="center"/>
          </w:tcPr>
          <w:p>
            <w:pPr>
              <w:jc w:val="center"/>
              <w:rPr>
                <w:rFonts w:ascii="宋体" w:hAnsi="宋体" w:cs="宋体"/>
                <w:szCs w:val="22"/>
              </w:rPr>
            </w:pPr>
            <w:r>
              <w:rPr>
                <w:rFonts w:hint="eastAsia" w:ascii="宋体" w:hAnsi="宋体" w:cs="宋体"/>
                <w:szCs w:val="22"/>
              </w:rPr>
              <w:t>1</w:t>
            </w:r>
          </w:p>
        </w:tc>
        <w:tc>
          <w:tcPr>
            <w:tcW w:w="1751" w:type="dxa"/>
            <w:vAlign w:val="center"/>
          </w:tcPr>
          <w:p>
            <w:pPr>
              <w:jc w:val="center"/>
              <w:rPr>
                <w:rFonts w:ascii="宋体" w:hAnsi="宋体" w:cs="宋体"/>
                <w:szCs w:val="22"/>
              </w:rPr>
            </w:pPr>
            <w:r>
              <w:rPr>
                <w:rFonts w:hint="eastAsia" w:ascii="宋体" w:hAnsi="宋体" w:cs="宋体"/>
                <w:szCs w:val="22"/>
              </w:rPr>
              <w:t>设计</w:t>
            </w:r>
          </w:p>
        </w:tc>
        <w:tc>
          <w:tcPr>
            <w:tcW w:w="1980" w:type="dxa"/>
            <w:vAlign w:val="center"/>
          </w:tcPr>
          <w:p>
            <w:pPr>
              <w:jc w:val="center"/>
              <w:rPr>
                <w:rFonts w:ascii="宋体" w:hAnsi="宋体" w:cs="宋体"/>
                <w:szCs w:val="22"/>
              </w:rPr>
            </w:pPr>
          </w:p>
        </w:tc>
        <w:tc>
          <w:tcPr>
            <w:tcW w:w="1980" w:type="dxa"/>
            <w:vAlign w:val="center"/>
          </w:tcPr>
          <w:p>
            <w:pPr>
              <w:jc w:val="center"/>
              <w:rPr>
                <w:rFonts w:ascii="宋体" w:hAnsi="宋体" w:cs="宋体"/>
                <w:szCs w:val="22"/>
              </w:rPr>
            </w:pPr>
          </w:p>
        </w:tc>
        <w:tc>
          <w:tcPr>
            <w:tcW w:w="1800" w:type="dxa"/>
            <w:vAlign w:val="center"/>
          </w:tcPr>
          <w:p>
            <w:pPr>
              <w:jc w:val="center"/>
              <w:rPr>
                <w:rFonts w:ascii="宋体" w:hAnsi="宋体" w:cs="宋体"/>
                <w:szCs w:val="22"/>
              </w:rPr>
            </w:pPr>
          </w:p>
        </w:tc>
        <w:tc>
          <w:tcPr>
            <w:tcW w:w="1676" w:type="dxa"/>
            <w:vAlign w:val="center"/>
          </w:tcPr>
          <w:p>
            <w:pPr>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77" w:type="dxa"/>
            <w:vAlign w:val="center"/>
          </w:tcPr>
          <w:p>
            <w:pPr>
              <w:jc w:val="center"/>
              <w:rPr>
                <w:rFonts w:ascii="宋体" w:hAnsi="宋体" w:cs="宋体"/>
                <w:szCs w:val="22"/>
              </w:rPr>
            </w:pPr>
            <w:r>
              <w:rPr>
                <w:rFonts w:hint="eastAsia" w:ascii="宋体" w:hAnsi="宋体" w:cs="宋体"/>
                <w:szCs w:val="22"/>
              </w:rPr>
              <w:t>□2</w:t>
            </w:r>
          </w:p>
        </w:tc>
        <w:tc>
          <w:tcPr>
            <w:tcW w:w="1751" w:type="dxa"/>
            <w:vAlign w:val="center"/>
          </w:tcPr>
          <w:p>
            <w:pPr>
              <w:jc w:val="center"/>
              <w:rPr>
                <w:rFonts w:ascii="宋体" w:hAnsi="宋体" w:cs="宋体"/>
                <w:szCs w:val="22"/>
              </w:rPr>
            </w:pPr>
            <w:r>
              <w:rPr>
                <w:rFonts w:hint="eastAsia" w:ascii="宋体" w:hAnsi="宋体" w:cs="宋体"/>
                <w:szCs w:val="22"/>
              </w:rPr>
              <w:t>□勘察</w:t>
            </w:r>
          </w:p>
        </w:tc>
        <w:tc>
          <w:tcPr>
            <w:tcW w:w="1980" w:type="dxa"/>
            <w:vAlign w:val="center"/>
          </w:tcPr>
          <w:p>
            <w:pPr>
              <w:jc w:val="center"/>
              <w:rPr>
                <w:rFonts w:ascii="宋体" w:hAnsi="宋体" w:cs="宋体"/>
                <w:szCs w:val="22"/>
                <w:u w:val="single"/>
              </w:rPr>
            </w:pPr>
          </w:p>
        </w:tc>
        <w:tc>
          <w:tcPr>
            <w:tcW w:w="1980" w:type="dxa"/>
            <w:vAlign w:val="center"/>
          </w:tcPr>
          <w:p>
            <w:pPr>
              <w:jc w:val="center"/>
              <w:rPr>
                <w:rFonts w:ascii="宋体" w:hAnsi="宋体" w:cs="宋体"/>
                <w:szCs w:val="22"/>
                <w:u w:val="single"/>
              </w:rPr>
            </w:pPr>
          </w:p>
        </w:tc>
        <w:tc>
          <w:tcPr>
            <w:tcW w:w="1800" w:type="dxa"/>
            <w:vAlign w:val="center"/>
          </w:tcPr>
          <w:p>
            <w:pPr>
              <w:jc w:val="center"/>
              <w:rPr>
                <w:rFonts w:ascii="宋体" w:hAnsi="宋体" w:cs="宋体"/>
                <w:szCs w:val="22"/>
                <w:u w:val="single"/>
              </w:rPr>
            </w:pPr>
          </w:p>
        </w:tc>
        <w:tc>
          <w:tcPr>
            <w:tcW w:w="1676" w:type="dxa"/>
            <w:vAlign w:val="center"/>
          </w:tcPr>
          <w:p>
            <w:pPr>
              <w:jc w:val="center"/>
              <w:rPr>
                <w:rFonts w:ascii="宋体" w:hAnsi="宋体" w:cs="宋体"/>
                <w:szCs w:val="2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388" w:type="dxa"/>
            <w:gridSpan w:val="5"/>
            <w:vAlign w:val="center"/>
          </w:tcPr>
          <w:p>
            <w:pPr>
              <w:jc w:val="center"/>
              <w:rPr>
                <w:rFonts w:ascii="宋体" w:hAnsi="宋体" w:cs="宋体"/>
                <w:szCs w:val="22"/>
              </w:rPr>
            </w:pPr>
            <w:r>
              <w:rPr>
                <w:rFonts w:hint="eastAsia" w:ascii="宋体" w:hAnsi="宋体" w:cs="宋体"/>
                <w:szCs w:val="22"/>
              </w:rPr>
              <w:t>设计费投标报价</w:t>
            </w:r>
          </w:p>
        </w:tc>
        <w:tc>
          <w:tcPr>
            <w:tcW w:w="1676" w:type="dxa"/>
            <w:vAlign w:val="center"/>
          </w:tcPr>
          <w:p>
            <w:pPr>
              <w:jc w:val="center"/>
              <w:rPr>
                <w:rFonts w:ascii="宋体" w:hAnsi="宋体" w:cs="宋体"/>
                <w:szCs w:val="22"/>
              </w:rPr>
            </w:pPr>
          </w:p>
        </w:tc>
      </w:tr>
    </w:tbl>
    <w:p>
      <w:pPr>
        <w:spacing w:line="240" w:lineRule="auto"/>
        <w:jc w:val="both"/>
        <w:rPr>
          <w:rFonts w:ascii="Times New Roman" w:hAnsi="Times New Roman" w:cs="Times New Roman"/>
          <w:sz w:val="21"/>
          <w:szCs w:val="21"/>
        </w:rPr>
      </w:pPr>
    </w:p>
    <w:p>
      <w:pPr>
        <w:jc w:val="center"/>
        <w:rPr>
          <w:b/>
          <w:bCs/>
        </w:rPr>
      </w:pPr>
      <w:r>
        <w:rPr>
          <w:rFonts w:hint="eastAsia"/>
          <w:b/>
          <w:bCs/>
        </w:rPr>
        <w:t>2、工程建设费投标总价报价表</w:t>
      </w:r>
    </w:p>
    <w:tbl>
      <w:tblPr>
        <w:tblStyle w:val="1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4"/>
        <w:gridCol w:w="973"/>
        <w:gridCol w:w="3111"/>
        <w:gridCol w:w="28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ascii="宋体" w:hAnsi="宋体" w:cs="宋体"/>
                <w:szCs w:val="22"/>
              </w:rPr>
            </w:pPr>
            <w:r>
              <w:rPr>
                <w:rFonts w:hint="eastAsia" w:ascii="宋体" w:hAnsi="宋体" w:cs="宋体"/>
                <w:szCs w:val="22"/>
              </w:rPr>
              <w:t>序号</w:t>
            </w:r>
          </w:p>
        </w:tc>
        <w:tc>
          <w:tcPr>
            <w:tcW w:w="4084" w:type="dxa"/>
            <w:gridSpan w:val="2"/>
          </w:tcPr>
          <w:p>
            <w:pPr>
              <w:jc w:val="center"/>
              <w:rPr>
                <w:rFonts w:ascii="宋体" w:hAnsi="宋体" w:cs="宋体"/>
                <w:szCs w:val="22"/>
              </w:rPr>
            </w:pPr>
            <w:r>
              <w:rPr>
                <w:rFonts w:hint="eastAsia" w:ascii="宋体" w:hAnsi="宋体" w:cs="宋体"/>
                <w:szCs w:val="22"/>
              </w:rPr>
              <w:t>项目名称</w:t>
            </w:r>
          </w:p>
        </w:tc>
        <w:tc>
          <w:tcPr>
            <w:tcW w:w="2880" w:type="dxa"/>
          </w:tcPr>
          <w:p>
            <w:pPr>
              <w:jc w:val="center"/>
              <w:rPr>
                <w:rFonts w:ascii="宋体" w:hAnsi="宋体" w:cs="宋体"/>
                <w:szCs w:val="22"/>
              </w:rPr>
            </w:pPr>
            <w:r>
              <w:rPr>
                <w:rFonts w:hint="eastAsia" w:ascii="宋体" w:hAnsi="宋体" w:cs="宋体"/>
                <w:szCs w:val="22"/>
              </w:rPr>
              <w:t>金额（元）</w:t>
            </w:r>
          </w:p>
        </w:tc>
        <w:tc>
          <w:tcPr>
            <w:tcW w:w="1980" w:type="dxa"/>
          </w:tcPr>
          <w:p>
            <w:pPr>
              <w:jc w:val="center"/>
              <w:rPr>
                <w:rFonts w:ascii="宋体" w:hAnsi="宋体" w:cs="宋体"/>
                <w:szCs w:val="22"/>
              </w:rPr>
            </w:pPr>
            <w:r>
              <w:rPr>
                <w:rFonts w:hint="eastAsia" w:ascii="宋体" w:hAnsi="宋体" w:cs="宋体"/>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Align w:val="center"/>
          </w:tcPr>
          <w:p>
            <w:pPr>
              <w:jc w:val="center"/>
              <w:rPr>
                <w:rFonts w:ascii="宋体" w:hAnsi="宋体" w:cs="宋体"/>
                <w:szCs w:val="22"/>
              </w:rPr>
            </w:pPr>
            <w:r>
              <w:rPr>
                <w:rFonts w:hint="eastAsia" w:ascii="宋体" w:hAnsi="宋体" w:cs="宋体"/>
                <w:szCs w:val="22"/>
              </w:rPr>
              <w:t>1</w:t>
            </w:r>
          </w:p>
        </w:tc>
        <w:tc>
          <w:tcPr>
            <w:tcW w:w="4084" w:type="dxa"/>
            <w:gridSpan w:val="2"/>
          </w:tcPr>
          <w:p>
            <w:pPr>
              <w:jc w:val="both"/>
              <w:rPr>
                <w:rFonts w:ascii="宋体" w:hAnsi="宋体" w:cs="宋体"/>
                <w:szCs w:val="22"/>
              </w:rPr>
            </w:pPr>
            <w:r>
              <w:rPr>
                <w:rFonts w:hint="eastAsia" w:ascii="宋体" w:hAnsi="宋体" w:cs="宋体"/>
                <w:szCs w:val="22"/>
              </w:rPr>
              <w:t>工程建设费招标控制总价</w:t>
            </w:r>
          </w:p>
        </w:tc>
        <w:tc>
          <w:tcPr>
            <w:tcW w:w="2880" w:type="dxa"/>
          </w:tcPr>
          <w:p>
            <w:pPr>
              <w:jc w:val="center"/>
              <w:rPr>
                <w:rFonts w:ascii="宋体" w:hAnsi="宋体" w:cs="宋体"/>
                <w:szCs w:val="22"/>
              </w:rPr>
            </w:pPr>
          </w:p>
        </w:tc>
        <w:tc>
          <w:tcPr>
            <w:tcW w:w="1980" w:type="dxa"/>
            <w:vMerge w:val="restart"/>
            <w:vAlign w:val="center"/>
          </w:tcPr>
          <w:p>
            <w:pPr>
              <w:spacing w:line="240" w:lineRule="auto"/>
              <w:jc w:val="both"/>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Align w:val="center"/>
          </w:tcPr>
          <w:p>
            <w:pPr>
              <w:jc w:val="center"/>
              <w:rPr>
                <w:rFonts w:ascii="宋体" w:hAnsi="宋体" w:cs="宋体"/>
                <w:szCs w:val="22"/>
              </w:rPr>
            </w:pPr>
            <w:r>
              <w:rPr>
                <w:rFonts w:hint="eastAsia" w:ascii="宋体" w:hAnsi="宋体" w:cs="宋体"/>
                <w:szCs w:val="22"/>
              </w:rPr>
              <w:t>2</w:t>
            </w:r>
          </w:p>
        </w:tc>
        <w:tc>
          <w:tcPr>
            <w:tcW w:w="4084" w:type="dxa"/>
            <w:gridSpan w:val="2"/>
          </w:tcPr>
          <w:p>
            <w:pPr>
              <w:jc w:val="both"/>
              <w:rPr>
                <w:rFonts w:ascii="宋体" w:hAnsi="宋体" w:cs="宋体"/>
                <w:szCs w:val="22"/>
              </w:rPr>
            </w:pPr>
            <w:r>
              <w:rPr>
                <w:rFonts w:hint="eastAsia" w:ascii="宋体" w:hAnsi="宋体" w:cs="宋体"/>
                <w:szCs w:val="22"/>
              </w:rPr>
              <w:t>工程建设费投标下浮率</w:t>
            </w:r>
          </w:p>
        </w:tc>
        <w:tc>
          <w:tcPr>
            <w:tcW w:w="2880" w:type="dxa"/>
          </w:tcPr>
          <w:p>
            <w:pPr>
              <w:jc w:val="center"/>
              <w:rPr>
                <w:rFonts w:ascii="宋体" w:hAnsi="宋体" w:cs="宋体"/>
                <w:szCs w:val="22"/>
              </w:rPr>
            </w:pPr>
            <w:r>
              <w:rPr>
                <w:rFonts w:hint="eastAsia" w:ascii="宋体" w:hAnsi="宋体" w:cs="宋体"/>
                <w:szCs w:val="22"/>
              </w:rPr>
              <w:t>%</w:t>
            </w:r>
          </w:p>
        </w:tc>
        <w:tc>
          <w:tcPr>
            <w:tcW w:w="1980" w:type="dxa"/>
            <w:vMerge w:val="continue"/>
          </w:tcPr>
          <w:p>
            <w:pPr>
              <w:jc w:val="center"/>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Merge w:val="restart"/>
            <w:vAlign w:val="center"/>
          </w:tcPr>
          <w:p>
            <w:pPr>
              <w:jc w:val="center"/>
              <w:rPr>
                <w:rFonts w:ascii="宋体" w:hAnsi="宋体" w:cs="宋体"/>
                <w:szCs w:val="22"/>
              </w:rPr>
            </w:pPr>
            <w:r>
              <w:rPr>
                <w:rFonts w:hint="eastAsia" w:ascii="宋体" w:hAnsi="宋体" w:cs="宋体"/>
                <w:szCs w:val="22"/>
              </w:rPr>
              <w:t>3</w:t>
            </w:r>
          </w:p>
        </w:tc>
        <w:tc>
          <w:tcPr>
            <w:tcW w:w="4084" w:type="dxa"/>
            <w:gridSpan w:val="2"/>
          </w:tcPr>
          <w:p>
            <w:pPr>
              <w:jc w:val="both"/>
              <w:rPr>
                <w:rFonts w:ascii="宋体" w:hAnsi="宋体" w:cs="宋体"/>
                <w:szCs w:val="22"/>
              </w:rPr>
            </w:pPr>
            <w:r>
              <w:rPr>
                <w:rFonts w:hint="eastAsia" w:ascii="宋体" w:hAnsi="宋体" w:cs="宋体"/>
                <w:szCs w:val="22"/>
              </w:rPr>
              <w:t>工程建设费招标控制价不可竞争总价</w:t>
            </w:r>
          </w:p>
        </w:tc>
        <w:tc>
          <w:tcPr>
            <w:tcW w:w="2880" w:type="dxa"/>
          </w:tcPr>
          <w:p>
            <w:pPr>
              <w:jc w:val="center"/>
              <w:rPr>
                <w:rFonts w:ascii="宋体" w:hAnsi="宋体" w:cs="宋体"/>
                <w:szCs w:val="22"/>
              </w:rPr>
            </w:pPr>
          </w:p>
        </w:tc>
        <w:tc>
          <w:tcPr>
            <w:tcW w:w="1980" w:type="dxa"/>
            <w:vMerge w:val="continue"/>
          </w:tcPr>
          <w:p>
            <w:pPr>
              <w:jc w:val="center"/>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Merge w:val="continue"/>
          </w:tcPr>
          <w:p>
            <w:pPr>
              <w:jc w:val="center"/>
              <w:rPr>
                <w:rFonts w:ascii="宋体" w:hAnsi="宋体" w:cs="宋体"/>
                <w:szCs w:val="22"/>
              </w:rPr>
            </w:pPr>
          </w:p>
        </w:tc>
        <w:tc>
          <w:tcPr>
            <w:tcW w:w="973" w:type="dxa"/>
            <w:vMerge w:val="restart"/>
            <w:vAlign w:val="center"/>
          </w:tcPr>
          <w:p>
            <w:pPr>
              <w:jc w:val="center"/>
              <w:rPr>
                <w:rFonts w:ascii="宋体" w:hAnsi="宋体" w:cs="宋体"/>
                <w:szCs w:val="22"/>
              </w:rPr>
            </w:pPr>
            <w:r>
              <w:rPr>
                <w:rFonts w:hint="eastAsia" w:ascii="宋体" w:hAnsi="宋体" w:cs="宋体"/>
                <w:szCs w:val="22"/>
              </w:rPr>
              <w:t>其中</w:t>
            </w:r>
          </w:p>
        </w:tc>
        <w:tc>
          <w:tcPr>
            <w:tcW w:w="3111" w:type="dxa"/>
            <w:vAlign w:val="center"/>
          </w:tcPr>
          <w:p>
            <w:pPr>
              <w:jc w:val="both"/>
              <w:rPr>
                <w:rFonts w:ascii="宋体" w:hAnsi="宋体" w:cs="宋体"/>
                <w:szCs w:val="22"/>
              </w:rPr>
            </w:pPr>
            <w:r>
              <w:rPr>
                <w:rFonts w:hint="eastAsia" w:ascii="宋体" w:hAnsi="宋体" w:cs="宋体"/>
                <w:szCs w:val="22"/>
              </w:rPr>
              <w:t>安全文明施工费</w:t>
            </w:r>
          </w:p>
        </w:tc>
        <w:tc>
          <w:tcPr>
            <w:tcW w:w="2880" w:type="dxa"/>
          </w:tcPr>
          <w:p>
            <w:pPr>
              <w:jc w:val="center"/>
              <w:rPr>
                <w:rFonts w:ascii="宋体" w:hAnsi="宋体" w:cs="宋体"/>
                <w:szCs w:val="22"/>
              </w:rPr>
            </w:pPr>
          </w:p>
        </w:tc>
        <w:tc>
          <w:tcPr>
            <w:tcW w:w="1980" w:type="dxa"/>
            <w:vMerge w:val="continue"/>
          </w:tcPr>
          <w:p>
            <w:pPr>
              <w:jc w:val="center"/>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Merge w:val="continue"/>
          </w:tcPr>
          <w:p>
            <w:pPr>
              <w:jc w:val="center"/>
              <w:rPr>
                <w:rFonts w:ascii="宋体" w:hAnsi="宋体" w:cs="宋体"/>
                <w:szCs w:val="22"/>
              </w:rPr>
            </w:pPr>
          </w:p>
        </w:tc>
        <w:tc>
          <w:tcPr>
            <w:tcW w:w="973" w:type="dxa"/>
            <w:vMerge w:val="continue"/>
          </w:tcPr>
          <w:p>
            <w:pPr>
              <w:jc w:val="center"/>
              <w:rPr>
                <w:rFonts w:ascii="宋体" w:hAnsi="宋体" w:cs="宋体"/>
                <w:szCs w:val="22"/>
              </w:rPr>
            </w:pPr>
          </w:p>
        </w:tc>
        <w:tc>
          <w:tcPr>
            <w:tcW w:w="3111" w:type="dxa"/>
            <w:vAlign w:val="center"/>
          </w:tcPr>
          <w:p>
            <w:pPr>
              <w:jc w:val="both"/>
              <w:rPr>
                <w:rFonts w:ascii="宋体" w:hAnsi="宋体" w:cs="宋体"/>
                <w:szCs w:val="22"/>
              </w:rPr>
            </w:pPr>
            <w:r>
              <w:rPr>
                <w:rFonts w:hint="eastAsia" w:ascii="宋体" w:hAnsi="宋体" w:cs="宋体"/>
                <w:szCs w:val="22"/>
              </w:rPr>
              <w:t>规费</w:t>
            </w:r>
          </w:p>
        </w:tc>
        <w:tc>
          <w:tcPr>
            <w:tcW w:w="2880" w:type="dxa"/>
          </w:tcPr>
          <w:p>
            <w:pPr>
              <w:jc w:val="center"/>
              <w:rPr>
                <w:rFonts w:ascii="宋体" w:hAnsi="宋体" w:cs="宋体"/>
                <w:szCs w:val="22"/>
              </w:rPr>
            </w:pPr>
          </w:p>
        </w:tc>
        <w:tc>
          <w:tcPr>
            <w:tcW w:w="1980" w:type="dxa"/>
            <w:vMerge w:val="continue"/>
          </w:tcPr>
          <w:p>
            <w:pPr>
              <w:jc w:val="center"/>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Merge w:val="continue"/>
          </w:tcPr>
          <w:p>
            <w:pPr>
              <w:jc w:val="center"/>
              <w:rPr>
                <w:rFonts w:ascii="宋体" w:hAnsi="宋体" w:cs="宋体"/>
                <w:szCs w:val="22"/>
              </w:rPr>
            </w:pPr>
          </w:p>
        </w:tc>
        <w:tc>
          <w:tcPr>
            <w:tcW w:w="973" w:type="dxa"/>
            <w:vMerge w:val="continue"/>
          </w:tcPr>
          <w:p>
            <w:pPr>
              <w:jc w:val="center"/>
              <w:rPr>
                <w:rFonts w:ascii="宋体" w:hAnsi="宋体" w:cs="宋体"/>
                <w:szCs w:val="22"/>
              </w:rPr>
            </w:pPr>
          </w:p>
        </w:tc>
        <w:tc>
          <w:tcPr>
            <w:tcW w:w="3111" w:type="dxa"/>
            <w:vAlign w:val="center"/>
          </w:tcPr>
          <w:p>
            <w:pPr>
              <w:jc w:val="both"/>
              <w:rPr>
                <w:rFonts w:ascii="宋体" w:hAnsi="宋体" w:cs="宋体"/>
                <w:szCs w:val="22"/>
              </w:rPr>
            </w:pPr>
            <w:r>
              <w:rPr>
                <w:rFonts w:hint="eastAsia" w:ascii="宋体" w:hAnsi="宋体" w:cs="宋体"/>
                <w:szCs w:val="22"/>
              </w:rPr>
              <w:t>暂列金额</w:t>
            </w:r>
          </w:p>
        </w:tc>
        <w:tc>
          <w:tcPr>
            <w:tcW w:w="2880" w:type="dxa"/>
          </w:tcPr>
          <w:p>
            <w:pPr>
              <w:jc w:val="center"/>
              <w:rPr>
                <w:rFonts w:ascii="宋体" w:hAnsi="宋体" w:cs="宋体"/>
                <w:szCs w:val="22"/>
              </w:rPr>
            </w:pPr>
          </w:p>
        </w:tc>
        <w:tc>
          <w:tcPr>
            <w:tcW w:w="1980" w:type="dxa"/>
            <w:vMerge w:val="continue"/>
          </w:tcPr>
          <w:p>
            <w:pPr>
              <w:jc w:val="center"/>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Merge w:val="continue"/>
          </w:tcPr>
          <w:p>
            <w:pPr>
              <w:jc w:val="center"/>
              <w:rPr>
                <w:rFonts w:ascii="宋体" w:hAnsi="宋体" w:cs="宋体"/>
                <w:szCs w:val="22"/>
              </w:rPr>
            </w:pPr>
          </w:p>
        </w:tc>
        <w:tc>
          <w:tcPr>
            <w:tcW w:w="973" w:type="dxa"/>
            <w:vMerge w:val="continue"/>
          </w:tcPr>
          <w:p>
            <w:pPr>
              <w:jc w:val="center"/>
              <w:rPr>
                <w:rFonts w:ascii="宋体" w:hAnsi="宋体" w:cs="宋体"/>
                <w:szCs w:val="22"/>
              </w:rPr>
            </w:pPr>
          </w:p>
        </w:tc>
        <w:tc>
          <w:tcPr>
            <w:tcW w:w="3111" w:type="dxa"/>
            <w:vAlign w:val="center"/>
          </w:tcPr>
          <w:p>
            <w:pPr>
              <w:jc w:val="both"/>
              <w:rPr>
                <w:rFonts w:ascii="宋体" w:hAnsi="宋体" w:cs="宋体"/>
                <w:szCs w:val="22"/>
              </w:rPr>
            </w:pPr>
            <w:r>
              <w:rPr>
                <w:rFonts w:hint="eastAsia" w:ascii="宋体" w:hAnsi="宋体" w:cs="宋体"/>
                <w:szCs w:val="22"/>
              </w:rPr>
              <w:t>专业工程暂估价</w:t>
            </w:r>
          </w:p>
        </w:tc>
        <w:tc>
          <w:tcPr>
            <w:tcW w:w="2880" w:type="dxa"/>
          </w:tcPr>
          <w:p>
            <w:pPr>
              <w:jc w:val="center"/>
              <w:rPr>
                <w:rFonts w:ascii="宋体" w:hAnsi="宋体" w:cs="宋体"/>
                <w:szCs w:val="22"/>
              </w:rPr>
            </w:pPr>
          </w:p>
        </w:tc>
        <w:tc>
          <w:tcPr>
            <w:tcW w:w="1980" w:type="dxa"/>
            <w:vMerge w:val="continue"/>
          </w:tcPr>
          <w:p>
            <w:pPr>
              <w:jc w:val="center"/>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8" w:type="dxa"/>
            <w:gridSpan w:val="3"/>
            <w:vAlign w:val="center"/>
          </w:tcPr>
          <w:p>
            <w:pPr>
              <w:jc w:val="both"/>
              <w:rPr>
                <w:rFonts w:ascii="宋体" w:hAnsi="宋体" w:cs="宋体"/>
                <w:szCs w:val="22"/>
              </w:rPr>
            </w:pPr>
            <w:r>
              <w:rPr>
                <w:rFonts w:hint="eastAsia" w:ascii="宋体" w:hAnsi="宋体" w:cs="宋体"/>
                <w:szCs w:val="22"/>
              </w:rPr>
              <w:t>工程建设费投标总价</w:t>
            </w:r>
          </w:p>
        </w:tc>
        <w:tc>
          <w:tcPr>
            <w:tcW w:w="2880" w:type="dxa"/>
          </w:tcPr>
          <w:p>
            <w:pPr>
              <w:jc w:val="center"/>
              <w:rPr>
                <w:rFonts w:ascii="宋体" w:hAnsi="宋体" w:cs="宋体"/>
                <w:szCs w:val="22"/>
              </w:rPr>
            </w:pPr>
          </w:p>
        </w:tc>
        <w:tc>
          <w:tcPr>
            <w:tcW w:w="1980" w:type="dxa"/>
            <w:vMerge w:val="continue"/>
          </w:tcPr>
          <w:p>
            <w:pPr>
              <w:jc w:val="center"/>
              <w:rPr>
                <w:rFonts w:ascii="Times New Roman" w:hAnsi="Times New Roman" w:cs="Times New Roman"/>
                <w:sz w:val="21"/>
                <w:szCs w:val="21"/>
              </w:rPr>
            </w:pPr>
          </w:p>
        </w:tc>
      </w:tr>
    </w:tbl>
    <w:p>
      <w:pPr>
        <w:spacing w:line="240" w:lineRule="auto"/>
        <w:jc w:val="both"/>
        <w:rPr>
          <w:rFonts w:ascii="Times New Roman" w:hAnsi="Times New Roman" w:cs="Times New Roman"/>
          <w:sz w:val="21"/>
          <w:szCs w:val="21"/>
        </w:rPr>
      </w:pPr>
    </w:p>
    <w:p>
      <w:pPr>
        <w:jc w:val="center"/>
        <w:rPr>
          <w:b/>
          <w:bCs/>
        </w:rPr>
      </w:pPr>
      <w:r>
        <w:rPr>
          <w:rFonts w:hint="eastAsia"/>
          <w:b/>
          <w:bCs/>
        </w:rPr>
        <w:t>□3、投标总价汇总表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5580"/>
        <w:gridCol w:w="3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jc w:val="center"/>
              <w:rPr>
                <w:rFonts w:ascii="宋体" w:hAnsi="宋体" w:cs="宋体"/>
                <w:szCs w:val="22"/>
              </w:rPr>
            </w:pPr>
            <w:r>
              <w:rPr>
                <w:rFonts w:hint="eastAsia" w:ascii="宋体" w:hAnsi="宋体" w:cs="宋体"/>
                <w:szCs w:val="22"/>
              </w:rPr>
              <w:t>序号</w:t>
            </w:r>
          </w:p>
        </w:tc>
        <w:tc>
          <w:tcPr>
            <w:tcW w:w="5580" w:type="dxa"/>
            <w:vAlign w:val="center"/>
          </w:tcPr>
          <w:p>
            <w:pPr>
              <w:rPr>
                <w:rFonts w:ascii="宋体" w:hAnsi="宋体" w:cs="宋体"/>
                <w:szCs w:val="22"/>
              </w:rPr>
            </w:pPr>
            <w:r>
              <w:rPr>
                <w:rFonts w:hint="eastAsia" w:ascii="宋体" w:hAnsi="宋体" w:cs="宋体"/>
                <w:szCs w:val="22"/>
              </w:rPr>
              <w:t>项目名称</w:t>
            </w:r>
          </w:p>
        </w:tc>
        <w:tc>
          <w:tcPr>
            <w:tcW w:w="3086" w:type="dxa"/>
            <w:vAlign w:val="center"/>
          </w:tcPr>
          <w:p>
            <w:pPr>
              <w:jc w:val="center"/>
              <w:rPr>
                <w:rFonts w:ascii="宋体" w:hAnsi="宋体" w:cs="宋体"/>
                <w:szCs w:val="22"/>
              </w:rPr>
            </w:pPr>
            <w:r>
              <w:rPr>
                <w:rFonts w:hint="eastAsia" w:ascii="宋体" w:hAnsi="宋体" w:cs="宋体"/>
                <w:szCs w:val="22"/>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jc w:val="center"/>
              <w:rPr>
                <w:rFonts w:ascii="宋体" w:hAnsi="宋体" w:cs="宋体"/>
                <w:szCs w:val="22"/>
              </w:rPr>
            </w:pPr>
            <w:r>
              <w:rPr>
                <w:rFonts w:hint="eastAsia" w:ascii="宋体" w:hAnsi="宋体" w:cs="宋体"/>
                <w:szCs w:val="22"/>
              </w:rPr>
              <w:t>1</w:t>
            </w:r>
          </w:p>
        </w:tc>
        <w:tc>
          <w:tcPr>
            <w:tcW w:w="5580" w:type="dxa"/>
            <w:vAlign w:val="center"/>
          </w:tcPr>
          <w:p>
            <w:pPr>
              <w:rPr>
                <w:rFonts w:ascii="宋体" w:hAnsi="宋体" w:cs="宋体"/>
                <w:szCs w:val="22"/>
              </w:rPr>
            </w:pPr>
            <w:r>
              <w:rPr>
                <w:rFonts w:hint="eastAsia" w:ascii="宋体" w:hAnsi="宋体" w:cs="宋体"/>
                <w:szCs w:val="22"/>
              </w:rPr>
              <w:t>□勘察费投标报价</w:t>
            </w:r>
          </w:p>
        </w:tc>
        <w:tc>
          <w:tcPr>
            <w:tcW w:w="3086" w:type="dxa"/>
            <w:vAlign w:val="center"/>
          </w:tcPr>
          <w:p>
            <w:pPr>
              <w:spacing w:line="240" w:lineRule="auto"/>
              <w:jc w:val="both"/>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jc w:val="center"/>
              <w:rPr>
                <w:rFonts w:ascii="宋体" w:hAnsi="宋体" w:cs="宋体"/>
                <w:szCs w:val="22"/>
              </w:rPr>
            </w:pPr>
            <w:r>
              <w:rPr>
                <w:rFonts w:hint="eastAsia" w:ascii="宋体" w:hAnsi="宋体" w:cs="宋体"/>
                <w:szCs w:val="22"/>
              </w:rPr>
              <w:t>2</w:t>
            </w:r>
          </w:p>
        </w:tc>
        <w:tc>
          <w:tcPr>
            <w:tcW w:w="5580" w:type="dxa"/>
            <w:vAlign w:val="center"/>
          </w:tcPr>
          <w:p>
            <w:pPr>
              <w:rPr>
                <w:rFonts w:ascii="宋体" w:hAnsi="宋体" w:cs="宋体"/>
                <w:szCs w:val="22"/>
              </w:rPr>
            </w:pPr>
            <w:r>
              <w:rPr>
                <w:rFonts w:hint="eastAsia" w:ascii="宋体" w:hAnsi="宋体" w:cs="宋体"/>
                <w:szCs w:val="22"/>
              </w:rPr>
              <w:t>□设计费投标报价</w:t>
            </w:r>
          </w:p>
        </w:tc>
        <w:tc>
          <w:tcPr>
            <w:tcW w:w="3086" w:type="dxa"/>
            <w:vAlign w:val="center"/>
          </w:tcPr>
          <w:p>
            <w:pPr>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jc w:val="center"/>
              <w:rPr>
                <w:rFonts w:ascii="宋体" w:hAnsi="宋体" w:cs="宋体"/>
                <w:szCs w:val="22"/>
              </w:rPr>
            </w:pPr>
            <w:r>
              <w:rPr>
                <w:rFonts w:hint="eastAsia" w:ascii="宋体" w:hAnsi="宋体" w:cs="宋体"/>
                <w:szCs w:val="22"/>
              </w:rPr>
              <w:t>3</w:t>
            </w:r>
          </w:p>
        </w:tc>
        <w:tc>
          <w:tcPr>
            <w:tcW w:w="5580" w:type="dxa"/>
            <w:vAlign w:val="center"/>
          </w:tcPr>
          <w:p>
            <w:pPr>
              <w:rPr>
                <w:rFonts w:ascii="宋体" w:hAnsi="宋体" w:cs="宋体"/>
                <w:szCs w:val="22"/>
              </w:rPr>
            </w:pPr>
            <w:r>
              <w:rPr>
                <w:rFonts w:hint="eastAsia" w:ascii="宋体" w:hAnsi="宋体" w:cs="宋体"/>
                <w:szCs w:val="22"/>
              </w:rPr>
              <w:t>工程建设费投标总价</w:t>
            </w:r>
          </w:p>
        </w:tc>
        <w:tc>
          <w:tcPr>
            <w:tcW w:w="3086" w:type="dxa"/>
            <w:vAlign w:val="center"/>
          </w:tcPr>
          <w:p>
            <w:pPr>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8" w:type="dxa"/>
            <w:gridSpan w:val="2"/>
            <w:vAlign w:val="center"/>
          </w:tcPr>
          <w:p>
            <w:pPr>
              <w:jc w:val="center"/>
              <w:rPr>
                <w:rFonts w:ascii="宋体" w:hAnsi="宋体" w:cs="宋体"/>
                <w:szCs w:val="22"/>
              </w:rPr>
            </w:pPr>
            <w:r>
              <w:rPr>
                <w:rFonts w:hint="eastAsia" w:ascii="宋体" w:hAnsi="宋体" w:cs="宋体"/>
                <w:szCs w:val="22"/>
              </w:rPr>
              <w:t>投标总价</w:t>
            </w:r>
          </w:p>
        </w:tc>
        <w:tc>
          <w:tcPr>
            <w:tcW w:w="3086" w:type="dxa"/>
            <w:vAlign w:val="center"/>
          </w:tcPr>
          <w:p>
            <w:pPr>
              <w:jc w:val="center"/>
              <w:rPr>
                <w:rFonts w:ascii="宋体" w:hAnsi="宋体" w:cs="宋体"/>
                <w:szCs w:val="22"/>
              </w:rPr>
            </w:pPr>
          </w:p>
        </w:tc>
      </w:tr>
    </w:tbl>
    <w:p>
      <w:pPr>
        <w:jc w:val="both"/>
        <w:rPr>
          <w:rFonts w:ascii="宋体" w:hAnsi="宋体" w:cs="Arial"/>
          <w:sz w:val="21"/>
          <w:szCs w:val="21"/>
        </w:rPr>
      </w:pPr>
    </w:p>
    <w:p>
      <w:pPr>
        <w:jc w:val="right"/>
        <w:rPr>
          <w:rFonts w:ascii="宋体" w:hAnsi="宋体" w:cs="宋体"/>
        </w:rPr>
      </w:pPr>
      <w:r>
        <w:rPr>
          <w:rFonts w:hint="eastAsia" w:ascii="宋体" w:hAnsi="宋体" w:cs="宋体"/>
        </w:rPr>
        <w:t>投标人：（盖单位章）</w:t>
      </w:r>
    </w:p>
    <w:p>
      <w:pPr>
        <w:jc w:val="right"/>
        <w:rPr>
          <w:rFonts w:ascii="宋体" w:hAnsi="宋体" w:cs="宋体"/>
        </w:rPr>
      </w:pPr>
      <w:r>
        <w:rPr>
          <w:rFonts w:hint="eastAsia" w:ascii="宋体" w:hAnsi="宋体" w:cs="宋体"/>
        </w:rPr>
        <w:t>法定代表人或其委托代理人：(签字或盖章)</w:t>
      </w:r>
    </w:p>
    <w:p>
      <w:pPr>
        <w:jc w:val="right"/>
      </w:pPr>
      <w:r>
        <w:rPr>
          <w:rFonts w:hint="eastAsia" w:ascii="宋体" w:hAnsi="宋体" w:cs="宋体"/>
        </w:rPr>
        <w:t>日期:  年   月   日</w:t>
      </w:r>
    </w:p>
    <w:p>
      <w:pPr>
        <w:pStyle w:val="2"/>
        <w:ind w:left="0"/>
      </w:pPr>
    </w:p>
    <w:p>
      <w:pPr>
        <w:pStyle w:val="2"/>
        <w:ind w:left="0"/>
      </w:pPr>
      <w:r>
        <w:rPr>
          <w:rFonts w:hint="eastAsia"/>
        </w:rPr>
        <w:t>注：工程建设费投标报价的单位应与公布的招标控制价一致,即以为单位，小数点后保留位数不作实质性要求。投标报价附表的格式及内容可由招标人根据项目具体情况修改调整。</w:t>
      </w:r>
    </w:p>
    <w:p>
      <w:pPr>
        <w:pStyle w:val="5"/>
        <w:jc w:val="center"/>
      </w:pPr>
      <w:bookmarkStart w:id="242" w:name="_Toc28233"/>
      <w:bookmarkStart w:id="243" w:name="_Toc21050"/>
      <w:r>
        <w:rPr>
          <w:rFonts w:hint="eastAsia"/>
        </w:rPr>
        <w:t>二、法定代表人身份证明</w:t>
      </w:r>
      <w:bookmarkEnd w:id="242"/>
      <w:bookmarkEnd w:id="243"/>
    </w:p>
    <w:p>
      <w:pPr>
        <w:spacing w:line="500" w:lineRule="exact"/>
        <w:ind w:firstLine="420" w:firstLineChars="200"/>
        <w:jc w:val="both"/>
        <w:rPr>
          <w:rFonts w:ascii="宋体" w:hAnsi="宋体" w:cs="Times New Roman"/>
          <w:sz w:val="21"/>
          <w:szCs w:val="21"/>
        </w:rPr>
      </w:pPr>
    </w:p>
    <w:p>
      <w:pPr>
        <w:spacing w:line="500" w:lineRule="exact"/>
        <w:ind w:firstLine="440" w:firstLineChars="200"/>
        <w:jc w:val="both"/>
        <w:rPr>
          <w:rFonts w:ascii="宋体" w:hAnsi="宋体" w:cs="Times New Roman"/>
          <w:szCs w:val="22"/>
        </w:rPr>
      </w:pPr>
      <w:r>
        <w:rPr>
          <w:rFonts w:hint="eastAsia" w:ascii="宋体" w:hAnsi="宋体" w:cs="Times New Roman"/>
          <w:szCs w:val="22"/>
        </w:rPr>
        <w:t>单位名称：</w:t>
      </w:r>
    </w:p>
    <w:p>
      <w:pPr>
        <w:spacing w:line="500" w:lineRule="exact"/>
        <w:ind w:firstLine="440" w:firstLineChars="200"/>
        <w:jc w:val="both"/>
        <w:rPr>
          <w:rFonts w:ascii="宋体" w:hAnsi="宋体" w:cs="Times New Roman"/>
          <w:szCs w:val="22"/>
        </w:rPr>
      </w:pPr>
      <w:r>
        <w:rPr>
          <w:rFonts w:hint="eastAsia" w:ascii="宋体" w:hAnsi="宋体" w:cs="Times New Roman"/>
          <w:szCs w:val="22"/>
        </w:rPr>
        <w:t>单位性质：</w:t>
      </w:r>
    </w:p>
    <w:p>
      <w:pPr>
        <w:spacing w:line="500" w:lineRule="exact"/>
        <w:ind w:firstLine="440" w:firstLineChars="200"/>
        <w:jc w:val="both"/>
        <w:rPr>
          <w:rFonts w:ascii="宋体" w:hAnsi="宋体" w:cs="Times New Roman"/>
          <w:szCs w:val="22"/>
        </w:rPr>
      </w:pPr>
      <w:r>
        <w:rPr>
          <w:rFonts w:hint="eastAsia" w:ascii="宋体" w:hAnsi="宋体" w:cs="Times New Roman"/>
          <w:szCs w:val="22"/>
        </w:rPr>
        <w:t>地址：</w:t>
      </w:r>
    </w:p>
    <w:p>
      <w:pPr>
        <w:spacing w:line="500" w:lineRule="exact"/>
        <w:ind w:firstLine="440" w:firstLineChars="200"/>
        <w:jc w:val="both"/>
        <w:rPr>
          <w:rFonts w:ascii="宋体" w:hAnsi="宋体" w:cs="Times New Roman"/>
          <w:szCs w:val="22"/>
        </w:rPr>
      </w:pPr>
      <w:r>
        <w:rPr>
          <w:rFonts w:hint="eastAsia" w:ascii="宋体" w:hAnsi="宋体" w:cs="Times New Roman"/>
          <w:szCs w:val="22"/>
        </w:rPr>
        <w:t>成立时间：  年  月  日</w:t>
      </w:r>
    </w:p>
    <w:p>
      <w:pPr>
        <w:spacing w:line="500" w:lineRule="exact"/>
        <w:ind w:firstLine="440" w:firstLineChars="200"/>
        <w:jc w:val="both"/>
        <w:rPr>
          <w:rFonts w:ascii="宋体" w:hAnsi="宋体" w:cs="Times New Roman"/>
          <w:szCs w:val="22"/>
        </w:rPr>
      </w:pPr>
      <w:r>
        <w:rPr>
          <w:rFonts w:hint="eastAsia" w:ascii="宋体" w:hAnsi="宋体" w:cs="Times New Roman"/>
          <w:szCs w:val="22"/>
        </w:rPr>
        <w:t>经营期限：</w:t>
      </w:r>
    </w:p>
    <w:p>
      <w:pPr>
        <w:spacing w:line="500" w:lineRule="exact"/>
        <w:ind w:firstLine="440" w:firstLineChars="200"/>
        <w:jc w:val="both"/>
        <w:rPr>
          <w:rFonts w:ascii="宋体" w:hAnsi="宋体" w:cs="Times New Roman"/>
          <w:szCs w:val="22"/>
        </w:rPr>
      </w:pPr>
      <w:r>
        <w:rPr>
          <w:rFonts w:hint="eastAsia" w:ascii="宋体" w:hAnsi="宋体" w:cs="Times New Roman"/>
          <w:szCs w:val="22"/>
        </w:rPr>
        <w:t>姓名：</w:t>
      </w:r>
      <w:r>
        <w:rPr>
          <w:rFonts w:hint="eastAsia" w:ascii="宋体" w:hAnsi="宋体" w:cs="Times New Roman"/>
          <w:szCs w:val="22"/>
          <w:u w:val="single"/>
        </w:rPr>
        <w:t xml:space="preserve">        </w:t>
      </w:r>
      <w:r>
        <w:rPr>
          <w:rFonts w:hint="eastAsia" w:ascii="宋体" w:hAnsi="宋体" w:cs="Times New Roman"/>
          <w:szCs w:val="22"/>
        </w:rPr>
        <w:t xml:space="preserve"> 系</w:t>
      </w:r>
      <w:r>
        <w:rPr>
          <w:rFonts w:hint="eastAsia" w:ascii="宋体" w:hAnsi="宋体" w:cs="Times New Roman"/>
          <w:szCs w:val="22"/>
          <w:u w:val="single"/>
        </w:rPr>
        <w:t xml:space="preserve">                 （单位名称）</w:t>
      </w:r>
      <w:r>
        <w:rPr>
          <w:rFonts w:hint="eastAsia" w:ascii="宋体" w:hAnsi="宋体" w:cs="Times New Roman"/>
          <w:szCs w:val="22"/>
        </w:rPr>
        <w:t>的法定代表人。（职务：</w:t>
      </w:r>
      <w:r>
        <w:rPr>
          <w:rFonts w:hint="eastAsia" w:ascii="宋体" w:hAnsi="宋体" w:cs="Times New Roman"/>
          <w:szCs w:val="22"/>
          <w:u w:val="single"/>
        </w:rPr>
        <w:t xml:space="preserve">         </w:t>
      </w:r>
      <w:r>
        <w:rPr>
          <w:rFonts w:hint="eastAsia" w:ascii="宋体" w:hAnsi="宋体" w:cs="Times New Roman"/>
          <w:szCs w:val="22"/>
        </w:rPr>
        <w:t>电话</w:t>
      </w:r>
      <w:r>
        <w:rPr>
          <w:rFonts w:hint="eastAsia" w:ascii="宋体" w:hAnsi="宋体" w:cs="Times New Roman"/>
          <w:szCs w:val="22"/>
          <w:u w:val="single"/>
        </w:rPr>
        <w:t xml:space="preserve">       </w:t>
      </w:r>
      <w:r>
        <w:rPr>
          <w:rFonts w:hint="eastAsia" w:ascii="宋体" w:hAnsi="宋体" w:cs="Times New Roman"/>
          <w:szCs w:val="22"/>
        </w:rPr>
        <w:t>）</w:t>
      </w:r>
    </w:p>
    <w:p>
      <w:pPr>
        <w:spacing w:line="500" w:lineRule="exact"/>
        <w:ind w:firstLine="880" w:firstLineChars="400"/>
        <w:jc w:val="both"/>
        <w:rPr>
          <w:rFonts w:ascii="宋体" w:hAnsi="宋体" w:cs="Times New Roman"/>
          <w:szCs w:val="22"/>
        </w:rPr>
      </w:pPr>
    </w:p>
    <w:p>
      <w:pPr>
        <w:spacing w:line="500" w:lineRule="exact"/>
        <w:ind w:firstLine="880" w:firstLineChars="400"/>
        <w:jc w:val="both"/>
        <w:rPr>
          <w:rFonts w:ascii="宋体" w:hAnsi="宋体" w:cs="Times New Roman"/>
          <w:szCs w:val="22"/>
        </w:rPr>
      </w:pPr>
      <w:r>
        <w:rPr>
          <w:rFonts w:hint="eastAsia" w:ascii="宋体" w:hAnsi="宋体" w:cs="Times New Roman"/>
          <w:szCs w:val="22"/>
        </w:rPr>
        <w:t>特此证明。</w:t>
      </w:r>
    </w:p>
    <w:p>
      <w:pPr>
        <w:spacing w:line="500" w:lineRule="exact"/>
        <w:ind w:firstLine="880" w:firstLineChars="400"/>
        <w:jc w:val="both"/>
        <w:rPr>
          <w:rFonts w:ascii="宋体" w:hAnsi="宋体" w:cs="Times New Roman"/>
          <w:szCs w:val="22"/>
        </w:rPr>
      </w:pPr>
      <w:r>
        <w:rPr>
          <w:rFonts w:hint="eastAsia" w:ascii="宋体" w:hAnsi="宋体" w:cs="Times New Roman"/>
          <w:szCs w:val="22"/>
        </w:rPr>
        <w:t>附：法定代表人身份证复印件或扫描件。</w:t>
      </w:r>
    </w:p>
    <w:p>
      <w:pPr>
        <w:spacing w:line="500" w:lineRule="exact"/>
        <w:ind w:firstLine="440" w:firstLineChars="200"/>
        <w:jc w:val="both"/>
        <w:rPr>
          <w:rFonts w:ascii="宋体" w:hAnsi="宋体" w:cs="Times New Roman"/>
          <w:szCs w:val="22"/>
        </w:rPr>
      </w:pPr>
    </w:p>
    <w:p>
      <w:pPr>
        <w:spacing w:line="500" w:lineRule="exact"/>
        <w:ind w:firstLine="440" w:firstLineChars="200"/>
        <w:jc w:val="both"/>
        <w:rPr>
          <w:rFonts w:ascii="宋体" w:hAnsi="宋体" w:cs="Times New Roman"/>
          <w:szCs w:val="22"/>
        </w:rPr>
      </w:pPr>
    </w:p>
    <w:p>
      <w:pPr>
        <w:spacing w:line="500" w:lineRule="exact"/>
        <w:ind w:firstLine="440" w:firstLineChars="200"/>
        <w:jc w:val="both"/>
        <w:rPr>
          <w:rFonts w:ascii="宋体" w:hAnsi="宋体" w:cs="Times New Roman"/>
          <w:szCs w:val="22"/>
        </w:rPr>
      </w:pPr>
    </w:p>
    <w:p>
      <w:pPr>
        <w:spacing w:line="500" w:lineRule="exact"/>
        <w:ind w:firstLine="4400" w:firstLineChars="2000"/>
        <w:jc w:val="right"/>
        <w:rPr>
          <w:rFonts w:ascii="宋体" w:hAnsi="宋体" w:cs="Times New Roman"/>
          <w:szCs w:val="22"/>
        </w:rPr>
      </w:pPr>
      <w:r>
        <w:rPr>
          <w:rFonts w:hint="eastAsia" w:ascii="宋体" w:hAnsi="宋体" w:cs="Times New Roman"/>
          <w:szCs w:val="22"/>
        </w:rPr>
        <w:t>单位名称：(盖单位章)</w:t>
      </w:r>
    </w:p>
    <w:p>
      <w:pPr>
        <w:spacing w:line="500" w:lineRule="exact"/>
        <w:ind w:firstLine="5170" w:firstLineChars="2350"/>
        <w:jc w:val="right"/>
        <w:rPr>
          <w:rFonts w:ascii="宋体" w:hAnsi="宋体" w:cs="Times New Roman"/>
          <w:szCs w:val="22"/>
        </w:rPr>
      </w:pPr>
      <w:r>
        <w:rPr>
          <w:rFonts w:hint="eastAsia" w:ascii="宋体" w:hAnsi="宋体" w:cs="Times New Roman"/>
          <w:szCs w:val="22"/>
        </w:rPr>
        <w:t>年 月 日</w:t>
      </w:r>
    </w:p>
    <w:p>
      <w:pPr>
        <w:ind w:firstLine="420" w:firstLineChars="200"/>
        <w:jc w:val="both"/>
        <w:rPr>
          <w:rFonts w:ascii="宋体" w:hAnsi="宋体" w:cs="Times New Roman"/>
          <w:sz w:val="21"/>
          <w:szCs w:val="21"/>
        </w:rPr>
      </w:pPr>
    </w:p>
    <w:p>
      <w:pPr>
        <w:ind w:firstLine="420" w:firstLineChars="200"/>
        <w:jc w:val="both"/>
        <w:rPr>
          <w:rFonts w:ascii="宋体" w:hAnsi="宋体" w:cs="Times New Roman"/>
          <w:sz w:val="21"/>
          <w:szCs w:val="21"/>
        </w:rPr>
      </w:pPr>
    </w:p>
    <w:p>
      <w:pPr>
        <w:ind w:firstLine="420" w:firstLineChars="200"/>
        <w:jc w:val="both"/>
        <w:rPr>
          <w:rFonts w:ascii="宋体" w:hAnsi="宋体" w:cs="Times New Roman"/>
          <w:sz w:val="21"/>
          <w:szCs w:val="21"/>
        </w:rPr>
      </w:pPr>
    </w:p>
    <w:p>
      <w:pPr>
        <w:ind w:firstLine="420" w:firstLineChars="200"/>
        <w:jc w:val="both"/>
        <w:rPr>
          <w:rFonts w:ascii="宋体" w:hAnsi="宋体" w:cs="Times New Roman"/>
          <w:sz w:val="21"/>
          <w:szCs w:val="21"/>
        </w:rPr>
      </w:pPr>
    </w:p>
    <w:p>
      <w:pPr>
        <w:ind w:firstLine="420" w:firstLineChars="200"/>
        <w:jc w:val="both"/>
        <w:rPr>
          <w:rFonts w:ascii="宋体" w:hAnsi="宋体" w:cs="Times New Roman"/>
          <w:sz w:val="21"/>
          <w:szCs w:val="21"/>
        </w:rPr>
      </w:pPr>
    </w:p>
    <w:p>
      <w:pPr>
        <w:ind w:firstLine="420" w:firstLineChars="200"/>
        <w:jc w:val="both"/>
        <w:rPr>
          <w:rFonts w:ascii="宋体" w:hAnsi="宋体" w:cs="Times New Roman"/>
          <w:sz w:val="21"/>
          <w:szCs w:val="21"/>
        </w:rPr>
      </w:pPr>
    </w:p>
    <w:p>
      <w:pPr>
        <w:ind w:firstLine="420" w:firstLineChars="200"/>
        <w:jc w:val="both"/>
        <w:rPr>
          <w:rFonts w:ascii="宋体" w:hAnsi="宋体" w:cs="Times New Roman"/>
          <w:sz w:val="21"/>
          <w:szCs w:val="21"/>
        </w:rPr>
      </w:pPr>
    </w:p>
    <w:p>
      <w:pPr>
        <w:ind w:firstLine="420" w:firstLineChars="200"/>
        <w:jc w:val="both"/>
        <w:rPr>
          <w:rFonts w:ascii="宋体" w:hAnsi="宋体" w:cs="Times New Roman"/>
          <w:sz w:val="21"/>
          <w:szCs w:val="21"/>
        </w:rPr>
      </w:pPr>
    </w:p>
    <w:p>
      <w:pPr>
        <w:ind w:firstLine="420" w:firstLineChars="200"/>
        <w:jc w:val="both"/>
        <w:rPr>
          <w:rFonts w:ascii="宋体" w:hAnsi="宋体" w:cs="Times New Roman"/>
          <w:sz w:val="21"/>
          <w:szCs w:val="21"/>
        </w:rPr>
      </w:pPr>
    </w:p>
    <w:p>
      <w:pPr>
        <w:ind w:firstLine="440" w:firstLineChars="200"/>
        <w:jc w:val="both"/>
        <w:rPr>
          <w:rFonts w:ascii="宋体" w:hAnsi="宋体" w:cs="宋体"/>
          <w:szCs w:val="22"/>
        </w:rPr>
      </w:pPr>
      <w:r>
        <w:rPr>
          <w:rFonts w:hint="eastAsia" w:ascii="宋体" w:hAnsi="宋体" w:cs="宋体"/>
          <w:szCs w:val="22"/>
        </w:rPr>
        <w:t>注：若为联合体投标，需提供所有联合体各方的法定代表人身份证明书。</w:t>
      </w:r>
    </w:p>
    <w:p>
      <w:pPr>
        <w:spacing w:line="300" w:lineRule="exact"/>
        <w:jc w:val="both"/>
        <w:rPr>
          <w:rFonts w:ascii="宋体" w:hAnsi="宋体" w:cs="Times New Roman"/>
          <w:b/>
          <w:sz w:val="24"/>
        </w:rPr>
      </w:pPr>
      <w:r>
        <w:rPr>
          <w:rFonts w:ascii="宋体" w:hAnsi="宋体" w:cs="Times New Roman"/>
          <w:b/>
          <w:sz w:val="24"/>
        </w:rPr>
        <w:br w:type="page"/>
      </w:r>
    </w:p>
    <w:p>
      <w:pPr>
        <w:pStyle w:val="5"/>
        <w:jc w:val="center"/>
      </w:pPr>
      <w:bookmarkStart w:id="244" w:name="_Toc30247"/>
      <w:bookmarkStart w:id="245" w:name="_Toc2847"/>
      <w:r>
        <w:rPr>
          <w:rFonts w:hint="eastAsia"/>
        </w:rPr>
        <w:t>三、授权委托书</w:t>
      </w:r>
      <w:bookmarkEnd w:id="244"/>
      <w:bookmarkEnd w:id="245"/>
    </w:p>
    <w:p/>
    <w:p>
      <w:pPr>
        <w:ind w:left="376" w:leftChars="171" w:firstLine="440" w:firstLineChars="200"/>
        <w:jc w:val="both"/>
        <w:rPr>
          <w:rFonts w:ascii="宋体" w:hAnsi="宋体" w:cs="Times New Roman"/>
          <w:szCs w:val="22"/>
        </w:rPr>
      </w:pPr>
      <w:r>
        <w:rPr>
          <w:rFonts w:hint="eastAsia" w:ascii="宋体" w:hAnsi="宋体" w:cs="Times New Roman"/>
          <w:szCs w:val="22"/>
        </w:rPr>
        <w:t>本人系</w:t>
      </w:r>
      <w:r>
        <w:rPr>
          <w:rFonts w:hint="eastAsia" w:ascii="宋体" w:hAnsi="宋体" w:cs="Times New Roman"/>
          <w:szCs w:val="22"/>
          <w:u w:val="single"/>
        </w:rPr>
        <w:t xml:space="preserve">           </w:t>
      </w:r>
      <w:r>
        <w:rPr>
          <w:rFonts w:hint="eastAsia" w:ascii="宋体" w:hAnsi="宋体" w:cs="Times New Roman"/>
          <w:szCs w:val="22"/>
        </w:rPr>
        <w:t>（投标人名称）的法定代表人，现委托本单位人员为我方代理人。代理人根据授权，在本项目招标、投标、评标、合同签署等活动过程中所签署的一切文件和处理与之有关的一切事务（向有关行政监督部门投诉另行授权），其法律后果由我方承担。</w:t>
      </w:r>
    </w:p>
    <w:p>
      <w:pPr>
        <w:ind w:left="376" w:leftChars="171" w:firstLine="440" w:firstLineChars="200"/>
        <w:jc w:val="both"/>
        <w:rPr>
          <w:rFonts w:ascii="宋体" w:hAnsi="宋体" w:cs="Times New Roman"/>
          <w:szCs w:val="22"/>
        </w:rPr>
      </w:pPr>
      <w:r>
        <w:rPr>
          <w:rFonts w:hint="eastAsia" w:ascii="宋体" w:hAnsi="宋体" w:cs="Times New Roman"/>
          <w:szCs w:val="22"/>
        </w:rPr>
        <w:t>委托期限：</w:t>
      </w:r>
      <w:r>
        <w:rPr>
          <w:rFonts w:hint="eastAsia" w:ascii="宋体" w:hAnsi="宋体" w:cs="Times New Roman"/>
          <w:szCs w:val="28"/>
          <w:u w:val="single"/>
        </w:rPr>
        <w:t>自本授权委托书签署之日起至第二章“投标人须知”前附表</w:t>
      </w:r>
      <w:r>
        <w:rPr>
          <w:rFonts w:ascii="宋体" w:hAnsi="宋体" w:cs="Times New Roman"/>
          <w:szCs w:val="28"/>
          <w:u w:val="single"/>
        </w:rPr>
        <w:t>3.3.1</w:t>
      </w:r>
      <w:r>
        <w:rPr>
          <w:rFonts w:hint="eastAsia" w:ascii="宋体" w:hAnsi="宋体" w:cs="Times New Roman"/>
          <w:szCs w:val="28"/>
          <w:u w:val="single"/>
        </w:rPr>
        <w:t xml:space="preserve">规定的“投标有效期”结束为止。  </w:t>
      </w:r>
    </w:p>
    <w:p>
      <w:pPr>
        <w:ind w:left="376" w:leftChars="171" w:firstLine="440" w:firstLineChars="200"/>
        <w:jc w:val="both"/>
        <w:rPr>
          <w:rFonts w:ascii="宋体" w:hAnsi="宋体" w:cs="Times New Roman"/>
          <w:szCs w:val="22"/>
        </w:rPr>
      </w:pPr>
      <w:r>
        <w:rPr>
          <w:rFonts w:hint="eastAsia" w:ascii="宋体" w:hAnsi="宋体" w:cs="Times New Roman"/>
          <w:szCs w:val="22"/>
        </w:rPr>
        <w:t>代理人无转委托权。</w:t>
      </w:r>
    </w:p>
    <w:p>
      <w:pPr>
        <w:ind w:left="376" w:leftChars="171" w:firstLine="440" w:firstLineChars="200"/>
        <w:jc w:val="both"/>
        <w:rPr>
          <w:rFonts w:ascii="宋体" w:hAnsi="宋体" w:cs="Times New Roman"/>
          <w:szCs w:val="22"/>
        </w:rPr>
      </w:pPr>
    </w:p>
    <w:p>
      <w:pPr>
        <w:ind w:left="376" w:leftChars="171" w:firstLine="440" w:firstLineChars="200"/>
        <w:jc w:val="both"/>
        <w:rPr>
          <w:rFonts w:ascii="宋体" w:hAnsi="宋体" w:cs="Times New Roman"/>
          <w:szCs w:val="22"/>
        </w:rPr>
      </w:pPr>
      <w:r>
        <w:rPr>
          <w:rFonts w:hint="eastAsia" w:ascii="宋体" w:hAnsi="宋体" w:cs="Times New Roman"/>
          <w:szCs w:val="22"/>
        </w:rPr>
        <w:t>附：委托代理人身份证（正反面）复印件或扫描件。</w:t>
      </w:r>
    </w:p>
    <w:p>
      <w:pPr>
        <w:ind w:left="376" w:leftChars="171" w:firstLine="420" w:firstLineChars="200"/>
        <w:jc w:val="both"/>
        <w:rPr>
          <w:rFonts w:ascii="宋体" w:hAnsi="宋体" w:cs="Times New Roman"/>
          <w:sz w:val="21"/>
          <w:szCs w:val="21"/>
        </w:rPr>
      </w:pPr>
    </w:p>
    <w:p>
      <w:pPr>
        <w:ind w:left="376" w:leftChars="171" w:firstLine="420" w:firstLineChars="200"/>
        <w:jc w:val="both"/>
        <w:rPr>
          <w:rFonts w:ascii="宋体" w:hAnsi="宋体" w:cs="Times New Roman"/>
          <w:sz w:val="21"/>
          <w:szCs w:val="21"/>
        </w:rPr>
      </w:pPr>
    </w:p>
    <w:p>
      <w:pPr>
        <w:ind w:left="376" w:leftChars="171" w:firstLine="420" w:firstLineChars="200"/>
        <w:jc w:val="both"/>
        <w:rPr>
          <w:rFonts w:ascii="宋体" w:hAnsi="宋体" w:cs="Times New Roman"/>
          <w:sz w:val="21"/>
          <w:szCs w:val="21"/>
        </w:rPr>
      </w:pPr>
    </w:p>
    <w:p>
      <w:pPr>
        <w:ind w:firstLine="3300" w:firstLineChars="1500"/>
        <w:jc w:val="both"/>
        <w:rPr>
          <w:rFonts w:ascii="宋体" w:hAnsi="宋体" w:cs="Times New Roman"/>
          <w:szCs w:val="22"/>
        </w:rPr>
      </w:pPr>
      <w:r>
        <w:rPr>
          <w:rFonts w:hint="eastAsia" w:ascii="宋体" w:hAnsi="宋体" w:cs="Times New Roman"/>
          <w:szCs w:val="22"/>
        </w:rPr>
        <w:t>投标人：（盖单位章）</w:t>
      </w:r>
    </w:p>
    <w:p>
      <w:pPr>
        <w:ind w:firstLine="3300" w:firstLineChars="1500"/>
        <w:jc w:val="both"/>
        <w:rPr>
          <w:rFonts w:ascii="宋体" w:hAnsi="宋体" w:cs="Times New Roman"/>
          <w:szCs w:val="22"/>
        </w:rPr>
      </w:pPr>
      <w:r>
        <w:rPr>
          <w:rFonts w:hint="eastAsia" w:ascii="宋体" w:hAnsi="宋体" w:cs="Times New Roman"/>
          <w:szCs w:val="22"/>
        </w:rPr>
        <w:t>法定代表人：（签字或盖章）</w:t>
      </w:r>
    </w:p>
    <w:p>
      <w:pPr>
        <w:ind w:firstLine="3300" w:firstLineChars="1500"/>
        <w:jc w:val="both"/>
        <w:rPr>
          <w:rFonts w:ascii="宋体" w:hAnsi="宋体" w:cs="Times New Roman"/>
          <w:szCs w:val="22"/>
        </w:rPr>
      </w:pPr>
      <w:r>
        <w:rPr>
          <w:rFonts w:hint="eastAsia" w:ascii="宋体" w:hAnsi="宋体" w:cs="Times New Roman"/>
          <w:szCs w:val="22"/>
        </w:rPr>
        <w:t>委托代理人：（签字）</w:t>
      </w:r>
    </w:p>
    <w:p>
      <w:pPr>
        <w:ind w:left="376" w:leftChars="171" w:firstLine="5610" w:firstLineChars="2550"/>
        <w:jc w:val="both"/>
        <w:rPr>
          <w:rFonts w:ascii="宋体" w:hAnsi="宋体" w:cs="Times New Roman"/>
          <w:szCs w:val="22"/>
        </w:rPr>
      </w:pPr>
    </w:p>
    <w:p>
      <w:pPr>
        <w:ind w:left="376" w:leftChars="171" w:firstLine="5280" w:firstLineChars="2400"/>
        <w:jc w:val="both"/>
        <w:rPr>
          <w:rFonts w:ascii="宋体" w:hAnsi="宋体" w:cs="Times New Roman"/>
          <w:szCs w:val="22"/>
        </w:rPr>
      </w:pPr>
      <w:r>
        <w:rPr>
          <w:rFonts w:hint="eastAsia" w:ascii="宋体" w:hAnsi="宋体" w:cs="Times New Roman"/>
          <w:szCs w:val="22"/>
        </w:rPr>
        <w:t>年 月 日</w:t>
      </w:r>
    </w:p>
    <w:p/>
    <w:p/>
    <w:p/>
    <w:p/>
    <w:p/>
    <w:p/>
    <w:p/>
    <w:p/>
    <w:p/>
    <w:p/>
    <w:p/>
    <w:p>
      <w:pPr>
        <w:ind w:left="376" w:leftChars="171"/>
        <w:jc w:val="both"/>
        <w:rPr>
          <w:rFonts w:ascii="宋体" w:hAnsi="宋体" w:cs="宋体"/>
          <w:szCs w:val="22"/>
        </w:rPr>
      </w:pPr>
      <w:r>
        <w:rPr>
          <w:rFonts w:hint="eastAsia" w:ascii="宋体" w:hAnsi="宋体" w:cs="宋体"/>
          <w:szCs w:val="22"/>
        </w:rPr>
        <w:t>注：本格式为独立投标人投标，其</w:t>
      </w:r>
      <w:r>
        <w:rPr>
          <w:rFonts w:hint="eastAsia" w:ascii="宋体" w:hAnsi="宋体" w:cs="宋体"/>
          <w:kern w:val="0"/>
          <w:szCs w:val="22"/>
        </w:rPr>
        <w:t>法定代表人不亲自投标而委托代理人投标适用</w:t>
      </w:r>
      <w:r>
        <w:rPr>
          <w:rFonts w:hint="eastAsia" w:ascii="宋体" w:hAnsi="宋体" w:cs="宋体"/>
          <w:szCs w:val="22"/>
        </w:rPr>
        <w:t>。</w:t>
      </w:r>
    </w:p>
    <w:p>
      <w:pPr>
        <w:ind w:left="376" w:leftChars="171"/>
        <w:jc w:val="both"/>
        <w:rPr>
          <w:rFonts w:ascii="仿宋" w:hAnsi="仿宋" w:eastAsia="仿宋" w:cs="Times New Roman"/>
          <w:sz w:val="21"/>
          <w:szCs w:val="21"/>
        </w:rPr>
      </w:pPr>
      <w:r>
        <w:rPr>
          <w:rFonts w:ascii="仿宋" w:hAnsi="仿宋" w:eastAsia="仿宋" w:cs="Times New Roman"/>
          <w:sz w:val="21"/>
          <w:szCs w:val="21"/>
        </w:rPr>
        <w:br w:type="page"/>
      </w:r>
    </w:p>
    <w:p>
      <w:pPr>
        <w:pStyle w:val="5"/>
        <w:jc w:val="center"/>
      </w:pPr>
      <w:r>
        <w:rPr>
          <w:rFonts w:hint="eastAsia"/>
        </w:rPr>
        <w:t>□授权委托书</w:t>
      </w:r>
    </w:p>
    <w:p>
      <w:pPr>
        <w:tabs>
          <w:tab w:val="left" w:pos="0"/>
          <w:tab w:val="left" w:pos="1134"/>
          <w:tab w:val="left" w:pos="1843"/>
        </w:tabs>
        <w:autoSpaceDE w:val="0"/>
        <w:autoSpaceDN w:val="0"/>
        <w:spacing w:line="500" w:lineRule="exact"/>
        <w:ind w:right="2" w:rightChars="1" w:firstLine="420" w:firstLineChars="200"/>
        <w:jc w:val="both"/>
        <w:textAlignment w:val="bottom"/>
        <w:rPr>
          <w:rFonts w:ascii="宋体" w:hAnsi="宋体" w:cs="Times New Roman"/>
          <w:sz w:val="21"/>
          <w:szCs w:val="21"/>
        </w:rPr>
      </w:pPr>
    </w:p>
    <w:p>
      <w:pPr>
        <w:tabs>
          <w:tab w:val="left" w:pos="0"/>
          <w:tab w:val="left" w:pos="1134"/>
          <w:tab w:val="left" w:pos="1843"/>
        </w:tabs>
        <w:autoSpaceDE w:val="0"/>
        <w:autoSpaceDN w:val="0"/>
        <w:spacing w:line="500" w:lineRule="exact"/>
        <w:ind w:right="2" w:rightChars="1" w:firstLine="440" w:firstLineChars="200"/>
        <w:jc w:val="both"/>
        <w:textAlignment w:val="bottom"/>
        <w:rPr>
          <w:rFonts w:ascii="宋体" w:hAnsi="宋体" w:cs="Times New Roman"/>
          <w:szCs w:val="22"/>
        </w:rPr>
      </w:pPr>
      <w:r>
        <w:rPr>
          <w:rFonts w:hint="eastAsia" w:ascii="宋体" w:hAnsi="宋体" w:cs="Times New Roman"/>
          <w:szCs w:val="22"/>
        </w:rPr>
        <w:t>本授权委托书声明：我（姓名）系(联合体牵头人)的法定代表人，我（姓名）系</w:t>
      </w:r>
      <w:r>
        <w:rPr>
          <w:rFonts w:hint="eastAsia" w:ascii="宋体" w:hAnsi="宋体" w:cs="Times New Roman"/>
          <w:szCs w:val="22"/>
          <w:u w:val="single"/>
        </w:rPr>
        <w:t xml:space="preserve">               （</w:t>
      </w:r>
      <w:r>
        <w:rPr>
          <w:rFonts w:hint="eastAsia" w:ascii="宋体" w:hAnsi="宋体" w:cs="Times New Roman"/>
          <w:szCs w:val="22"/>
        </w:rPr>
        <w:t>联合体其他成员一名称)的法定代表人，我（姓名）系(联合体其他成员二名称)的法定代表人，现共同授权委托(联合体牵头人)的(委托代理人)为我们所组成投标联合体参加</w:t>
      </w:r>
      <w:r>
        <w:rPr>
          <w:rFonts w:hint="eastAsia" w:ascii="宋体" w:hAnsi="宋体" w:cs="Times New Roman"/>
          <w:szCs w:val="22"/>
          <w:u w:val="single"/>
        </w:rPr>
        <w:t xml:space="preserve">     (项目名称)   </w:t>
      </w:r>
      <w:r>
        <w:rPr>
          <w:rFonts w:hint="eastAsia" w:ascii="宋体" w:hAnsi="宋体" w:cs="Times New Roman"/>
          <w:szCs w:val="22"/>
        </w:rPr>
        <w:t>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spacing w:line="500" w:lineRule="exact"/>
        <w:ind w:firstLine="440" w:firstLineChars="200"/>
        <w:jc w:val="both"/>
        <w:rPr>
          <w:rFonts w:ascii="宋体" w:hAnsi="宋体" w:cs="Times New Roman"/>
          <w:szCs w:val="22"/>
        </w:rPr>
      </w:pPr>
      <w:r>
        <w:rPr>
          <w:rFonts w:hint="eastAsia" w:ascii="宋体" w:hAnsi="宋体" w:cs="Times New Roman"/>
          <w:szCs w:val="22"/>
        </w:rPr>
        <w:t>委托期限：</w:t>
      </w:r>
      <w:r>
        <w:rPr>
          <w:rFonts w:hint="eastAsia" w:ascii="宋体" w:hAnsi="宋体" w:cs="Times New Roman"/>
          <w:szCs w:val="22"/>
          <w:u w:val="single"/>
        </w:rPr>
        <w:t>自本授权委托书签署之日起至招标文件约定的“投标有效期”结束为止</w:t>
      </w:r>
      <w:r>
        <w:rPr>
          <w:rFonts w:hint="eastAsia" w:ascii="宋体" w:hAnsi="宋体" w:cs="Times New Roman"/>
          <w:b/>
          <w:szCs w:val="22"/>
          <w:u w:val="single"/>
        </w:rPr>
        <w:t>。</w:t>
      </w:r>
    </w:p>
    <w:p>
      <w:pPr>
        <w:tabs>
          <w:tab w:val="left" w:pos="0"/>
          <w:tab w:val="left" w:pos="1134"/>
          <w:tab w:val="left" w:pos="1843"/>
        </w:tabs>
        <w:autoSpaceDE w:val="0"/>
        <w:autoSpaceDN w:val="0"/>
        <w:spacing w:line="500" w:lineRule="exact"/>
        <w:ind w:right="2" w:rightChars="1" w:firstLine="440" w:firstLineChars="200"/>
        <w:jc w:val="both"/>
        <w:textAlignment w:val="bottom"/>
        <w:rPr>
          <w:rFonts w:ascii="宋体" w:hAnsi="宋体" w:cs="Times New Roman"/>
          <w:szCs w:val="22"/>
        </w:rPr>
      </w:pPr>
      <w:r>
        <w:rPr>
          <w:rFonts w:hint="eastAsia" w:ascii="宋体" w:hAnsi="宋体" w:cs="Times New Roman"/>
          <w:szCs w:val="22"/>
        </w:rPr>
        <w:t>委托代理人无转委托权。</w:t>
      </w:r>
    </w:p>
    <w:p>
      <w:pPr>
        <w:tabs>
          <w:tab w:val="left" w:pos="0"/>
          <w:tab w:val="left" w:pos="1134"/>
          <w:tab w:val="left" w:pos="1843"/>
        </w:tabs>
        <w:autoSpaceDE w:val="0"/>
        <w:autoSpaceDN w:val="0"/>
        <w:spacing w:line="500" w:lineRule="exact"/>
        <w:ind w:right="2" w:rightChars="1" w:firstLine="440" w:firstLineChars="200"/>
        <w:jc w:val="both"/>
        <w:textAlignment w:val="bottom"/>
        <w:rPr>
          <w:rFonts w:ascii="宋体" w:hAnsi="宋体" w:cs="Times New Roman"/>
          <w:szCs w:val="22"/>
        </w:rPr>
      </w:pPr>
      <w:r>
        <w:rPr>
          <w:rFonts w:hint="eastAsia" w:ascii="宋体" w:hAnsi="宋体" w:cs="Times New Roman"/>
          <w:szCs w:val="22"/>
        </w:rPr>
        <w:t>附：法定代表人身份证（正反面）复印件或扫描件、委托代理人身份证（正反面）复印件或扫描件。</w:t>
      </w:r>
    </w:p>
    <w:p>
      <w:pPr>
        <w:tabs>
          <w:tab w:val="left" w:pos="0"/>
          <w:tab w:val="left" w:pos="1134"/>
          <w:tab w:val="left" w:pos="1843"/>
        </w:tabs>
        <w:autoSpaceDE w:val="0"/>
        <w:autoSpaceDN w:val="0"/>
        <w:spacing w:line="500" w:lineRule="exact"/>
        <w:ind w:left="1725" w:leftChars="784" w:right="2" w:rightChars="1" w:firstLine="2750" w:firstLineChars="1250"/>
        <w:jc w:val="both"/>
        <w:textAlignment w:val="bottom"/>
        <w:rPr>
          <w:rFonts w:ascii="宋体" w:hAnsi="宋体" w:cs="Times New Roman"/>
          <w:szCs w:val="22"/>
        </w:rPr>
      </w:pPr>
    </w:p>
    <w:p>
      <w:pPr>
        <w:tabs>
          <w:tab w:val="left" w:pos="0"/>
          <w:tab w:val="left" w:pos="1134"/>
          <w:tab w:val="left" w:pos="1843"/>
        </w:tabs>
        <w:autoSpaceDE w:val="0"/>
        <w:autoSpaceDN w:val="0"/>
        <w:spacing w:line="500" w:lineRule="exact"/>
        <w:ind w:left="1725" w:leftChars="784" w:right="2" w:rightChars="1" w:firstLine="2750" w:firstLineChars="1250"/>
        <w:jc w:val="both"/>
        <w:textAlignment w:val="bottom"/>
        <w:rPr>
          <w:rFonts w:ascii="宋体" w:hAnsi="宋体" w:cs="Times New Roman"/>
          <w:szCs w:val="22"/>
        </w:rPr>
      </w:pPr>
      <w:r>
        <w:rPr>
          <w:rFonts w:hint="eastAsia" w:ascii="宋体" w:hAnsi="宋体" w:cs="Times New Roman"/>
          <w:szCs w:val="22"/>
        </w:rPr>
        <w:t>委托代理人姓名：</w:t>
      </w:r>
    </w:p>
    <w:p>
      <w:pPr>
        <w:tabs>
          <w:tab w:val="left" w:pos="0"/>
          <w:tab w:val="left" w:pos="1134"/>
          <w:tab w:val="left" w:pos="1843"/>
        </w:tabs>
        <w:autoSpaceDE w:val="0"/>
        <w:autoSpaceDN w:val="0"/>
        <w:spacing w:line="500" w:lineRule="exact"/>
        <w:ind w:left="2072" w:leftChars="942" w:right="2" w:rightChars="1" w:firstLine="2420" w:firstLineChars="1100"/>
        <w:jc w:val="both"/>
        <w:textAlignment w:val="bottom"/>
        <w:rPr>
          <w:rFonts w:ascii="宋体" w:hAnsi="宋体" w:cs="Times New Roman"/>
          <w:szCs w:val="22"/>
        </w:rPr>
      </w:pPr>
      <w:r>
        <w:rPr>
          <w:rFonts w:hint="eastAsia" w:ascii="宋体" w:hAnsi="宋体" w:cs="Times New Roman"/>
          <w:szCs w:val="22"/>
        </w:rPr>
        <w:t>委托代理人：</w:t>
      </w:r>
      <w:r>
        <w:rPr>
          <w:rFonts w:hint="eastAsia" w:ascii="宋体" w:hAnsi="宋体" w:cs="Times New Roman"/>
          <w:szCs w:val="22"/>
          <w:u w:val="single"/>
        </w:rPr>
        <w:t xml:space="preserve">                          (签字)</w:t>
      </w:r>
    </w:p>
    <w:p>
      <w:pPr>
        <w:tabs>
          <w:tab w:val="left" w:pos="0"/>
          <w:tab w:val="left" w:pos="1134"/>
          <w:tab w:val="left" w:pos="1843"/>
        </w:tabs>
        <w:autoSpaceDE w:val="0"/>
        <w:autoSpaceDN w:val="0"/>
        <w:spacing w:line="500" w:lineRule="exact"/>
        <w:ind w:left="2072" w:leftChars="942" w:right="2" w:rightChars="1" w:firstLine="2420" w:firstLineChars="1100"/>
        <w:jc w:val="both"/>
        <w:textAlignment w:val="bottom"/>
        <w:rPr>
          <w:rFonts w:ascii="宋体" w:hAnsi="宋体" w:cs="Times New Roman"/>
          <w:szCs w:val="22"/>
          <w:u w:val="single"/>
        </w:rPr>
      </w:pPr>
      <w:r>
        <w:rPr>
          <w:rFonts w:hint="eastAsia" w:ascii="宋体" w:hAnsi="宋体" w:cs="Times New Roman"/>
          <w:szCs w:val="22"/>
        </w:rPr>
        <w:t>联合体牵头人：</w:t>
      </w:r>
      <w:r>
        <w:rPr>
          <w:rFonts w:hint="eastAsia" w:ascii="宋体" w:hAnsi="宋体" w:cs="Times New Roman"/>
          <w:szCs w:val="22"/>
          <w:u w:val="single"/>
        </w:rPr>
        <w:t xml:space="preserve">                    (盖单位章)</w:t>
      </w:r>
    </w:p>
    <w:p>
      <w:pPr>
        <w:tabs>
          <w:tab w:val="left" w:pos="0"/>
          <w:tab w:val="left" w:pos="1134"/>
          <w:tab w:val="left" w:pos="1843"/>
        </w:tabs>
        <w:autoSpaceDE w:val="0"/>
        <w:autoSpaceDN w:val="0"/>
        <w:spacing w:line="500" w:lineRule="exact"/>
        <w:ind w:left="2072" w:leftChars="942" w:right="2" w:rightChars="1" w:firstLine="2420" w:firstLineChars="1100"/>
        <w:jc w:val="both"/>
        <w:textAlignment w:val="bottom"/>
        <w:rPr>
          <w:rFonts w:ascii="宋体" w:hAnsi="宋体" w:cs="Times New Roman"/>
          <w:szCs w:val="22"/>
        </w:rPr>
      </w:pPr>
      <w:r>
        <w:rPr>
          <w:rFonts w:hint="eastAsia" w:ascii="宋体" w:hAnsi="宋体" w:cs="Times New Roman"/>
          <w:szCs w:val="22"/>
        </w:rPr>
        <w:t>法定代表人：</w:t>
      </w:r>
      <w:r>
        <w:rPr>
          <w:rFonts w:hint="eastAsia" w:ascii="宋体" w:hAnsi="宋体" w:cs="Times New Roman"/>
          <w:szCs w:val="22"/>
          <w:u w:val="single"/>
        </w:rPr>
        <w:t xml:space="preserve">                    (签字或盖章)</w:t>
      </w:r>
    </w:p>
    <w:p>
      <w:pPr>
        <w:tabs>
          <w:tab w:val="left" w:pos="0"/>
          <w:tab w:val="left" w:pos="1134"/>
          <w:tab w:val="left" w:pos="1843"/>
        </w:tabs>
        <w:autoSpaceDE w:val="0"/>
        <w:autoSpaceDN w:val="0"/>
        <w:spacing w:line="500" w:lineRule="exact"/>
        <w:ind w:left="2072" w:leftChars="942" w:right="2" w:rightChars="1" w:firstLine="2420" w:firstLineChars="1100"/>
        <w:jc w:val="both"/>
        <w:textAlignment w:val="bottom"/>
        <w:rPr>
          <w:rFonts w:ascii="宋体" w:hAnsi="宋体" w:cs="Times New Roman"/>
          <w:szCs w:val="22"/>
        </w:rPr>
      </w:pPr>
      <w:r>
        <w:rPr>
          <w:rFonts w:hint="eastAsia" w:ascii="宋体" w:hAnsi="宋体" w:cs="Times New Roman"/>
          <w:szCs w:val="22"/>
        </w:rPr>
        <w:t>联合体其他成员单位一名称</w:t>
      </w:r>
      <w:r>
        <w:rPr>
          <w:rFonts w:hint="eastAsia" w:ascii="宋体" w:hAnsi="宋体" w:cs="Times New Roman"/>
          <w:b/>
          <w:szCs w:val="22"/>
          <w:u w:val="single"/>
        </w:rPr>
        <w:t xml:space="preserve">：        </w:t>
      </w:r>
      <w:r>
        <w:rPr>
          <w:rFonts w:hint="eastAsia" w:ascii="宋体" w:hAnsi="宋体" w:cs="Times New Roman"/>
          <w:szCs w:val="22"/>
          <w:u w:val="single"/>
        </w:rPr>
        <w:t>(盖单位章)</w:t>
      </w:r>
    </w:p>
    <w:p>
      <w:pPr>
        <w:tabs>
          <w:tab w:val="left" w:pos="0"/>
          <w:tab w:val="left" w:pos="1134"/>
          <w:tab w:val="left" w:pos="1843"/>
        </w:tabs>
        <w:autoSpaceDE w:val="0"/>
        <w:autoSpaceDN w:val="0"/>
        <w:spacing w:line="500" w:lineRule="exact"/>
        <w:ind w:left="2072" w:leftChars="942" w:right="2" w:rightChars="1" w:firstLine="2420" w:firstLineChars="1100"/>
        <w:jc w:val="both"/>
        <w:textAlignment w:val="bottom"/>
        <w:rPr>
          <w:rFonts w:ascii="宋体" w:hAnsi="宋体" w:cs="Times New Roman"/>
          <w:szCs w:val="22"/>
        </w:rPr>
      </w:pPr>
      <w:r>
        <w:rPr>
          <w:rFonts w:hint="eastAsia" w:ascii="宋体" w:hAnsi="宋体" w:cs="Times New Roman"/>
          <w:szCs w:val="22"/>
        </w:rPr>
        <w:t>法定代表人：</w:t>
      </w:r>
      <w:r>
        <w:rPr>
          <w:rFonts w:ascii="宋体" w:hAnsi="宋体" w:cs="Times New Roman"/>
          <w:szCs w:val="22"/>
          <w:u w:val="single"/>
        </w:rPr>
        <w:tab/>
      </w:r>
      <w:r>
        <w:rPr>
          <w:rFonts w:hint="eastAsia" w:ascii="宋体" w:hAnsi="宋体" w:cs="Times New Roman"/>
          <w:szCs w:val="22"/>
          <w:u w:val="single"/>
        </w:rPr>
        <w:t xml:space="preserve">                   (签字或盖章)</w:t>
      </w:r>
    </w:p>
    <w:p>
      <w:pPr>
        <w:tabs>
          <w:tab w:val="left" w:pos="0"/>
          <w:tab w:val="left" w:pos="1134"/>
          <w:tab w:val="left" w:pos="1843"/>
        </w:tabs>
        <w:autoSpaceDE w:val="0"/>
        <w:autoSpaceDN w:val="0"/>
        <w:spacing w:line="500" w:lineRule="exact"/>
        <w:ind w:left="2072" w:leftChars="942" w:right="2" w:rightChars="1" w:firstLine="2420" w:firstLineChars="1100"/>
        <w:jc w:val="both"/>
        <w:textAlignment w:val="bottom"/>
        <w:rPr>
          <w:rFonts w:ascii="宋体" w:hAnsi="宋体" w:cs="Times New Roman"/>
          <w:szCs w:val="22"/>
        </w:rPr>
      </w:pPr>
      <w:r>
        <w:rPr>
          <w:rFonts w:hint="eastAsia" w:ascii="宋体" w:hAnsi="宋体" w:cs="Times New Roman"/>
          <w:szCs w:val="22"/>
        </w:rPr>
        <w:t>联合体其他成员单位二名称</w:t>
      </w:r>
      <w:r>
        <w:rPr>
          <w:rFonts w:hint="eastAsia" w:ascii="宋体" w:hAnsi="宋体" w:cs="Times New Roman"/>
          <w:b/>
          <w:szCs w:val="22"/>
          <w:u w:val="single"/>
        </w:rPr>
        <w:t xml:space="preserve">：        </w:t>
      </w:r>
      <w:r>
        <w:rPr>
          <w:rFonts w:hint="eastAsia" w:ascii="宋体" w:hAnsi="宋体" w:cs="Times New Roman"/>
          <w:szCs w:val="22"/>
          <w:u w:val="single"/>
        </w:rPr>
        <w:t>(盖单位章)</w:t>
      </w:r>
    </w:p>
    <w:p>
      <w:pPr>
        <w:tabs>
          <w:tab w:val="left" w:pos="0"/>
          <w:tab w:val="left" w:pos="1134"/>
          <w:tab w:val="left" w:pos="1843"/>
        </w:tabs>
        <w:autoSpaceDE w:val="0"/>
        <w:autoSpaceDN w:val="0"/>
        <w:spacing w:line="500" w:lineRule="exact"/>
        <w:ind w:left="2072" w:leftChars="942" w:right="2" w:rightChars="1" w:firstLine="2420" w:firstLineChars="1100"/>
        <w:jc w:val="both"/>
        <w:textAlignment w:val="bottom"/>
        <w:rPr>
          <w:rFonts w:ascii="宋体" w:hAnsi="宋体" w:cs="Times New Roman"/>
          <w:szCs w:val="22"/>
          <w:u w:val="single"/>
        </w:rPr>
      </w:pPr>
      <w:r>
        <w:rPr>
          <w:rFonts w:hint="eastAsia" w:ascii="宋体" w:hAnsi="宋体" w:cs="Times New Roman"/>
          <w:szCs w:val="22"/>
        </w:rPr>
        <w:t>法定代表人：</w:t>
      </w:r>
      <w:r>
        <w:rPr>
          <w:rFonts w:ascii="宋体" w:hAnsi="宋体" w:cs="Times New Roman"/>
          <w:szCs w:val="22"/>
          <w:u w:val="single"/>
        </w:rPr>
        <w:tab/>
      </w:r>
      <w:r>
        <w:rPr>
          <w:rFonts w:hint="eastAsia" w:ascii="宋体" w:hAnsi="宋体" w:cs="Times New Roman"/>
          <w:szCs w:val="22"/>
          <w:u w:val="single"/>
        </w:rPr>
        <w:t xml:space="preserve">                    (签字或盖章)</w:t>
      </w:r>
    </w:p>
    <w:p>
      <w:pPr>
        <w:tabs>
          <w:tab w:val="left" w:pos="0"/>
          <w:tab w:val="left" w:pos="1134"/>
          <w:tab w:val="left" w:pos="1843"/>
        </w:tabs>
        <w:autoSpaceDE w:val="0"/>
        <w:autoSpaceDN w:val="0"/>
        <w:spacing w:line="500" w:lineRule="exact"/>
        <w:ind w:left="2072" w:leftChars="942" w:right="2" w:rightChars="1" w:firstLine="2420" w:firstLineChars="1100"/>
        <w:jc w:val="both"/>
        <w:textAlignment w:val="bottom"/>
        <w:rPr>
          <w:rFonts w:ascii="宋体" w:hAnsi="宋体" w:cs="Times New Roman"/>
          <w:szCs w:val="22"/>
          <w:u w:val="single"/>
        </w:rPr>
      </w:pPr>
      <w:r>
        <w:rPr>
          <w:rFonts w:ascii="宋体" w:hAnsi="宋体" w:cs="Times New Roman"/>
          <w:szCs w:val="22"/>
        </w:rPr>
        <w:t>……</w:t>
      </w:r>
    </w:p>
    <w:p>
      <w:pPr>
        <w:spacing w:line="500" w:lineRule="exact"/>
        <w:ind w:right="420"/>
        <w:jc w:val="right"/>
        <w:rPr>
          <w:rFonts w:ascii="宋体" w:hAnsi="宋体" w:cs="Times New Roman"/>
          <w:szCs w:val="22"/>
        </w:rPr>
      </w:pPr>
      <w:r>
        <w:rPr>
          <w:rFonts w:hint="eastAsia" w:ascii="宋体" w:hAnsi="宋体" w:cs="Times New Roman"/>
          <w:szCs w:val="22"/>
        </w:rPr>
        <w:t>年        月        日</w:t>
      </w:r>
    </w:p>
    <w:p>
      <w:pPr>
        <w:spacing w:line="500" w:lineRule="exact"/>
        <w:ind w:right="420" w:firstLine="6710" w:firstLineChars="3050"/>
        <w:jc w:val="both"/>
        <w:rPr>
          <w:rFonts w:ascii="宋体" w:hAnsi="宋体" w:cs="Times New Roman"/>
          <w:szCs w:val="22"/>
        </w:rPr>
      </w:pPr>
      <w:r>
        <w:rPr>
          <w:rFonts w:hint="eastAsia" w:ascii="宋体" w:hAnsi="宋体" w:cs="Times New Roman"/>
          <w:szCs w:val="22"/>
        </w:rPr>
        <w:t xml:space="preserve"> </w:t>
      </w:r>
    </w:p>
    <w:p>
      <w:pPr>
        <w:ind w:left="376" w:leftChars="171"/>
        <w:jc w:val="both"/>
        <w:rPr>
          <w:rFonts w:ascii="宋体" w:hAnsi="宋体" w:cs="宋体"/>
          <w:kern w:val="0"/>
          <w:szCs w:val="22"/>
        </w:rPr>
      </w:pPr>
      <w:r>
        <w:rPr>
          <w:rFonts w:hint="eastAsia" w:ascii="宋体" w:hAnsi="宋体" w:cs="宋体"/>
          <w:szCs w:val="22"/>
        </w:rPr>
        <w:t>注：（1）本格式为联合体投标，牵头人</w:t>
      </w:r>
      <w:r>
        <w:rPr>
          <w:rFonts w:hint="eastAsia" w:ascii="宋体" w:hAnsi="宋体" w:cs="宋体"/>
          <w:kern w:val="0"/>
          <w:szCs w:val="22"/>
        </w:rPr>
        <w:t>法定代表人亲自投标或</w:t>
      </w:r>
      <w:r>
        <w:rPr>
          <w:rFonts w:hint="eastAsia" w:ascii="宋体" w:hAnsi="宋体" w:cs="宋体"/>
          <w:szCs w:val="22"/>
        </w:rPr>
        <w:t>牵头人</w:t>
      </w:r>
      <w:r>
        <w:rPr>
          <w:rFonts w:hint="eastAsia" w:ascii="宋体" w:hAnsi="宋体" w:cs="宋体"/>
          <w:kern w:val="0"/>
          <w:szCs w:val="22"/>
        </w:rPr>
        <w:t>法定代表人不亲自投标而委托代理人投标适用。其中涉及联合体成员数量的格式内容可根据实际情况可以修改。</w:t>
      </w:r>
    </w:p>
    <w:p>
      <w:pPr>
        <w:ind w:left="376" w:leftChars="171" w:firstLine="330" w:firstLineChars="150"/>
        <w:jc w:val="both"/>
        <w:rPr>
          <w:rFonts w:ascii="宋体" w:hAnsi="宋体" w:cs="宋体"/>
          <w:kern w:val="0"/>
          <w:szCs w:val="22"/>
        </w:rPr>
      </w:pPr>
      <w:r>
        <w:rPr>
          <w:rFonts w:hint="eastAsia" w:ascii="宋体" w:hAnsi="宋体" w:cs="宋体"/>
          <w:szCs w:val="22"/>
        </w:rPr>
        <w:t>（2）授权委托书格式由投标人根据自身情况自行选择，并删除不适用格式。</w:t>
      </w:r>
    </w:p>
    <w:p>
      <w:pPr>
        <w:ind w:left="376" w:leftChars="171" w:firstLine="316" w:firstLineChars="150"/>
        <w:jc w:val="both"/>
        <w:rPr>
          <w:rFonts w:ascii="宋体" w:hAnsi="宋体" w:cs="Times New Roman"/>
          <w:b/>
          <w:sz w:val="21"/>
          <w:szCs w:val="21"/>
        </w:rPr>
      </w:pPr>
      <w:r>
        <w:rPr>
          <w:rFonts w:ascii="宋体" w:hAnsi="宋体" w:cs="Times New Roman"/>
          <w:b/>
          <w:sz w:val="21"/>
          <w:szCs w:val="21"/>
        </w:rPr>
        <w:br w:type="page"/>
      </w:r>
    </w:p>
    <w:p>
      <w:pPr>
        <w:pStyle w:val="5"/>
        <w:jc w:val="center"/>
      </w:pPr>
      <w:bookmarkStart w:id="246" w:name="_Toc12076"/>
      <w:bookmarkStart w:id="247" w:name="_Toc15186"/>
      <w:r>
        <w:rPr>
          <w:rFonts w:hint="eastAsia"/>
        </w:rPr>
        <w:t>四、</w:t>
      </w:r>
      <w:r>
        <w:rPr>
          <w:rFonts w:hint="eastAsia"/>
        </w:rPr>
        <w:sym w:font="Wingdings 2" w:char="00A3"/>
      </w:r>
      <w:r>
        <w:rPr>
          <w:rFonts w:hint="eastAsia"/>
        </w:rPr>
        <w:t>联合体协议书</w:t>
      </w:r>
      <w:bookmarkEnd w:id="246"/>
      <w:bookmarkEnd w:id="247"/>
    </w:p>
    <w:p>
      <w:pPr>
        <w:spacing w:line="384" w:lineRule="auto"/>
        <w:ind w:firstLine="440" w:firstLineChars="200"/>
        <w:jc w:val="both"/>
        <w:rPr>
          <w:rFonts w:ascii="宋体" w:hAnsi="宋体" w:cs="宋体"/>
          <w:szCs w:val="22"/>
        </w:rPr>
      </w:pPr>
      <w:r>
        <w:rPr>
          <w:rFonts w:hint="eastAsia" w:ascii="宋体" w:hAnsi="宋体" w:cs="宋体"/>
          <w:szCs w:val="22"/>
        </w:rPr>
        <w:t>（所有成员单位名称）自愿组成（联合体名称）联合体，共同参加（项目名称）投标。现就联合体投标事宜订立如下协议：</w:t>
      </w:r>
    </w:p>
    <w:p>
      <w:pPr>
        <w:spacing w:line="384" w:lineRule="auto"/>
        <w:ind w:firstLine="440" w:firstLineChars="200"/>
        <w:jc w:val="both"/>
        <w:rPr>
          <w:rFonts w:ascii="宋体" w:hAnsi="宋体" w:cs="宋体"/>
          <w:szCs w:val="22"/>
        </w:rPr>
      </w:pPr>
      <w:r>
        <w:rPr>
          <w:rFonts w:hint="eastAsia" w:ascii="宋体" w:hAnsi="宋体" w:cs="宋体"/>
          <w:szCs w:val="22"/>
        </w:rPr>
        <w:t>1、（某成员单位名称）为（联合体名称）的牵头人。</w:t>
      </w:r>
    </w:p>
    <w:p>
      <w:pPr>
        <w:spacing w:line="384" w:lineRule="auto"/>
        <w:ind w:firstLine="440" w:firstLineChars="200"/>
        <w:jc w:val="both"/>
        <w:rPr>
          <w:rFonts w:ascii="宋体" w:hAnsi="宋体" w:cs="宋体"/>
          <w:szCs w:val="22"/>
        </w:rPr>
      </w:pPr>
      <w:r>
        <w:rPr>
          <w:rFonts w:hint="eastAsia" w:ascii="宋体" w:hAnsi="宋体" w:cs="宋体"/>
          <w:szCs w:val="22"/>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pacing w:line="384" w:lineRule="auto"/>
        <w:ind w:firstLine="440" w:firstLineChars="200"/>
        <w:jc w:val="both"/>
        <w:rPr>
          <w:rFonts w:ascii="宋体" w:hAnsi="宋体" w:cs="宋体"/>
          <w:szCs w:val="22"/>
        </w:rPr>
      </w:pPr>
      <w:r>
        <w:rPr>
          <w:rFonts w:hint="eastAsia" w:ascii="宋体" w:hAnsi="宋体" w:cs="宋体"/>
          <w:szCs w:val="22"/>
        </w:rPr>
        <w:t>3、联合体将严格按照招标文件的各项要求，递交投标文件，履行合同，并对外承担连带责任。</w:t>
      </w:r>
    </w:p>
    <w:p>
      <w:pPr>
        <w:spacing w:line="384" w:lineRule="auto"/>
        <w:ind w:firstLine="440" w:firstLineChars="200"/>
        <w:jc w:val="both"/>
        <w:rPr>
          <w:rFonts w:ascii="宋体" w:hAnsi="宋体" w:cs="宋体"/>
          <w:szCs w:val="22"/>
        </w:rPr>
      </w:pPr>
      <w:r>
        <w:rPr>
          <w:rFonts w:hint="eastAsia" w:ascii="宋体" w:hAnsi="宋体" w:cs="宋体"/>
          <w:szCs w:val="22"/>
        </w:rPr>
        <w:t>4、联合体各成员单位内部的职责分工如下：。</w:t>
      </w:r>
    </w:p>
    <w:p>
      <w:pPr>
        <w:spacing w:line="384" w:lineRule="auto"/>
        <w:ind w:firstLine="440" w:firstLineChars="200"/>
        <w:jc w:val="both"/>
        <w:rPr>
          <w:rFonts w:ascii="宋体" w:hAnsi="宋体" w:cs="宋体"/>
          <w:szCs w:val="22"/>
        </w:rPr>
      </w:pPr>
      <w:r>
        <w:rPr>
          <w:rFonts w:hint="eastAsia" w:ascii="宋体" w:hAnsi="宋体" w:cs="宋体"/>
          <w:szCs w:val="22"/>
        </w:rPr>
        <w:t>5、本协议书自签署之日起生效，合同履行完毕后自动失效。</w:t>
      </w:r>
    </w:p>
    <w:p>
      <w:pPr>
        <w:spacing w:line="384" w:lineRule="auto"/>
        <w:ind w:firstLine="440" w:firstLineChars="200"/>
        <w:jc w:val="both"/>
        <w:rPr>
          <w:rFonts w:ascii="宋体" w:hAnsi="宋体" w:cs="宋体"/>
          <w:szCs w:val="22"/>
        </w:rPr>
      </w:pPr>
      <w:r>
        <w:rPr>
          <w:rFonts w:hint="eastAsia" w:ascii="宋体" w:hAnsi="宋体" w:cs="宋体"/>
          <w:szCs w:val="22"/>
        </w:rPr>
        <w:t>6、本协议书一式份，联合体成员和招标人各执一份。</w:t>
      </w:r>
    </w:p>
    <w:p>
      <w:pPr>
        <w:jc w:val="both"/>
        <w:rPr>
          <w:rFonts w:ascii="宋体" w:hAnsi="宋体" w:cs="宋体"/>
          <w:szCs w:val="22"/>
        </w:rPr>
      </w:pPr>
    </w:p>
    <w:p>
      <w:pPr>
        <w:wordWrap w:val="0"/>
        <w:jc w:val="right"/>
        <w:rPr>
          <w:rFonts w:ascii="宋体" w:hAnsi="宋体" w:cs="宋体"/>
          <w:szCs w:val="28"/>
        </w:rPr>
      </w:pPr>
      <w:r>
        <w:rPr>
          <w:rFonts w:hint="eastAsia" w:ascii="宋体" w:hAnsi="宋体" w:cs="宋体"/>
          <w:szCs w:val="28"/>
        </w:rPr>
        <w:t>牵头人名称：</w:t>
      </w:r>
      <w:r>
        <w:rPr>
          <w:rFonts w:hint="eastAsia" w:ascii="宋体" w:hAnsi="宋体" w:cs="宋体"/>
          <w:szCs w:val="28"/>
          <w:u w:val="single"/>
        </w:rPr>
        <w:t xml:space="preserve">                     </w:t>
      </w:r>
      <w:r>
        <w:rPr>
          <w:rFonts w:hint="eastAsia" w:ascii="宋体" w:hAnsi="宋体" w:cs="宋体"/>
          <w:szCs w:val="28"/>
        </w:rPr>
        <w:t>(盖单位章)</w:t>
      </w:r>
    </w:p>
    <w:p>
      <w:pPr>
        <w:jc w:val="right"/>
        <w:rPr>
          <w:rFonts w:ascii="宋体" w:hAnsi="宋体" w:cs="宋体"/>
          <w:szCs w:val="28"/>
        </w:rPr>
      </w:pPr>
      <w:r>
        <w:rPr>
          <w:rFonts w:hint="eastAsia" w:ascii="宋体" w:hAnsi="宋体" w:cs="宋体"/>
          <w:szCs w:val="28"/>
        </w:rPr>
        <w:t>法定代表人：</w:t>
      </w:r>
      <w:r>
        <w:rPr>
          <w:rFonts w:hint="eastAsia" w:ascii="宋体" w:hAnsi="宋体" w:cs="宋体"/>
          <w:szCs w:val="28"/>
          <w:u w:val="single"/>
        </w:rPr>
        <w:t xml:space="preserve">                   </w:t>
      </w:r>
      <w:r>
        <w:rPr>
          <w:rFonts w:hint="eastAsia" w:ascii="宋体" w:hAnsi="宋体" w:cs="宋体"/>
          <w:szCs w:val="28"/>
        </w:rPr>
        <w:t>(签字或盖章)</w:t>
      </w:r>
    </w:p>
    <w:p>
      <w:pPr>
        <w:ind w:firstLine="2640"/>
        <w:jc w:val="right"/>
        <w:rPr>
          <w:rFonts w:ascii="宋体" w:hAnsi="宋体" w:cs="宋体"/>
          <w:szCs w:val="28"/>
        </w:rPr>
      </w:pPr>
      <w:r>
        <w:rPr>
          <w:rFonts w:hint="eastAsia" w:ascii="宋体" w:hAnsi="宋体" w:cs="宋体"/>
          <w:szCs w:val="28"/>
        </w:rPr>
        <w:t>联合体其他成员单位一名称：</w:t>
      </w:r>
      <w:r>
        <w:rPr>
          <w:rFonts w:hint="eastAsia" w:ascii="宋体" w:hAnsi="宋体" w:cs="宋体"/>
          <w:szCs w:val="28"/>
          <w:u w:val="single"/>
        </w:rPr>
        <w:t xml:space="preserve">       </w:t>
      </w:r>
      <w:r>
        <w:rPr>
          <w:rFonts w:hint="eastAsia" w:ascii="宋体" w:hAnsi="宋体" w:cs="宋体"/>
          <w:szCs w:val="28"/>
        </w:rPr>
        <w:t>(盖单位章)</w:t>
      </w:r>
    </w:p>
    <w:p>
      <w:pPr>
        <w:ind w:firstLine="2640"/>
        <w:jc w:val="right"/>
        <w:rPr>
          <w:rFonts w:ascii="宋体" w:hAnsi="宋体" w:cs="宋体"/>
          <w:szCs w:val="28"/>
        </w:rPr>
      </w:pPr>
      <w:r>
        <w:rPr>
          <w:rFonts w:hint="eastAsia" w:ascii="宋体" w:hAnsi="宋体" w:cs="宋体"/>
          <w:szCs w:val="28"/>
        </w:rPr>
        <w:t>法定代表人：</w:t>
      </w:r>
      <w:r>
        <w:rPr>
          <w:rFonts w:hint="eastAsia" w:ascii="宋体" w:hAnsi="宋体" w:cs="宋体"/>
          <w:szCs w:val="28"/>
          <w:u w:val="single"/>
        </w:rPr>
        <w:t xml:space="preserve">                   </w:t>
      </w:r>
      <w:r>
        <w:rPr>
          <w:rFonts w:hint="eastAsia" w:ascii="宋体" w:hAnsi="宋体" w:cs="宋体"/>
          <w:szCs w:val="28"/>
        </w:rPr>
        <w:t>(签字或盖章)</w:t>
      </w:r>
    </w:p>
    <w:p>
      <w:pPr>
        <w:jc w:val="right"/>
        <w:rPr>
          <w:rFonts w:ascii="宋体" w:hAnsi="宋体" w:cs="宋体"/>
          <w:szCs w:val="28"/>
        </w:rPr>
      </w:pPr>
      <w:r>
        <w:rPr>
          <w:rFonts w:hint="eastAsia" w:ascii="宋体" w:hAnsi="宋体" w:cs="宋体"/>
          <w:szCs w:val="28"/>
        </w:rPr>
        <w:t>联合体其他成员单位二名称：</w:t>
      </w:r>
      <w:r>
        <w:rPr>
          <w:rFonts w:hint="eastAsia" w:ascii="宋体" w:hAnsi="宋体" w:cs="宋体"/>
          <w:szCs w:val="28"/>
          <w:u w:val="single"/>
        </w:rPr>
        <w:t xml:space="preserve">       </w:t>
      </w:r>
      <w:r>
        <w:rPr>
          <w:rFonts w:hint="eastAsia" w:ascii="宋体" w:hAnsi="宋体" w:cs="宋体"/>
          <w:szCs w:val="28"/>
        </w:rPr>
        <w:t>(盖单位章)</w:t>
      </w:r>
    </w:p>
    <w:p>
      <w:pPr>
        <w:jc w:val="right"/>
        <w:rPr>
          <w:rFonts w:ascii="宋体" w:hAnsi="宋体" w:cs="宋体"/>
          <w:szCs w:val="28"/>
        </w:rPr>
      </w:pPr>
      <w:r>
        <w:rPr>
          <w:rFonts w:hint="eastAsia" w:ascii="宋体" w:hAnsi="宋体" w:cs="宋体"/>
          <w:szCs w:val="28"/>
        </w:rPr>
        <w:t>法定代表人：</w:t>
      </w:r>
      <w:r>
        <w:rPr>
          <w:rFonts w:hint="eastAsia" w:ascii="宋体" w:hAnsi="宋体" w:cs="宋体"/>
          <w:szCs w:val="28"/>
          <w:u w:val="single"/>
        </w:rPr>
        <w:t xml:space="preserve">                   </w:t>
      </w:r>
      <w:r>
        <w:rPr>
          <w:rFonts w:hint="eastAsia" w:ascii="宋体" w:hAnsi="宋体" w:cs="宋体"/>
          <w:szCs w:val="28"/>
        </w:rPr>
        <w:t>(签字或盖章)</w:t>
      </w:r>
    </w:p>
    <w:p>
      <w:pPr>
        <w:wordWrap w:val="0"/>
        <w:ind w:firstLine="1760" w:firstLineChars="800"/>
        <w:jc w:val="center"/>
        <w:rPr>
          <w:rFonts w:ascii="宋体" w:hAnsi="宋体" w:cs="宋体"/>
          <w:b/>
          <w:szCs w:val="22"/>
        </w:rPr>
      </w:pPr>
      <w:r>
        <w:rPr>
          <w:rFonts w:hint="eastAsia" w:ascii="宋体" w:hAnsi="宋体" w:cs="宋体"/>
          <w:szCs w:val="22"/>
        </w:rPr>
        <w:t>... ...</w:t>
      </w:r>
    </w:p>
    <w:p>
      <w:pPr>
        <w:jc w:val="right"/>
      </w:pPr>
      <w:r>
        <w:rPr>
          <w:rFonts w:hint="eastAsia"/>
        </w:rPr>
        <w:t>年月日</w:t>
      </w:r>
    </w:p>
    <w:p/>
    <w:p/>
    <w:p/>
    <w:p/>
    <w:p>
      <w:pPr>
        <w:jc w:val="both"/>
        <w:rPr>
          <w:rFonts w:ascii="宋体" w:hAnsi="宋体" w:cs="宋体"/>
          <w:kern w:val="0"/>
          <w:szCs w:val="22"/>
        </w:rPr>
      </w:pPr>
      <w:r>
        <w:rPr>
          <w:rFonts w:hint="eastAsia" w:ascii="宋体" w:hAnsi="宋体" w:cs="宋体"/>
          <w:kern w:val="0"/>
          <w:szCs w:val="22"/>
        </w:rPr>
        <w:t>注：</w:t>
      </w:r>
    </w:p>
    <w:p>
      <w:pPr>
        <w:jc w:val="both"/>
        <w:rPr>
          <w:rFonts w:ascii="宋体" w:hAnsi="宋体" w:cs="宋体"/>
          <w:kern w:val="0"/>
          <w:szCs w:val="22"/>
        </w:rPr>
      </w:pPr>
      <w:r>
        <w:rPr>
          <w:rFonts w:hint="eastAsia" w:ascii="宋体" w:hAnsi="宋体" w:cs="宋体"/>
          <w:kern w:val="0"/>
          <w:szCs w:val="22"/>
        </w:rPr>
        <w:t>1、本协议书为联合体投标时适用，非联合体投标时不需填报。如投标人没有组成联合体参加投标，删除“四、联合体协议书”，以下章节的序号依次递补。如“五、项目管理机构”变为“四、项目管理机构”，其他的依次类推。</w:t>
      </w:r>
    </w:p>
    <w:p>
      <w:pPr>
        <w:jc w:val="both"/>
        <w:rPr>
          <w:rFonts w:ascii="宋体" w:hAnsi="宋体" w:cs="宋体"/>
          <w:kern w:val="0"/>
          <w:szCs w:val="22"/>
        </w:rPr>
      </w:pPr>
      <w:r>
        <w:rPr>
          <w:rFonts w:hint="eastAsia" w:ascii="宋体" w:hAnsi="宋体" w:cs="宋体"/>
          <w:kern w:val="0"/>
          <w:szCs w:val="22"/>
        </w:rPr>
        <w:t>2、其中涉及联合体成员数量的格式内容可根据实际情况可以修改。</w:t>
      </w:r>
    </w:p>
    <w:p>
      <w:pPr>
        <w:pStyle w:val="5"/>
        <w:jc w:val="center"/>
      </w:pPr>
      <w:bookmarkStart w:id="248" w:name="_Toc11816"/>
      <w:bookmarkStart w:id="249" w:name="_Toc12239"/>
      <w:r>
        <w:rPr>
          <w:rFonts w:hint="eastAsia"/>
        </w:rPr>
        <w:t>五、</w:t>
      </w:r>
      <w:r>
        <w:t>项目</w:t>
      </w:r>
      <w:r>
        <w:rPr>
          <w:rFonts w:hint="eastAsia"/>
        </w:rPr>
        <w:t>管理机构</w:t>
      </w:r>
      <w:bookmarkEnd w:id="248"/>
      <w:bookmarkEnd w:id="249"/>
    </w:p>
    <w:p>
      <w:pPr>
        <w:pStyle w:val="6"/>
        <w:jc w:val="center"/>
        <w:rPr>
          <w:b/>
          <w:bCs/>
        </w:rPr>
      </w:pPr>
      <w:bookmarkStart w:id="250" w:name="_Toc185047530"/>
      <w:r>
        <w:rPr>
          <w:rFonts w:hint="eastAsia"/>
          <w:b/>
          <w:bCs/>
        </w:rPr>
        <w:t>(一)项目管理机构组成表</w:t>
      </w:r>
      <w:bookmarkEnd w:id="250"/>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7"/>
        <w:gridCol w:w="1696"/>
        <w:gridCol w:w="1244"/>
        <w:gridCol w:w="1575"/>
        <w:gridCol w:w="1782"/>
        <w:gridCol w:w="992"/>
        <w:gridCol w:w="851"/>
        <w:gridCol w:w="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4" w:hRule="atLeast"/>
          <w:jc w:val="center"/>
        </w:trPr>
        <w:tc>
          <w:tcPr>
            <w:tcW w:w="737" w:type="dxa"/>
            <w:vMerge w:val="restart"/>
            <w:vAlign w:val="center"/>
          </w:tcPr>
          <w:p>
            <w:pPr>
              <w:spacing w:line="500" w:lineRule="exact"/>
              <w:jc w:val="center"/>
              <w:rPr>
                <w:rFonts w:ascii="宋体" w:hAnsi="宋体" w:cs="宋体"/>
                <w:szCs w:val="22"/>
              </w:rPr>
            </w:pPr>
            <w:r>
              <w:rPr>
                <w:rFonts w:hint="eastAsia" w:ascii="宋体" w:hAnsi="宋体" w:cs="宋体"/>
                <w:szCs w:val="22"/>
              </w:rPr>
              <w:t>序号</w:t>
            </w:r>
          </w:p>
        </w:tc>
        <w:tc>
          <w:tcPr>
            <w:tcW w:w="1696" w:type="dxa"/>
            <w:vMerge w:val="restart"/>
            <w:vAlign w:val="center"/>
          </w:tcPr>
          <w:p>
            <w:pPr>
              <w:spacing w:line="500" w:lineRule="exact"/>
              <w:jc w:val="center"/>
              <w:rPr>
                <w:rFonts w:ascii="宋体" w:hAnsi="宋体" w:cs="宋体"/>
                <w:szCs w:val="22"/>
              </w:rPr>
            </w:pPr>
            <w:r>
              <w:rPr>
                <w:rFonts w:hint="eastAsia" w:ascii="宋体" w:hAnsi="宋体" w:cs="宋体"/>
                <w:szCs w:val="22"/>
              </w:rPr>
              <w:t>职务</w:t>
            </w:r>
          </w:p>
        </w:tc>
        <w:tc>
          <w:tcPr>
            <w:tcW w:w="1244" w:type="dxa"/>
            <w:vMerge w:val="restart"/>
            <w:vAlign w:val="center"/>
          </w:tcPr>
          <w:p>
            <w:pPr>
              <w:spacing w:line="500" w:lineRule="exact"/>
              <w:jc w:val="center"/>
              <w:rPr>
                <w:rFonts w:ascii="宋体" w:hAnsi="宋体" w:cs="宋体"/>
                <w:szCs w:val="22"/>
              </w:rPr>
            </w:pPr>
            <w:r>
              <w:rPr>
                <w:rFonts w:hint="eastAsia" w:ascii="宋体" w:hAnsi="宋体" w:cs="宋体"/>
                <w:szCs w:val="22"/>
              </w:rPr>
              <w:t>姓名</w:t>
            </w:r>
          </w:p>
        </w:tc>
        <w:tc>
          <w:tcPr>
            <w:tcW w:w="3357" w:type="dxa"/>
            <w:gridSpan w:val="2"/>
            <w:vAlign w:val="center"/>
          </w:tcPr>
          <w:p>
            <w:pPr>
              <w:spacing w:line="500" w:lineRule="exact"/>
              <w:jc w:val="center"/>
              <w:rPr>
                <w:rFonts w:ascii="宋体" w:hAnsi="宋体" w:cs="宋体"/>
                <w:szCs w:val="22"/>
              </w:rPr>
            </w:pPr>
            <w:r>
              <w:rPr>
                <w:rFonts w:hint="eastAsia" w:ascii="宋体" w:hAnsi="宋体" w:cs="宋体"/>
                <w:szCs w:val="22"/>
              </w:rPr>
              <w:t>执业或职业资格</w:t>
            </w:r>
          </w:p>
        </w:tc>
        <w:tc>
          <w:tcPr>
            <w:tcW w:w="1843" w:type="dxa"/>
            <w:gridSpan w:val="2"/>
            <w:vAlign w:val="center"/>
          </w:tcPr>
          <w:p>
            <w:pPr>
              <w:spacing w:line="500" w:lineRule="exact"/>
              <w:jc w:val="center"/>
              <w:rPr>
                <w:rFonts w:ascii="宋体" w:hAnsi="宋体" w:cs="宋体"/>
                <w:szCs w:val="22"/>
              </w:rPr>
            </w:pPr>
            <w:r>
              <w:rPr>
                <w:rFonts w:hint="eastAsia" w:ascii="宋体" w:hAnsi="宋体" w:cs="宋体"/>
                <w:szCs w:val="22"/>
              </w:rPr>
              <w:t>职称</w:t>
            </w:r>
          </w:p>
        </w:tc>
        <w:tc>
          <w:tcPr>
            <w:tcW w:w="653" w:type="dxa"/>
            <w:vMerge w:val="restart"/>
            <w:vAlign w:val="center"/>
          </w:tcPr>
          <w:p>
            <w:pPr>
              <w:spacing w:line="500" w:lineRule="exact"/>
              <w:jc w:val="center"/>
              <w:rPr>
                <w:rFonts w:ascii="宋体" w:hAnsi="宋体" w:cs="宋体"/>
                <w:szCs w:val="22"/>
              </w:rPr>
            </w:pPr>
            <w:r>
              <w:rPr>
                <w:rFonts w:hint="eastAsia" w:ascii="宋体" w:hAnsi="宋体" w:cs="宋体"/>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4" w:hRule="atLeast"/>
          <w:jc w:val="center"/>
        </w:trPr>
        <w:tc>
          <w:tcPr>
            <w:tcW w:w="737" w:type="dxa"/>
            <w:vMerge w:val="continue"/>
            <w:vAlign w:val="center"/>
          </w:tcPr>
          <w:p>
            <w:pPr>
              <w:spacing w:line="500" w:lineRule="exact"/>
              <w:jc w:val="center"/>
              <w:rPr>
                <w:rFonts w:ascii="宋体" w:hAnsi="宋体" w:cs="宋体"/>
                <w:szCs w:val="22"/>
              </w:rPr>
            </w:pPr>
          </w:p>
        </w:tc>
        <w:tc>
          <w:tcPr>
            <w:tcW w:w="1696" w:type="dxa"/>
            <w:vMerge w:val="continue"/>
            <w:vAlign w:val="center"/>
          </w:tcPr>
          <w:p>
            <w:pPr>
              <w:spacing w:line="500" w:lineRule="exact"/>
              <w:jc w:val="center"/>
              <w:rPr>
                <w:rFonts w:ascii="宋体" w:hAnsi="宋体" w:cs="宋体"/>
                <w:szCs w:val="22"/>
              </w:rPr>
            </w:pPr>
          </w:p>
        </w:tc>
        <w:tc>
          <w:tcPr>
            <w:tcW w:w="1244" w:type="dxa"/>
            <w:vMerge w:val="continue"/>
            <w:vAlign w:val="center"/>
          </w:tcPr>
          <w:p>
            <w:pPr>
              <w:spacing w:line="500" w:lineRule="exact"/>
              <w:jc w:val="center"/>
              <w:rPr>
                <w:rFonts w:ascii="宋体" w:hAnsi="宋体" w:cs="宋体"/>
                <w:szCs w:val="22"/>
              </w:rPr>
            </w:pPr>
          </w:p>
        </w:tc>
        <w:tc>
          <w:tcPr>
            <w:tcW w:w="1575" w:type="dxa"/>
            <w:vAlign w:val="center"/>
          </w:tcPr>
          <w:p>
            <w:pPr>
              <w:spacing w:line="500" w:lineRule="exact"/>
              <w:jc w:val="center"/>
              <w:rPr>
                <w:rFonts w:ascii="宋体" w:hAnsi="宋体" w:cs="宋体"/>
                <w:szCs w:val="22"/>
              </w:rPr>
            </w:pPr>
            <w:r>
              <w:rPr>
                <w:rFonts w:hint="eastAsia" w:ascii="宋体" w:hAnsi="宋体" w:cs="宋体"/>
                <w:szCs w:val="22"/>
              </w:rPr>
              <w:t>证书名称</w:t>
            </w:r>
          </w:p>
        </w:tc>
        <w:tc>
          <w:tcPr>
            <w:tcW w:w="1782" w:type="dxa"/>
            <w:vAlign w:val="center"/>
          </w:tcPr>
          <w:p>
            <w:pPr>
              <w:spacing w:line="500" w:lineRule="exact"/>
              <w:jc w:val="center"/>
              <w:rPr>
                <w:rFonts w:ascii="宋体" w:hAnsi="宋体" w:cs="宋体"/>
                <w:szCs w:val="22"/>
              </w:rPr>
            </w:pPr>
            <w:r>
              <w:rPr>
                <w:rFonts w:hint="eastAsia" w:ascii="宋体" w:hAnsi="宋体" w:cs="宋体"/>
                <w:szCs w:val="22"/>
              </w:rPr>
              <w:t>证书编号</w:t>
            </w:r>
          </w:p>
        </w:tc>
        <w:tc>
          <w:tcPr>
            <w:tcW w:w="992" w:type="dxa"/>
            <w:vAlign w:val="center"/>
          </w:tcPr>
          <w:p>
            <w:pPr>
              <w:spacing w:line="500" w:lineRule="exact"/>
              <w:jc w:val="center"/>
              <w:rPr>
                <w:rFonts w:ascii="宋体" w:hAnsi="宋体" w:cs="宋体"/>
                <w:szCs w:val="22"/>
              </w:rPr>
            </w:pPr>
            <w:r>
              <w:rPr>
                <w:rFonts w:hint="eastAsia" w:ascii="宋体" w:hAnsi="宋体" w:cs="宋体"/>
                <w:szCs w:val="22"/>
              </w:rPr>
              <w:t>职称专业</w:t>
            </w:r>
          </w:p>
        </w:tc>
        <w:tc>
          <w:tcPr>
            <w:tcW w:w="851" w:type="dxa"/>
            <w:vAlign w:val="center"/>
          </w:tcPr>
          <w:p>
            <w:pPr>
              <w:spacing w:line="500" w:lineRule="exact"/>
              <w:jc w:val="center"/>
              <w:rPr>
                <w:rFonts w:ascii="宋体" w:hAnsi="宋体" w:cs="宋体"/>
                <w:szCs w:val="22"/>
              </w:rPr>
            </w:pPr>
            <w:r>
              <w:rPr>
                <w:rFonts w:hint="eastAsia" w:ascii="宋体" w:hAnsi="宋体" w:cs="宋体"/>
                <w:szCs w:val="22"/>
              </w:rPr>
              <w:t>级别</w:t>
            </w:r>
          </w:p>
        </w:tc>
        <w:tc>
          <w:tcPr>
            <w:tcW w:w="653" w:type="dxa"/>
            <w:vMerge w:val="continue"/>
            <w:vAlign w:val="center"/>
          </w:tcPr>
          <w:p>
            <w:pPr>
              <w:spacing w:line="500" w:lineRule="exact"/>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4" w:hRule="atLeast"/>
          <w:jc w:val="center"/>
        </w:trPr>
        <w:tc>
          <w:tcPr>
            <w:tcW w:w="737" w:type="dxa"/>
            <w:vAlign w:val="center"/>
          </w:tcPr>
          <w:p>
            <w:pPr>
              <w:spacing w:line="500" w:lineRule="exact"/>
              <w:jc w:val="center"/>
              <w:rPr>
                <w:rFonts w:ascii="宋体" w:hAnsi="宋体" w:cs="宋体"/>
                <w:szCs w:val="22"/>
              </w:rPr>
            </w:pPr>
            <w:r>
              <w:rPr>
                <w:rFonts w:hint="eastAsia" w:ascii="宋体" w:hAnsi="宋体" w:cs="宋体"/>
                <w:szCs w:val="22"/>
              </w:rPr>
              <w:t>一</w:t>
            </w:r>
          </w:p>
        </w:tc>
        <w:tc>
          <w:tcPr>
            <w:tcW w:w="1696" w:type="dxa"/>
            <w:vAlign w:val="center"/>
          </w:tcPr>
          <w:p>
            <w:pPr>
              <w:spacing w:line="500" w:lineRule="exact"/>
              <w:jc w:val="center"/>
              <w:rPr>
                <w:rFonts w:ascii="宋体" w:hAnsi="宋体" w:cs="宋体"/>
                <w:szCs w:val="22"/>
              </w:rPr>
            </w:pPr>
            <w:r>
              <w:rPr>
                <w:rFonts w:hint="eastAsia" w:ascii="宋体" w:hAnsi="宋体" w:cs="宋体"/>
                <w:szCs w:val="22"/>
              </w:rPr>
              <w:t>项目经理</w:t>
            </w:r>
          </w:p>
        </w:tc>
        <w:tc>
          <w:tcPr>
            <w:tcW w:w="1244" w:type="dxa"/>
            <w:vAlign w:val="center"/>
          </w:tcPr>
          <w:p>
            <w:pPr>
              <w:spacing w:line="500" w:lineRule="exact"/>
              <w:jc w:val="center"/>
              <w:rPr>
                <w:rFonts w:ascii="宋体" w:hAnsi="宋体" w:cs="宋体"/>
                <w:szCs w:val="22"/>
              </w:rPr>
            </w:pPr>
          </w:p>
        </w:tc>
        <w:tc>
          <w:tcPr>
            <w:tcW w:w="1575" w:type="dxa"/>
            <w:vAlign w:val="center"/>
          </w:tcPr>
          <w:p>
            <w:pPr>
              <w:spacing w:line="500" w:lineRule="exact"/>
              <w:jc w:val="center"/>
              <w:rPr>
                <w:rFonts w:ascii="宋体" w:hAnsi="宋体" w:cs="宋体"/>
                <w:szCs w:val="22"/>
              </w:rPr>
            </w:pPr>
          </w:p>
        </w:tc>
        <w:tc>
          <w:tcPr>
            <w:tcW w:w="1782" w:type="dxa"/>
            <w:vAlign w:val="center"/>
          </w:tcPr>
          <w:p>
            <w:pPr>
              <w:spacing w:line="500" w:lineRule="exact"/>
              <w:jc w:val="center"/>
              <w:rPr>
                <w:rFonts w:ascii="宋体" w:hAnsi="宋体" w:cs="宋体"/>
                <w:szCs w:val="22"/>
              </w:rPr>
            </w:pPr>
          </w:p>
        </w:tc>
        <w:tc>
          <w:tcPr>
            <w:tcW w:w="1843" w:type="dxa"/>
            <w:gridSpan w:val="2"/>
            <w:vAlign w:val="center"/>
          </w:tcPr>
          <w:p>
            <w:pPr>
              <w:spacing w:line="500" w:lineRule="exact"/>
              <w:jc w:val="center"/>
              <w:rPr>
                <w:rFonts w:ascii="宋体" w:hAnsi="宋体" w:cs="宋体"/>
                <w:szCs w:val="22"/>
              </w:rPr>
            </w:pPr>
          </w:p>
        </w:tc>
        <w:tc>
          <w:tcPr>
            <w:tcW w:w="653" w:type="dxa"/>
            <w:vAlign w:val="center"/>
          </w:tcPr>
          <w:p>
            <w:pPr>
              <w:spacing w:line="500" w:lineRule="exact"/>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737" w:type="dxa"/>
            <w:vAlign w:val="center"/>
          </w:tcPr>
          <w:p>
            <w:pPr>
              <w:spacing w:line="500" w:lineRule="exact"/>
              <w:jc w:val="center"/>
              <w:rPr>
                <w:rFonts w:ascii="宋体" w:hAnsi="宋体" w:cs="宋体"/>
                <w:szCs w:val="22"/>
              </w:rPr>
            </w:pPr>
            <w:r>
              <w:rPr>
                <w:rFonts w:hint="eastAsia" w:ascii="宋体" w:hAnsi="宋体" w:cs="宋体"/>
                <w:szCs w:val="22"/>
              </w:rPr>
              <w:t>二</w:t>
            </w:r>
          </w:p>
        </w:tc>
        <w:tc>
          <w:tcPr>
            <w:tcW w:w="8793" w:type="dxa"/>
            <w:gridSpan w:val="7"/>
            <w:vAlign w:val="center"/>
          </w:tcPr>
          <w:p>
            <w:pPr>
              <w:spacing w:line="500" w:lineRule="exact"/>
              <w:jc w:val="center"/>
              <w:rPr>
                <w:rFonts w:ascii="宋体" w:hAnsi="宋体" w:cs="宋体"/>
                <w:szCs w:val="22"/>
              </w:rPr>
            </w:pPr>
            <w:r>
              <w:rPr>
                <w:rFonts w:hint="eastAsia" w:ascii="宋体" w:hAnsi="宋体" w:cs="宋体"/>
                <w:szCs w:val="22"/>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9" w:hRule="atLeast"/>
          <w:jc w:val="center"/>
        </w:trPr>
        <w:tc>
          <w:tcPr>
            <w:tcW w:w="737" w:type="dxa"/>
            <w:vAlign w:val="center"/>
          </w:tcPr>
          <w:p>
            <w:pPr>
              <w:spacing w:line="500" w:lineRule="exact"/>
              <w:jc w:val="center"/>
              <w:rPr>
                <w:rFonts w:ascii="宋体" w:hAnsi="宋体" w:cs="宋体"/>
                <w:szCs w:val="22"/>
              </w:rPr>
            </w:pPr>
            <w:r>
              <w:rPr>
                <w:rFonts w:hint="eastAsia" w:ascii="宋体" w:hAnsi="宋体" w:cs="宋体"/>
                <w:szCs w:val="22"/>
              </w:rPr>
              <w:t>2.1</w:t>
            </w:r>
          </w:p>
        </w:tc>
        <w:tc>
          <w:tcPr>
            <w:tcW w:w="1696" w:type="dxa"/>
            <w:vAlign w:val="center"/>
          </w:tcPr>
          <w:p>
            <w:pPr>
              <w:spacing w:line="500" w:lineRule="exact"/>
              <w:jc w:val="center"/>
              <w:rPr>
                <w:rFonts w:ascii="宋体" w:hAnsi="宋体" w:cs="宋体"/>
                <w:szCs w:val="22"/>
              </w:rPr>
            </w:pPr>
            <w:r>
              <w:rPr>
                <w:rFonts w:hint="eastAsia" w:ascii="宋体" w:hAnsi="宋体" w:cs="宋体"/>
                <w:szCs w:val="22"/>
              </w:rPr>
              <w:t>设计负责人</w:t>
            </w:r>
          </w:p>
        </w:tc>
        <w:tc>
          <w:tcPr>
            <w:tcW w:w="1244" w:type="dxa"/>
            <w:vAlign w:val="center"/>
          </w:tcPr>
          <w:p>
            <w:pPr>
              <w:spacing w:line="500" w:lineRule="exact"/>
              <w:jc w:val="center"/>
              <w:rPr>
                <w:rFonts w:ascii="宋体" w:hAnsi="宋体" w:cs="宋体"/>
                <w:szCs w:val="22"/>
              </w:rPr>
            </w:pPr>
          </w:p>
        </w:tc>
        <w:tc>
          <w:tcPr>
            <w:tcW w:w="1575" w:type="dxa"/>
            <w:vAlign w:val="center"/>
          </w:tcPr>
          <w:p>
            <w:pPr>
              <w:spacing w:line="500" w:lineRule="exact"/>
              <w:jc w:val="center"/>
              <w:rPr>
                <w:rFonts w:ascii="宋体" w:hAnsi="宋体" w:cs="宋体"/>
                <w:szCs w:val="22"/>
              </w:rPr>
            </w:pPr>
          </w:p>
        </w:tc>
        <w:tc>
          <w:tcPr>
            <w:tcW w:w="1782" w:type="dxa"/>
            <w:vAlign w:val="center"/>
          </w:tcPr>
          <w:p>
            <w:pPr>
              <w:spacing w:line="500" w:lineRule="exact"/>
              <w:jc w:val="center"/>
              <w:rPr>
                <w:rFonts w:ascii="宋体" w:hAnsi="宋体" w:cs="宋体"/>
                <w:szCs w:val="22"/>
              </w:rPr>
            </w:pPr>
          </w:p>
        </w:tc>
        <w:tc>
          <w:tcPr>
            <w:tcW w:w="992" w:type="dxa"/>
            <w:vAlign w:val="center"/>
          </w:tcPr>
          <w:p>
            <w:pPr>
              <w:spacing w:line="500" w:lineRule="exact"/>
              <w:jc w:val="center"/>
              <w:rPr>
                <w:rFonts w:ascii="宋体" w:hAnsi="宋体" w:cs="宋体"/>
                <w:szCs w:val="22"/>
              </w:rPr>
            </w:pPr>
          </w:p>
        </w:tc>
        <w:tc>
          <w:tcPr>
            <w:tcW w:w="851" w:type="dxa"/>
            <w:vAlign w:val="center"/>
          </w:tcPr>
          <w:p>
            <w:pPr>
              <w:spacing w:line="500" w:lineRule="exact"/>
              <w:jc w:val="center"/>
              <w:rPr>
                <w:rFonts w:ascii="宋体" w:hAnsi="宋体" w:cs="宋体"/>
                <w:szCs w:val="22"/>
              </w:rPr>
            </w:pPr>
          </w:p>
        </w:tc>
        <w:tc>
          <w:tcPr>
            <w:tcW w:w="653" w:type="dxa"/>
            <w:vAlign w:val="center"/>
          </w:tcPr>
          <w:p>
            <w:pPr>
              <w:spacing w:line="500" w:lineRule="exact"/>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9" w:hRule="atLeast"/>
          <w:jc w:val="center"/>
        </w:trPr>
        <w:tc>
          <w:tcPr>
            <w:tcW w:w="737" w:type="dxa"/>
            <w:vAlign w:val="center"/>
          </w:tcPr>
          <w:p>
            <w:pPr>
              <w:spacing w:line="500" w:lineRule="exact"/>
              <w:jc w:val="center"/>
              <w:rPr>
                <w:rFonts w:ascii="宋体" w:hAnsi="宋体" w:cs="宋体"/>
                <w:szCs w:val="22"/>
              </w:rPr>
            </w:pPr>
          </w:p>
        </w:tc>
        <w:tc>
          <w:tcPr>
            <w:tcW w:w="1696" w:type="dxa"/>
            <w:vAlign w:val="center"/>
          </w:tcPr>
          <w:p>
            <w:pPr>
              <w:spacing w:line="500" w:lineRule="exact"/>
              <w:jc w:val="center"/>
              <w:rPr>
                <w:rFonts w:ascii="宋体" w:hAnsi="宋体" w:cs="宋体"/>
                <w:szCs w:val="22"/>
              </w:rPr>
            </w:pPr>
            <w:r>
              <w:rPr>
                <w:rFonts w:hint="eastAsia" w:ascii="宋体" w:hAnsi="宋体" w:cs="宋体"/>
                <w:szCs w:val="22"/>
              </w:rPr>
              <w:t>……</w:t>
            </w:r>
          </w:p>
        </w:tc>
        <w:tc>
          <w:tcPr>
            <w:tcW w:w="1244" w:type="dxa"/>
            <w:vAlign w:val="center"/>
          </w:tcPr>
          <w:p>
            <w:pPr>
              <w:spacing w:line="500" w:lineRule="exact"/>
              <w:jc w:val="center"/>
              <w:rPr>
                <w:rFonts w:ascii="宋体" w:hAnsi="宋体" w:cs="宋体"/>
                <w:szCs w:val="22"/>
              </w:rPr>
            </w:pPr>
          </w:p>
        </w:tc>
        <w:tc>
          <w:tcPr>
            <w:tcW w:w="1575" w:type="dxa"/>
            <w:vAlign w:val="center"/>
          </w:tcPr>
          <w:p>
            <w:pPr>
              <w:spacing w:line="500" w:lineRule="exact"/>
              <w:jc w:val="center"/>
              <w:rPr>
                <w:rFonts w:ascii="宋体" w:hAnsi="宋体" w:cs="宋体"/>
                <w:szCs w:val="22"/>
              </w:rPr>
            </w:pPr>
          </w:p>
        </w:tc>
        <w:tc>
          <w:tcPr>
            <w:tcW w:w="1782" w:type="dxa"/>
            <w:vAlign w:val="center"/>
          </w:tcPr>
          <w:p>
            <w:pPr>
              <w:spacing w:line="500" w:lineRule="exact"/>
              <w:jc w:val="center"/>
              <w:rPr>
                <w:rFonts w:ascii="宋体" w:hAnsi="宋体" w:cs="宋体"/>
                <w:szCs w:val="22"/>
              </w:rPr>
            </w:pPr>
          </w:p>
        </w:tc>
        <w:tc>
          <w:tcPr>
            <w:tcW w:w="992" w:type="dxa"/>
            <w:vAlign w:val="center"/>
          </w:tcPr>
          <w:p>
            <w:pPr>
              <w:spacing w:line="500" w:lineRule="exact"/>
              <w:jc w:val="center"/>
              <w:rPr>
                <w:rFonts w:ascii="宋体" w:hAnsi="宋体" w:cs="宋体"/>
                <w:szCs w:val="22"/>
              </w:rPr>
            </w:pPr>
          </w:p>
        </w:tc>
        <w:tc>
          <w:tcPr>
            <w:tcW w:w="851" w:type="dxa"/>
            <w:vAlign w:val="center"/>
          </w:tcPr>
          <w:p>
            <w:pPr>
              <w:spacing w:line="500" w:lineRule="exact"/>
              <w:jc w:val="center"/>
              <w:rPr>
                <w:rFonts w:ascii="宋体" w:hAnsi="宋体" w:cs="宋体"/>
                <w:szCs w:val="22"/>
              </w:rPr>
            </w:pPr>
          </w:p>
        </w:tc>
        <w:tc>
          <w:tcPr>
            <w:tcW w:w="653" w:type="dxa"/>
            <w:vAlign w:val="center"/>
          </w:tcPr>
          <w:p>
            <w:pPr>
              <w:spacing w:line="500" w:lineRule="exact"/>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9" w:hRule="atLeast"/>
          <w:jc w:val="center"/>
        </w:trPr>
        <w:tc>
          <w:tcPr>
            <w:tcW w:w="737" w:type="dxa"/>
            <w:vAlign w:val="center"/>
          </w:tcPr>
          <w:p>
            <w:pPr>
              <w:spacing w:line="500" w:lineRule="exact"/>
              <w:jc w:val="center"/>
              <w:rPr>
                <w:rFonts w:ascii="宋体" w:hAnsi="宋体" w:cs="宋体"/>
                <w:szCs w:val="22"/>
              </w:rPr>
            </w:pPr>
            <w:r>
              <w:rPr>
                <w:rFonts w:hint="eastAsia" w:ascii="宋体" w:hAnsi="宋体" w:cs="宋体"/>
                <w:szCs w:val="22"/>
              </w:rPr>
              <w:t>三</w:t>
            </w:r>
          </w:p>
        </w:tc>
        <w:tc>
          <w:tcPr>
            <w:tcW w:w="8793" w:type="dxa"/>
            <w:gridSpan w:val="7"/>
            <w:vAlign w:val="center"/>
          </w:tcPr>
          <w:p>
            <w:pPr>
              <w:spacing w:line="500" w:lineRule="exact"/>
              <w:jc w:val="center"/>
              <w:rPr>
                <w:rFonts w:ascii="宋体" w:hAnsi="宋体" w:cs="宋体"/>
                <w:szCs w:val="22"/>
              </w:rPr>
            </w:pPr>
            <w:r>
              <w:rPr>
                <w:rFonts w:hint="eastAsia" w:ascii="宋体" w:hAnsi="宋体" w:cs="宋体"/>
                <w:szCs w:val="22"/>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9" w:hRule="atLeast"/>
          <w:jc w:val="center"/>
        </w:trPr>
        <w:tc>
          <w:tcPr>
            <w:tcW w:w="737" w:type="dxa"/>
            <w:vAlign w:val="center"/>
          </w:tcPr>
          <w:p>
            <w:pPr>
              <w:spacing w:line="500" w:lineRule="exact"/>
              <w:jc w:val="center"/>
              <w:rPr>
                <w:rFonts w:ascii="宋体" w:hAnsi="宋体" w:cs="宋体"/>
                <w:szCs w:val="22"/>
              </w:rPr>
            </w:pPr>
            <w:r>
              <w:rPr>
                <w:rFonts w:hint="eastAsia" w:ascii="宋体" w:hAnsi="宋体" w:cs="宋体"/>
                <w:szCs w:val="22"/>
              </w:rPr>
              <w:t>3.1</w:t>
            </w:r>
          </w:p>
        </w:tc>
        <w:tc>
          <w:tcPr>
            <w:tcW w:w="1696" w:type="dxa"/>
            <w:vAlign w:val="center"/>
          </w:tcPr>
          <w:p>
            <w:pPr>
              <w:spacing w:line="500" w:lineRule="exact"/>
              <w:jc w:val="center"/>
              <w:rPr>
                <w:rFonts w:ascii="宋体" w:hAnsi="宋体" w:cs="宋体"/>
                <w:szCs w:val="22"/>
              </w:rPr>
            </w:pPr>
            <w:r>
              <w:rPr>
                <w:rFonts w:hint="eastAsia" w:ascii="宋体" w:hAnsi="宋体" w:cs="宋体"/>
                <w:szCs w:val="22"/>
              </w:rPr>
              <w:t>施工负责人</w:t>
            </w:r>
          </w:p>
        </w:tc>
        <w:tc>
          <w:tcPr>
            <w:tcW w:w="1244" w:type="dxa"/>
            <w:vAlign w:val="center"/>
          </w:tcPr>
          <w:p>
            <w:pPr>
              <w:spacing w:line="500" w:lineRule="exact"/>
              <w:jc w:val="center"/>
              <w:rPr>
                <w:rFonts w:ascii="宋体" w:hAnsi="宋体" w:cs="宋体"/>
                <w:szCs w:val="22"/>
              </w:rPr>
            </w:pPr>
          </w:p>
        </w:tc>
        <w:tc>
          <w:tcPr>
            <w:tcW w:w="1575" w:type="dxa"/>
            <w:vAlign w:val="center"/>
          </w:tcPr>
          <w:p>
            <w:pPr>
              <w:spacing w:line="500" w:lineRule="exact"/>
              <w:jc w:val="center"/>
              <w:rPr>
                <w:rFonts w:ascii="宋体" w:hAnsi="宋体" w:cs="宋体"/>
                <w:szCs w:val="22"/>
              </w:rPr>
            </w:pPr>
          </w:p>
        </w:tc>
        <w:tc>
          <w:tcPr>
            <w:tcW w:w="1782" w:type="dxa"/>
            <w:vAlign w:val="center"/>
          </w:tcPr>
          <w:p>
            <w:pPr>
              <w:spacing w:line="500" w:lineRule="exact"/>
              <w:jc w:val="center"/>
              <w:rPr>
                <w:rFonts w:ascii="宋体" w:hAnsi="宋体" w:cs="宋体"/>
                <w:szCs w:val="22"/>
              </w:rPr>
            </w:pPr>
          </w:p>
        </w:tc>
        <w:tc>
          <w:tcPr>
            <w:tcW w:w="992" w:type="dxa"/>
            <w:vAlign w:val="center"/>
          </w:tcPr>
          <w:p>
            <w:pPr>
              <w:spacing w:line="500" w:lineRule="exact"/>
              <w:jc w:val="center"/>
              <w:rPr>
                <w:rFonts w:ascii="宋体" w:hAnsi="宋体" w:cs="宋体"/>
                <w:szCs w:val="22"/>
              </w:rPr>
            </w:pPr>
          </w:p>
        </w:tc>
        <w:tc>
          <w:tcPr>
            <w:tcW w:w="851" w:type="dxa"/>
            <w:vAlign w:val="center"/>
          </w:tcPr>
          <w:p>
            <w:pPr>
              <w:spacing w:line="500" w:lineRule="exact"/>
              <w:jc w:val="center"/>
              <w:rPr>
                <w:rFonts w:ascii="宋体" w:hAnsi="宋体" w:cs="宋体"/>
                <w:szCs w:val="22"/>
              </w:rPr>
            </w:pPr>
          </w:p>
        </w:tc>
        <w:tc>
          <w:tcPr>
            <w:tcW w:w="653" w:type="dxa"/>
            <w:vAlign w:val="center"/>
          </w:tcPr>
          <w:p>
            <w:pPr>
              <w:spacing w:line="500" w:lineRule="exact"/>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9" w:hRule="atLeast"/>
          <w:jc w:val="center"/>
        </w:trPr>
        <w:tc>
          <w:tcPr>
            <w:tcW w:w="737" w:type="dxa"/>
            <w:vAlign w:val="center"/>
          </w:tcPr>
          <w:p>
            <w:pPr>
              <w:spacing w:line="500" w:lineRule="exact"/>
              <w:jc w:val="center"/>
              <w:rPr>
                <w:rFonts w:ascii="宋体" w:hAnsi="宋体" w:cs="宋体"/>
                <w:szCs w:val="22"/>
              </w:rPr>
            </w:pPr>
          </w:p>
        </w:tc>
        <w:tc>
          <w:tcPr>
            <w:tcW w:w="1696" w:type="dxa"/>
            <w:vAlign w:val="center"/>
          </w:tcPr>
          <w:p>
            <w:pPr>
              <w:spacing w:line="500" w:lineRule="exact"/>
              <w:jc w:val="center"/>
              <w:rPr>
                <w:rFonts w:ascii="宋体" w:hAnsi="宋体" w:cs="宋体"/>
                <w:szCs w:val="22"/>
              </w:rPr>
            </w:pPr>
            <w:r>
              <w:rPr>
                <w:rFonts w:hint="eastAsia" w:ascii="宋体" w:hAnsi="宋体" w:cs="宋体"/>
                <w:szCs w:val="22"/>
              </w:rPr>
              <w:t>……</w:t>
            </w:r>
          </w:p>
        </w:tc>
        <w:tc>
          <w:tcPr>
            <w:tcW w:w="1244" w:type="dxa"/>
            <w:vAlign w:val="center"/>
          </w:tcPr>
          <w:p>
            <w:pPr>
              <w:spacing w:line="500" w:lineRule="exact"/>
              <w:jc w:val="center"/>
              <w:rPr>
                <w:rFonts w:ascii="宋体" w:hAnsi="宋体" w:cs="宋体"/>
                <w:szCs w:val="22"/>
              </w:rPr>
            </w:pPr>
          </w:p>
        </w:tc>
        <w:tc>
          <w:tcPr>
            <w:tcW w:w="1575" w:type="dxa"/>
            <w:vAlign w:val="center"/>
          </w:tcPr>
          <w:p>
            <w:pPr>
              <w:spacing w:line="500" w:lineRule="exact"/>
              <w:jc w:val="center"/>
              <w:rPr>
                <w:rFonts w:ascii="宋体" w:hAnsi="宋体" w:cs="宋体"/>
                <w:szCs w:val="22"/>
              </w:rPr>
            </w:pPr>
          </w:p>
        </w:tc>
        <w:tc>
          <w:tcPr>
            <w:tcW w:w="1782" w:type="dxa"/>
            <w:vAlign w:val="center"/>
          </w:tcPr>
          <w:p>
            <w:pPr>
              <w:spacing w:line="500" w:lineRule="exact"/>
              <w:jc w:val="center"/>
              <w:rPr>
                <w:rFonts w:ascii="宋体" w:hAnsi="宋体" w:cs="宋体"/>
                <w:szCs w:val="22"/>
              </w:rPr>
            </w:pPr>
          </w:p>
        </w:tc>
        <w:tc>
          <w:tcPr>
            <w:tcW w:w="992" w:type="dxa"/>
            <w:vAlign w:val="center"/>
          </w:tcPr>
          <w:p>
            <w:pPr>
              <w:spacing w:line="500" w:lineRule="exact"/>
              <w:jc w:val="center"/>
              <w:rPr>
                <w:rFonts w:ascii="宋体" w:hAnsi="宋体" w:cs="宋体"/>
                <w:szCs w:val="22"/>
              </w:rPr>
            </w:pPr>
          </w:p>
        </w:tc>
        <w:tc>
          <w:tcPr>
            <w:tcW w:w="851" w:type="dxa"/>
            <w:vAlign w:val="center"/>
          </w:tcPr>
          <w:p>
            <w:pPr>
              <w:spacing w:line="500" w:lineRule="exact"/>
              <w:jc w:val="center"/>
              <w:rPr>
                <w:rFonts w:ascii="宋体" w:hAnsi="宋体" w:cs="宋体"/>
                <w:szCs w:val="22"/>
              </w:rPr>
            </w:pPr>
          </w:p>
        </w:tc>
        <w:tc>
          <w:tcPr>
            <w:tcW w:w="653" w:type="dxa"/>
            <w:vAlign w:val="center"/>
          </w:tcPr>
          <w:p>
            <w:pPr>
              <w:spacing w:line="500" w:lineRule="exact"/>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737" w:type="dxa"/>
            <w:vAlign w:val="center"/>
          </w:tcPr>
          <w:p>
            <w:pPr>
              <w:spacing w:line="500" w:lineRule="exact"/>
              <w:jc w:val="center"/>
              <w:rPr>
                <w:rFonts w:ascii="宋体" w:hAnsi="宋体" w:cs="宋体"/>
                <w:szCs w:val="22"/>
              </w:rPr>
            </w:pPr>
            <w:r>
              <w:rPr>
                <w:rFonts w:hint="eastAsia" w:ascii="宋体" w:hAnsi="宋体" w:cs="宋体"/>
                <w:szCs w:val="22"/>
              </w:rPr>
              <w:t>四</w:t>
            </w:r>
          </w:p>
        </w:tc>
        <w:tc>
          <w:tcPr>
            <w:tcW w:w="8793" w:type="dxa"/>
            <w:gridSpan w:val="7"/>
            <w:vAlign w:val="center"/>
          </w:tcPr>
          <w:p>
            <w:pPr>
              <w:spacing w:line="500" w:lineRule="exact"/>
              <w:jc w:val="center"/>
              <w:rPr>
                <w:rFonts w:ascii="宋体" w:hAnsi="宋体" w:cs="宋体"/>
                <w:szCs w:val="22"/>
              </w:rPr>
            </w:pPr>
            <w:r>
              <w:rPr>
                <w:rFonts w:hint="eastAsia" w:ascii="宋体" w:hAnsi="宋体" w:cs="宋体"/>
                <w:szCs w:val="22"/>
              </w:rPr>
              <w:t>□勘察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9" w:hRule="atLeast"/>
          <w:jc w:val="center"/>
        </w:trPr>
        <w:tc>
          <w:tcPr>
            <w:tcW w:w="737" w:type="dxa"/>
            <w:vAlign w:val="center"/>
          </w:tcPr>
          <w:p>
            <w:pPr>
              <w:spacing w:line="500" w:lineRule="exact"/>
              <w:jc w:val="center"/>
              <w:rPr>
                <w:rFonts w:ascii="宋体" w:hAnsi="宋体" w:cs="宋体"/>
                <w:szCs w:val="22"/>
              </w:rPr>
            </w:pPr>
          </w:p>
        </w:tc>
        <w:tc>
          <w:tcPr>
            <w:tcW w:w="1696" w:type="dxa"/>
            <w:vAlign w:val="center"/>
          </w:tcPr>
          <w:p>
            <w:pPr>
              <w:spacing w:line="500" w:lineRule="exact"/>
              <w:jc w:val="center"/>
              <w:rPr>
                <w:rFonts w:ascii="宋体" w:hAnsi="宋体" w:cs="宋体"/>
                <w:szCs w:val="22"/>
              </w:rPr>
            </w:pPr>
            <w:r>
              <w:rPr>
                <w:rFonts w:hint="eastAsia" w:ascii="宋体" w:hAnsi="宋体" w:cs="宋体"/>
                <w:szCs w:val="22"/>
              </w:rPr>
              <w:t>勘察负责人</w:t>
            </w:r>
          </w:p>
        </w:tc>
        <w:tc>
          <w:tcPr>
            <w:tcW w:w="1244" w:type="dxa"/>
            <w:vAlign w:val="center"/>
          </w:tcPr>
          <w:p>
            <w:pPr>
              <w:spacing w:line="500" w:lineRule="exact"/>
              <w:jc w:val="center"/>
              <w:rPr>
                <w:rFonts w:ascii="宋体" w:hAnsi="宋体" w:cs="宋体"/>
                <w:szCs w:val="22"/>
              </w:rPr>
            </w:pPr>
          </w:p>
        </w:tc>
        <w:tc>
          <w:tcPr>
            <w:tcW w:w="1575" w:type="dxa"/>
            <w:vAlign w:val="center"/>
          </w:tcPr>
          <w:p>
            <w:pPr>
              <w:spacing w:line="500" w:lineRule="exact"/>
              <w:jc w:val="center"/>
              <w:rPr>
                <w:rFonts w:ascii="宋体" w:hAnsi="宋体" w:cs="宋体"/>
                <w:szCs w:val="22"/>
              </w:rPr>
            </w:pPr>
          </w:p>
        </w:tc>
        <w:tc>
          <w:tcPr>
            <w:tcW w:w="1782" w:type="dxa"/>
            <w:vAlign w:val="center"/>
          </w:tcPr>
          <w:p>
            <w:pPr>
              <w:spacing w:line="500" w:lineRule="exact"/>
              <w:jc w:val="center"/>
              <w:rPr>
                <w:rFonts w:ascii="宋体" w:hAnsi="宋体" w:cs="宋体"/>
                <w:szCs w:val="22"/>
              </w:rPr>
            </w:pPr>
          </w:p>
        </w:tc>
        <w:tc>
          <w:tcPr>
            <w:tcW w:w="992" w:type="dxa"/>
            <w:vAlign w:val="center"/>
          </w:tcPr>
          <w:p>
            <w:pPr>
              <w:spacing w:line="500" w:lineRule="exact"/>
              <w:jc w:val="center"/>
              <w:rPr>
                <w:rFonts w:ascii="宋体" w:hAnsi="宋体" w:cs="宋体"/>
                <w:szCs w:val="22"/>
              </w:rPr>
            </w:pPr>
          </w:p>
        </w:tc>
        <w:tc>
          <w:tcPr>
            <w:tcW w:w="851" w:type="dxa"/>
            <w:vAlign w:val="center"/>
          </w:tcPr>
          <w:p>
            <w:pPr>
              <w:spacing w:line="500" w:lineRule="exact"/>
              <w:jc w:val="center"/>
              <w:rPr>
                <w:rFonts w:ascii="宋体" w:hAnsi="宋体" w:cs="宋体"/>
                <w:szCs w:val="22"/>
              </w:rPr>
            </w:pPr>
          </w:p>
        </w:tc>
        <w:tc>
          <w:tcPr>
            <w:tcW w:w="653" w:type="dxa"/>
            <w:vAlign w:val="center"/>
          </w:tcPr>
          <w:p>
            <w:pPr>
              <w:spacing w:line="500" w:lineRule="exact"/>
              <w:jc w:val="center"/>
              <w:rPr>
                <w:rFonts w:ascii="宋体" w:hAnsi="宋体"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9" w:hRule="atLeast"/>
          <w:jc w:val="center"/>
        </w:trPr>
        <w:tc>
          <w:tcPr>
            <w:tcW w:w="737" w:type="dxa"/>
            <w:vAlign w:val="center"/>
          </w:tcPr>
          <w:p>
            <w:pPr>
              <w:spacing w:line="500" w:lineRule="exact"/>
              <w:jc w:val="center"/>
              <w:rPr>
                <w:rFonts w:ascii="宋体" w:hAnsi="宋体" w:cs="宋体"/>
                <w:szCs w:val="22"/>
              </w:rPr>
            </w:pPr>
          </w:p>
        </w:tc>
        <w:tc>
          <w:tcPr>
            <w:tcW w:w="1696" w:type="dxa"/>
            <w:vAlign w:val="center"/>
          </w:tcPr>
          <w:p>
            <w:pPr>
              <w:spacing w:line="500" w:lineRule="exact"/>
              <w:jc w:val="center"/>
              <w:rPr>
                <w:rFonts w:ascii="宋体" w:hAnsi="宋体" w:cs="宋体"/>
                <w:szCs w:val="22"/>
              </w:rPr>
            </w:pPr>
            <w:r>
              <w:rPr>
                <w:rFonts w:hint="eastAsia" w:ascii="宋体" w:hAnsi="宋体" w:cs="宋体"/>
                <w:szCs w:val="22"/>
              </w:rPr>
              <w:t>……</w:t>
            </w:r>
          </w:p>
        </w:tc>
        <w:tc>
          <w:tcPr>
            <w:tcW w:w="1244" w:type="dxa"/>
            <w:vAlign w:val="center"/>
          </w:tcPr>
          <w:p>
            <w:pPr>
              <w:spacing w:line="500" w:lineRule="exact"/>
              <w:jc w:val="center"/>
              <w:rPr>
                <w:rFonts w:ascii="宋体" w:hAnsi="宋体" w:cs="宋体"/>
                <w:szCs w:val="22"/>
              </w:rPr>
            </w:pPr>
          </w:p>
        </w:tc>
        <w:tc>
          <w:tcPr>
            <w:tcW w:w="1575" w:type="dxa"/>
            <w:vAlign w:val="center"/>
          </w:tcPr>
          <w:p>
            <w:pPr>
              <w:spacing w:line="500" w:lineRule="exact"/>
              <w:jc w:val="center"/>
              <w:rPr>
                <w:rFonts w:ascii="宋体" w:hAnsi="宋体" w:cs="宋体"/>
                <w:szCs w:val="22"/>
              </w:rPr>
            </w:pPr>
          </w:p>
        </w:tc>
        <w:tc>
          <w:tcPr>
            <w:tcW w:w="1782" w:type="dxa"/>
            <w:vAlign w:val="center"/>
          </w:tcPr>
          <w:p>
            <w:pPr>
              <w:spacing w:line="500" w:lineRule="exact"/>
              <w:jc w:val="center"/>
              <w:rPr>
                <w:rFonts w:ascii="宋体" w:hAnsi="宋体" w:cs="宋体"/>
                <w:szCs w:val="22"/>
              </w:rPr>
            </w:pPr>
          </w:p>
        </w:tc>
        <w:tc>
          <w:tcPr>
            <w:tcW w:w="992" w:type="dxa"/>
            <w:vAlign w:val="center"/>
          </w:tcPr>
          <w:p>
            <w:pPr>
              <w:spacing w:line="500" w:lineRule="exact"/>
              <w:jc w:val="center"/>
              <w:rPr>
                <w:rFonts w:ascii="宋体" w:hAnsi="宋体" w:cs="宋体"/>
                <w:szCs w:val="22"/>
              </w:rPr>
            </w:pPr>
          </w:p>
        </w:tc>
        <w:tc>
          <w:tcPr>
            <w:tcW w:w="851" w:type="dxa"/>
            <w:vAlign w:val="center"/>
          </w:tcPr>
          <w:p>
            <w:pPr>
              <w:spacing w:line="500" w:lineRule="exact"/>
              <w:jc w:val="center"/>
              <w:rPr>
                <w:rFonts w:ascii="宋体" w:hAnsi="宋体" w:cs="宋体"/>
                <w:szCs w:val="22"/>
              </w:rPr>
            </w:pPr>
          </w:p>
        </w:tc>
        <w:tc>
          <w:tcPr>
            <w:tcW w:w="653" w:type="dxa"/>
            <w:vAlign w:val="center"/>
          </w:tcPr>
          <w:p>
            <w:pPr>
              <w:spacing w:line="500" w:lineRule="exact"/>
              <w:jc w:val="center"/>
              <w:rPr>
                <w:rFonts w:ascii="宋体" w:hAnsi="宋体" w:cs="宋体"/>
                <w:szCs w:val="22"/>
              </w:rPr>
            </w:pPr>
          </w:p>
        </w:tc>
      </w:tr>
    </w:tbl>
    <w:p>
      <w:pPr>
        <w:ind w:left="315" w:hanging="315" w:hangingChars="150"/>
        <w:rPr>
          <w:rFonts w:ascii="宋体" w:hAnsi="宋体" w:cs="Times New Roman"/>
          <w:sz w:val="21"/>
          <w:szCs w:val="21"/>
        </w:rPr>
      </w:pPr>
    </w:p>
    <w:p>
      <w:pPr>
        <w:ind w:left="315" w:hanging="315" w:hangingChars="150"/>
        <w:rPr>
          <w:rFonts w:ascii="宋体" w:hAnsi="宋体" w:cs="Times New Roman"/>
          <w:sz w:val="21"/>
          <w:szCs w:val="21"/>
        </w:rPr>
      </w:pPr>
    </w:p>
    <w:p>
      <w:pPr>
        <w:ind w:left="315" w:hanging="315" w:hangingChars="150"/>
        <w:rPr>
          <w:rFonts w:ascii="宋体" w:hAnsi="宋体" w:cs="Times New Roman"/>
          <w:sz w:val="21"/>
          <w:szCs w:val="21"/>
        </w:rPr>
      </w:pPr>
    </w:p>
    <w:p>
      <w:pPr>
        <w:rPr>
          <w:rFonts w:ascii="宋体" w:hAnsi="宋体" w:cs="宋体"/>
        </w:rPr>
      </w:pPr>
    </w:p>
    <w:p>
      <w:pPr>
        <w:rPr>
          <w:rFonts w:ascii="宋体" w:hAnsi="宋体" w:cs="宋体"/>
        </w:rPr>
      </w:pPr>
      <w:r>
        <w:rPr>
          <w:rFonts w:hint="eastAsia" w:ascii="宋体" w:hAnsi="宋体" w:cs="宋体"/>
        </w:rPr>
        <w:t>注：（1）以上人员应附______的复印件或扫描件( 所附证件资料限相关注册证、职业资格证、职称证、上岗证、身份证）。</w:t>
      </w:r>
    </w:p>
    <w:p>
      <w:pPr>
        <w:ind w:firstLine="220" w:firstLineChars="100"/>
        <w:rPr>
          <w:rFonts w:ascii="宋体" w:hAnsi="宋体" w:cs="宋体"/>
        </w:rPr>
      </w:pPr>
      <w:r>
        <w:rPr>
          <w:rFonts w:hint="eastAsia" w:ascii="宋体" w:hAnsi="宋体" w:cs="宋体"/>
        </w:rPr>
        <w:t xml:space="preserve">（2）□勘察□设计类人员的国家注册执业资格证明材料还须附建设行政主管部门查询页面网页截图。 </w:t>
      </w:r>
    </w:p>
    <w:p>
      <w:pPr>
        <w:ind w:firstLine="220" w:firstLineChars="100"/>
        <w:rPr>
          <w:rFonts w:ascii="宋体" w:hAnsi="宋体" w:cs="宋体"/>
        </w:rPr>
      </w:pPr>
      <w:r>
        <w:rPr>
          <w:rFonts w:hint="eastAsia" w:ascii="宋体" w:hAnsi="宋体" w:cs="宋体"/>
        </w:rPr>
        <w:t>（3）所附资料如不实、属于弄虚作假，取消中标资格。</w:t>
      </w:r>
    </w:p>
    <w:p>
      <w:pPr>
        <w:ind w:firstLine="220" w:firstLineChars="100"/>
        <w:rPr>
          <w:rFonts w:ascii="宋体" w:hAnsi="宋体" w:cs="宋体"/>
        </w:rPr>
      </w:pPr>
      <w:r>
        <w:rPr>
          <w:rFonts w:hint="eastAsia" w:ascii="宋体" w:hAnsi="宋体" w:cs="宋体"/>
        </w:rPr>
        <w:t>（4）表中所有空格内容均须填写，如确实不须填写或无法填写，应在空格中填写“无”。</w:t>
      </w:r>
    </w:p>
    <w:p>
      <w:pPr>
        <w:widowControl/>
        <w:spacing w:line="240" w:lineRule="auto"/>
        <w:rPr>
          <w:rFonts w:ascii="仿宋" w:hAnsi="仿宋" w:eastAsia="仿宋" w:cs="Times New Roman"/>
          <w:sz w:val="21"/>
          <w:szCs w:val="21"/>
        </w:rPr>
      </w:pPr>
      <w:r>
        <w:rPr>
          <w:rFonts w:ascii="仿宋" w:hAnsi="仿宋" w:eastAsia="仿宋" w:cs="Times New Roman"/>
          <w:sz w:val="21"/>
          <w:szCs w:val="21"/>
        </w:rPr>
        <w:br w:type="page"/>
      </w:r>
    </w:p>
    <w:p>
      <w:pPr>
        <w:rPr>
          <w:rFonts w:ascii="宋体" w:hAnsi="宋体"/>
          <w:szCs w:val="21"/>
        </w:rPr>
        <w:sectPr>
          <w:headerReference r:id="rId22" w:type="first"/>
          <w:footerReference r:id="rId25" w:type="first"/>
          <w:headerReference r:id="rId20" w:type="default"/>
          <w:footerReference r:id="rId23" w:type="default"/>
          <w:headerReference r:id="rId21" w:type="even"/>
          <w:footerReference r:id="rId24" w:type="even"/>
          <w:endnotePr>
            <w:numFmt w:val="decimal"/>
          </w:endnotePr>
          <w:pgSz w:w="11906" w:h="16838"/>
          <w:pgMar w:top="1134" w:right="1134" w:bottom="1134" w:left="1134" w:header="851" w:footer="992" w:gutter="0"/>
          <w:cols w:space="720" w:num="1"/>
          <w:docGrid w:linePitch="312" w:charSpace="0"/>
        </w:sectPr>
      </w:pPr>
    </w:p>
    <w:p>
      <w:pPr>
        <w:pStyle w:val="6"/>
        <w:jc w:val="center"/>
        <w:rPr>
          <w:b/>
          <w:bCs/>
        </w:rPr>
      </w:pPr>
      <w:bookmarkStart w:id="251" w:name="_Toc185047531"/>
      <w:r>
        <w:rPr>
          <w:rFonts w:hint="eastAsia"/>
          <w:b/>
          <w:bCs/>
        </w:rPr>
        <w:t>(二)项目经理简历表</w:t>
      </w:r>
    </w:p>
    <w:tbl>
      <w:tblPr>
        <w:tblStyle w:val="15"/>
        <w:tblW w:w="9406" w:type="dxa"/>
        <w:tblInd w:w="10" w:type="dxa"/>
        <w:tblLayout w:type="autofit"/>
        <w:tblCellMar>
          <w:top w:w="0" w:type="dxa"/>
          <w:left w:w="0" w:type="dxa"/>
          <w:bottom w:w="0" w:type="dxa"/>
          <w:right w:w="0" w:type="dxa"/>
        </w:tblCellMar>
      </w:tblPr>
      <w:tblGrid>
        <w:gridCol w:w="1246"/>
        <w:gridCol w:w="349"/>
        <w:gridCol w:w="1602"/>
        <w:gridCol w:w="1070"/>
        <w:gridCol w:w="888"/>
        <w:gridCol w:w="533"/>
        <w:gridCol w:w="1236"/>
        <w:gridCol w:w="719"/>
        <w:gridCol w:w="1763"/>
      </w:tblGrid>
      <w:tr>
        <w:tblPrEx>
          <w:tblCellMar>
            <w:top w:w="0" w:type="dxa"/>
            <w:left w:w="0" w:type="dxa"/>
            <w:bottom w:w="0" w:type="dxa"/>
            <w:right w:w="0" w:type="dxa"/>
          </w:tblCellMar>
        </w:tblPrEx>
        <w:trPr>
          <w:trHeight w:val="463" w:hRule="atLeast"/>
        </w:trPr>
        <w:tc>
          <w:tcPr>
            <w:tcW w:w="1595" w:type="dxa"/>
            <w:gridSpan w:val="2"/>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姓名</w:t>
            </w:r>
          </w:p>
        </w:tc>
        <w:tc>
          <w:tcPr>
            <w:tcW w:w="1602" w:type="dxa"/>
            <w:tcBorders>
              <w:top w:val="single" w:color="000000" w:sz="4" w:space="0"/>
              <w:left w:val="single" w:color="000000" w:sz="4" w:space="0"/>
              <w:bottom w:val="single" w:color="000000" w:sz="4" w:space="0"/>
              <w:right w:val="single" w:color="000000" w:sz="4" w:space="0"/>
            </w:tcBorders>
          </w:tcPr>
          <w:p/>
        </w:tc>
        <w:tc>
          <w:tcPr>
            <w:tcW w:w="107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年龄</w:t>
            </w:r>
          </w:p>
        </w:tc>
        <w:tc>
          <w:tcPr>
            <w:tcW w:w="1421" w:type="dxa"/>
            <w:gridSpan w:val="2"/>
            <w:tcBorders>
              <w:top w:val="single" w:color="000000" w:sz="4" w:space="0"/>
              <w:left w:val="single" w:color="000000" w:sz="4" w:space="0"/>
              <w:bottom w:val="single" w:color="000000" w:sz="4" w:space="0"/>
              <w:right w:val="single" w:color="000000" w:sz="4" w:space="0"/>
            </w:tcBorders>
          </w:tcPr>
          <w:p/>
        </w:tc>
        <w:tc>
          <w:tcPr>
            <w:tcW w:w="1955" w:type="dxa"/>
            <w:gridSpan w:val="2"/>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执业或职业资格</w:t>
            </w:r>
          </w:p>
        </w:tc>
        <w:tc>
          <w:tcPr>
            <w:tcW w:w="1763"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51" w:hRule="atLeast"/>
        </w:trPr>
        <w:tc>
          <w:tcPr>
            <w:tcW w:w="1595" w:type="dxa"/>
            <w:gridSpan w:val="2"/>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职称</w:t>
            </w:r>
          </w:p>
        </w:tc>
        <w:tc>
          <w:tcPr>
            <w:tcW w:w="1602" w:type="dxa"/>
            <w:tcBorders>
              <w:top w:val="single" w:color="000000" w:sz="4" w:space="0"/>
              <w:left w:val="single" w:color="000000" w:sz="4" w:space="0"/>
              <w:bottom w:val="single" w:color="000000" w:sz="4" w:space="0"/>
              <w:right w:val="single" w:color="000000" w:sz="4" w:space="0"/>
            </w:tcBorders>
          </w:tcPr>
          <w:p/>
        </w:tc>
        <w:tc>
          <w:tcPr>
            <w:tcW w:w="107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职务</w:t>
            </w:r>
          </w:p>
        </w:tc>
        <w:tc>
          <w:tcPr>
            <w:tcW w:w="1421" w:type="dxa"/>
            <w:gridSpan w:val="2"/>
            <w:tcBorders>
              <w:top w:val="single" w:color="000000" w:sz="4" w:space="0"/>
              <w:left w:val="single" w:color="000000" w:sz="4" w:space="0"/>
              <w:bottom w:val="single" w:color="000000" w:sz="4" w:space="0"/>
              <w:right w:val="single" w:color="000000" w:sz="4" w:space="0"/>
            </w:tcBorders>
          </w:tcPr>
          <w:p/>
        </w:tc>
        <w:tc>
          <w:tcPr>
            <w:tcW w:w="1955" w:type="dxa"/>
            <w:gridSpan w:val="2"/>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学          历</w:t>
            </w:r>
          </w:p>
        </w:tc>
        <w:tc>
          <w:tcPr>
            <w:tcW w:w="1763"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13" w:hRule="atLeast"/>
        </w:trPr>
        <w:tc>
          <w:tcPr>
            <w:tcW w:w="9406" w:type="dxa"/>
            <w:gridSpan w:val="9"/>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主要工作经历</w:t>
            </w:r>
          </w:p>
        </w:tc>
      </w:tr>
      <w:tr>
        <w:tblPrEx>
          <w:tblCellMar>
            <w:top w:w="0" w:type="dxa"/>
            <w:left w:w="0" w:type="dxa"/>
            <w:bottom w:w="0" w:type="dxa"/>
            <w:right w:w="0" w:type="dxa"/>
          </w:tblCellMar>
        </w:tblPrEx>
        <w:trPr>
          <w:trHeight w:val="613" w:hRule="atLeast"/>
        </w:trPr>
        <w:tc>
          <w:tcPr>
            <w:tcW w:w="1246"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时间</w:t>
            </w:r>
          </w:p>
        </w:tc>
        <w:tc>
          <w:tcPr>
            <w:tcW w:w="3909" w:type="dxa"/>
            <w:gridSpan w:val="4"/>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参加过的类似项目</w:t>
            </w:r>
          </w:p>
        </w:tc>
        <w:tc>
          <w:tcPr>
            <w:tcW w:w="1769" w:type="dxa"/>
            <w:gridSpan w:val="2"/>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担任职务</w:t>
            </w:r>
          </w:p>
        </w:tc>
        <w:tc>
          <w:tcPr>
            <w:tcW w:w="2482" w:type="dxa"/>
            <w:gridSpan w:val="2"/>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发包人及联系电话</w:t>
            </w:r>
          </w:p>
        </w:tc>
      </w:tr>
      <w:tr>
        <w:tblPrEx>
          <w:tblCellMar>
            <w:top w:w="0" w:type="dxa"/>
            <w:left w:w="0" w:type="dxa"/>
            <w:bottom w:w="0" w:type="dxa"/>
            <w:right w:w="0" w:type="dxa"/>
          </w:tblCellMar>
        </w:tblPrEx>
        <w:trPr>
          <w:trHeight w:val="613" w:hRule="atLeast"/>
        </w:trPr>
        <w:tc>
          <w:tcPr>
            <w:tcW w:w="1246" w:type="dxa"/>
            <w:tcBorders>
              <w:top w:val="single" w:color="000000" w:sz="4" w:space="0"/>
              <w:left w:val="single" w:color="000000" w:sz="4" w:space="0"/>
              <w:bottom w:val="single" w:color="000000" w:sz="4" w:space="0"/>
              <w:right w:val="single" w:color="000000" w:sz="4" w:space="0"/>
            </w:tcBorders>
            <w:vAlign w:val="center"/>
          </w:tcPr>
          <w:p/>
        </w:tc>
        <w:tc>
          <w:tcPr>
            <w:tcW w:w="3909" w:type="dxa"/>
            <w:gridSpan w:val="4"/>
            <w:tcBorders>
              <w:top w:val="single" w:color="000000" w:sz="4" w:space="0"/>
              <w:left w:val="single" w:color="000000" w:sz="4" w:space="0"/>
              <w:bottom w:val="single" w:color="000000" w:sz="4" w:space="0"/>
              <w:right w:val="single" w:color="000000" w:sz="4" w:space="0"/>
            </w:tcBorders>
            <w:vAlign w:val="center"/>
          </w:tcPr>
          <w:p/>
        </w:tc>
        <w:tc>
          <w:tcPr>
            <w:tcW w:w="1769" w:type="dxa"/>
            <w:gridSpan w:val="2"/>
            <w:tcBorders>
              <w:top w:val="single" w:color="000000" w:sz="4" w:space="0"/>
              <w:left w:val="single" w:color="000000" w:sz="4" w:space="0"/>
              <w:bottom w:val="single" w:color="000000" w:sz="4" w:space="0"/>
              <w:right w:val="single" w:color="000000" w:sz="4" w:space="0"/>
            </w:tcBorders>
            <w:vAlign w:val="center"/>
          </w:tcPr>
          <w:p/>
        </w:tc>
        <w:tc>
          <w:tcPr>
            <w:tcW w:w="2482" w:type="dxa"/>
            <w:gridSpan w:val="2"/>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13" w:hRule="atLeast"/>
        </w:trPr>
        <w:tc>
          <w:tcPr>
            <w:tcW w:w="1246" w:type="dxa"/>
            <w:tcBorders>
              <w:top w:val="single" w:color="000000" w:sz="4" w:space="0"/>
              <w:left w:val="single" w:color="000000" w:sz="4" w:space="0"/>
              <w:bottom w:val="single" w:color="000000" w:sz="4" w:space="0"/>
              <w:right w:val="single" w:color="000000" w:sz="4" w:space="0"/>
            </w:tcBorders>
            <w:vAlign w:val="center"/>
          </w:tcPr>
          <w:p/>
        </w:tc>
        <w:tc>
          <w:tcPr>
            <w:tcW w:w="3909" w:type="dxa"/>
            <w:gridSpan w:val="4"/>
            <w:tcBorders>
              <w:top w:val="single" w:color="000000" w:sz="4" w:space="0"/>
              <w:left w:val="single" w:color="000000" w:sz="4" w:space="0"/>
              <w:bottom w:val="single" w:color="000000" w:sz="4" w:space="0"/>
              <w:right w:val="single" w:color="000000" w:sz="4" w:space="0"/>
            </w:tcBorders>
            <w:vAlign w:val="center"/>
          </w:tcPr>
          <w:p/>
        </w:tc>
        <w:tc>
          <w:tcPr>
            <w:tcW w:w="1769" w:type="dxa"/>
            <w:gridSpan w:val="2"/>
            <w:tcBorders>
              <w:top w:val="single" w:color="000000" w:sz="4" w:space="0"/>
              <w:left w:val="single" w:color="000000" w:sz="4" w:space="0"/>
              <w:bottom w:val="single" w:color="000000" w:sz="4" w:space="0"/>
              <w:right w:val="single" w:color="000000" w:sz="4" w:space="0"/>
            </w:tcBorders>
            <w:vAlign w:val="center"/>
          </w:tcPr>
          <w:p/>
        </w:tc>
        <w:tc>
          <w:tcPr>
            <w:tcW w:w="2482" w:type="dxa"/>
            <w:gridSpan w:val="2"/>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13" w:hRule="atLeast"/>
        </w:trPr>
        <w:tc>
          <w:tcPr>
            <w:tcW w:w="1246" w:type="dxa"/>
            <w:tcBorders>
              <w:top w:val="single" w:color="000000" w:sz="4" w:space="0"/>
              <w:left w:val="single" w:color="000000" w:sz="4" w:space="0"/>
              <w:bottom w:val="single" w:color="000000" w:sz="4" w:space="0"/>
              <w:right w:val="single" w:color="000000" w:sz="4" w:space="0"/>
            </w:tcBorders>
            <w:vAlign w:val="center"/>
          </w:tcPr>
          <w:p/>
        </w:tc>
        <w:tc>
          <w:tcPr>
            <w:tcW w:w="3909" w:type="dxa"/>
            <w:gridSpan w:val="4"/>
            <w:tcBorders>
              <w:top w:val="single" w:color="000000" w:sz="4" w:space="0"/>
              <w:left w:val="single" w:color="000000" w:sz="4" w:space="0"/>
              <w:bottom w:val="single" w:color="000000" w:sz="4" w:space="0"/>
              <w:right w:val="single" w:color="000000" w:sz="4" w:space="0"/>
            </w:tcBorders>
            <w:vAlign w:val="center"/>
          </w:tcPr>
          <w:p/>
        </w:tc>
        <w:tc>
          <w:tcPr>
            <w:tcW w:w="1769" w:type="dxa"/>
            <w:gridSpan w:val="2"/>
            <w:tcBorders>
              <w:top w:val="single" w:color="000000" w:sz="4" w:space="0"/>
              <w:left w:val="single" w:color="000000" w:sz="4" w:space="0"/>
              <w:bottom w:val="single" w:color="000000" w:sz="4" w:space="0"/>
              <w:right w:val="single" w:color="000000" w:sz="4" w:space="0"/>
            </w:tcBorders>
            <w:vAlign w:val="center"/>
          </w:tcPr>
          <w:p/>
        </w:tc>
        <w:tc>
          <w:tcPr>
            <w:tcW w:w="2482" w:type="dxa"/>
            <w:gridSpan w:val="2"/>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13" w:hRule="atLeast"/>
        </w:trPr>
        <w:tc>
          <w:tcPr>
            <w:tcW w:w="1246" w:type="dxa"/>
            <w:tcBorders>
              <w:top w:val="single" w:color="000000" w:sz="4" w:space="0"/>
              <w:left w:val="single" w:color="000000" w:sz="4" w:space="0"/>
              <w:bottom w:val="single" w:color="000000" w:sz="4" w:space="0"/>
              <w:right w:val="single" w:color="000000" w:sz="4" w:space="0"/>
            </w:tcBorders>
            <w:vAlign w:val="center"/>
          </w:tcPr>
          <w:p/>
        </w:tc>
        <w:tc>
          <w:tcPr>
            <w:tcW w:w="3909" w:type="dxa"/>
            <w:gridSpan w:val="4"/>
            <w:tcBorders>
              <w:top w:val="single" w:color="000000" w:sz="4" w:space="0"/>
              <w:left w:val="single" w:color="000000" w:sz="4" w:space="0"/>
              <w:bottom w:val="single" w:color="000000" w:sz="4" w:space="0"/>
              <w:right w:val="single" w:color="000000" w:sz="4" w:space="0"/>
            </w:tcBorders>
            <w:vAlign w:val="center"/>
          </w:tcPr>
          <w:p/>
        </w:tc>
        <w:tc>
          <w:tcPr>
            <w:tcW w:w="1769" w:type="dxa"/>
            <w:gridSpan w:val="2"/>
            <w:tcBorders>
              <w:top w:val="single" w:color="000000" w:sz="4" w:space="0"/>
              <w:left w:val="single" w:color="000000" w:sz="4" w:space="0"/>
              <w:bottom w:val="single" w:color="000000" w:sz="4" w:space="0"/>
              <w:right w:val="single" w:color="000000" w:sz="4" w:space="0"/>
            </w:tcBorders>
            <w:vAlign w:val="center"/>
          </w:tcPr>
          <w:p/>
        </w:tc>
        <w:tc>
          <w:tcPr>
            <w:tcW w:w="2482" w:type="dxa"/>
            <w:gridSpan w:val="2"/>
            <w:tcBorders>
              <w:top w:val="single" w:color="000000" w:sz="4" w:space="0"/>
              <w:left w:val="single" w:color="000000" w:sz="4" w:space="0"/>
              <w:bottom w:val="single" w:color="000000" w:sz="4" w:space="0"/>
              <w:right w:val="single" w:color="000000" w:sz="4" w:space="0"/>
            </w:tcBorders>
            <w:vAlign w:val="center"/>
          </w:tcPr>
          <w:p/>
        </w:tc>
      </w:tr>
    </w:tbl>
    <w:p>
      <w:pPr>
        <w:jc w:val="both"/>
        <w:rPr>
          <w:rFonts w:ascii="宋体" w:hAnsi="宋体" w:cs="Times New Roman"/>
          <w:sz w:val="21"/>
          <w:szCs w:val="21"/>
        </w:rPr>
      </w:pPr>
    </w:p>
    <w:p/>
    <w:p>
      <w:r>
        <w:rPr>
          <w:rFonts w:hint="eastAsia"/>
        </w:rPr>
        <w:t>注：类似工程业绩要求，担任过(与拟建项目相类似)工程总承包项目经理、设计负责人、施工负责人或者项目总监理工程师。</w:t>
      </w:r>
    </w:p>
    <w:p>
      <w:pPr>
        <w:ind w:firstLine="440" w:firstLineChars="200"/>
      </w:pPr>
      <w:r>
        <w:t>类似工程业绩的合同或中标（中选）通知书均无法体现出所要求的建设规模或技术指标，则投标人还需提供项目业主盖章确认的其建设规模或技术指标或业绩时间的证明材料，投标人须将此证明材料</w:t>
      </w:r>
      <w:r>
        <w:rPr>
          <w:rFonts w:hint="eastAsia"/>
        </w:rPr>
        <w:t>复印件或扫描件</w:t>
      </w:r>
      <w:r>
        <w:t>放入投标文件中。</w:t>
      </w:r>
    </w:p>
    <w:p>
      <w:r>
        <w:br w:type="page"/>
      </w:r>
    </w:p>
    <w:p>
      <w:pPr>
        <w:pStyle w:val="6"/>
        <w:jc w:val="center"/>
        <w:rPr>
          <w:b/>
          <w:bCs/>
        </w:rPr>
      </w:pPr>
      <w:r>
        <w:rPr>
          <w:rFonts w:hint="eastAsia"/>
          <w:b/>
          <w:bCs/>
        </w:rPr>
        <w:t>(三)主要人员简历表</w:t>
      </w:r>
      <w:bookmarkEnd w:id="251"/>
    </w:p>
    <w:tbl>
      <w:tblPr>
        <w:tblStyle w:val="15"/>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46"/>
        <w:gridCol w:w="349"/>
        <w:gridCol w:w="1602"/>
        <w:gridCol w:w="1070"/>
        <w:gridCol w:w="888"/>
        <w:gridCol w:w="533"/>
        <w:gridCol w:w="1236"/>
        <w:gridCol w:w="719"/>
        <w:gridCol w:w="1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3" w:hRule="atLeast"/>
        </w:trPr>
        <w:tc>
          <w:tcPr>
            <w:tcW w:w="1595" w:type="dxa"/>
            <w:gridSpan w:val="2"/>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姓名</w:t>
            </w:r>
          </w:p>
        </w:tc>
        <w:tc>
          <w:tcPr>
            <w:tcW w:w="1602" w:type="dxa"/>
          </w:tcPr>
          <w:p>
            <w:pPr>
              <w:spacing w:line="500" w:lineRule="exact"/>
              <w:jc w:val="both"/>
              <w:rPr>
                <w:rFonts w:ascii="宋体" w:hAnsi="宋体" w:cs="Times New Roman"/>
                <w:sz w:val="21"/>
                <w:szCs w:val="21"/>
              </w:rPr>
            </w:pPr>
          </w:p>
        </w:tc>
        <w:tc>
          <w:tcPr>
            <w:tcW w:w="1070" w:type="dxa"/>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年龄</w:t>
            </w:r>
          </w:p>
        </w:tc>
        <w:tc>
          <w:tcPr>
            <w:tcW w:w="1421" w:type="dxa"/>
            <w:gridSpan w:val="2"/>
          </w:tcPr>
          <w:p>
            <w:pPr>
              <w:spacing w:line="500" w:lineRule="exact"/>
              <w:jc w:val="both"/>
              <w:rPr>
                <w:rFonts w:ascii="宋体" w:hAnsi="宋体" w:cs="Times New Roman"/>
                <w:sz w:val="21"/>
                <w:szCs w:val="21"/>
              </w:rPr>
            </w:pPr>
          </w:p>
        </w:tc>
        <w:tc>
          <w:tcPr>
            <w:tcW w:w="1955" w:type="dxa"/>
            <w:gridSpan w:val="2"/>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学          历</w:t>
            </w:r>
          </w:p>
        </w:tc>
        <w:tc>
          <w:tcPr>
            <w:tcW w:w="1763" w:type="dxa"/>
          </w:tcPr>
          <w:p>
            <w:pPr>
              <w:spacing w:line="500" w:lineRule="exact"/>
              <w:jc w:val="both"/>
              <w:rPr>
                <w:rFonts w:ascii="宋体" w:hAnsi="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1" w:hRule="atLeast"/>
        </w:trPr>
        <w:tc>
          <w:tcPr>
            <w:tcW w:w="1595" w:type="dxa"/>
            <w:gridSpan w:val="2"/>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职称</w:t>
            </w:r>
          </w:p>
        </w:tc>
        <w:tc>
          <w:tcPr>
            <w:tcW w:w="1602" w:type="dxa"/>
          </w:tcPr>
          <w:p>
            <w:pPr>
              <w:spacing w:line="500" w:lineRule="exact"/>
              <w:jc w:val="both"/>
              <w:rPr>
                <w:rFonts w:ascii="宋体" w:hAnsi="宋体" w:cs="Times New Roman"/>
                <w:sz w:val="21"/>
                <w:szCs w:val="21"/>
              </w:rPr>
            </w:pPr>
          </w:p>
        </w:tc>
        <w:tc>
          <w:tcPr>
            <w:tcW w:w="1070" w:type="dxa"/>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职务</w:t>
            </w:r>
          </w:p>
        </w:tc>
        <w:tc>
          <w:tcPr>
            <w:tcW w:w="1421" w:type="dxa"/>
            <w:gridSpan w:val="2"/>
          </w:tcPr>
          <w:p>
            <w:pPr>
              <w:spacing w:line="500" w:lineRule="exact"/>
              <w:jc w:val="both"/>
              <w:rPr>
                <w:rFonts w:ascii="宋体" w:hAnsi="宋体" w:cs="Times New Roman"/>
                <w:sz w:val="21"/>
                <w:szCs w:val="21"/>
              </w:rPr>
            </w:pPr>
          </w:p>
        </w:tc>
        <w:tc>
          <w:tcPr>
            <w:tcW w:w="1955" w:type="dxa"/>
            <w:gridSpan w:val="2"/>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拟在本合同任职</w:t>
            </w:r>
          </w:p>
        </w:tc>
        <w:tc>
          <w:tcPr>
            <w:tcW w:w="1763" w:type="dxa"/>
          </w:tcPr>
          <w:p>
            <w:pPr>
              <w:spacing w:line="500" w:lineRule="exact"/>
              <w:jc w:val="both"/>
              <w:rPr>
                <w:rFonts w:ascii="宋体" w:hAnsi="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9406" w:type="dxa"/>
            <w:gridSpan w:val="9"/>
            <w:vAlign w:val="center"/>
          </w:tcPr>
          <w:p>
            <w:pPr>
              <w:spacing w:line="500" w:lineRule="exact"/>
              <w:ind w:firstLine="4200" w:firstLineChars="2000"/>
              <w:jc w:val="both"/>
              <w:rPr>
                <w:rFonts w:ascii="宋体" w:hAnsi="宋体" w:cs="Times New Roman"/>
                <w:sz w:val="21"/>
                <w:szCs w:val="21"/>
              </w:rPr>
            </w:pPr>
            <w:r>
              <w:rPr>
                <w:rFonts w:hint="eastAsia" w:ascii="宋体" w:hAnsi="宋体" w:cs="Times New Roman"/>
                <w:sz w:val="21"/>
                <w:szCs w:val="21"/>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1246" w:type="dxa"/>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时间</w:t>
            </w:r>
          </w:p>
        </w:tc>
        <w:tc>
          <w:tcPr>
            <w:tcW w:w="3909" w:type="dxa"/>
            <w:gridSpan w:val="4"/>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参加过的类似项目</w:t>
            </w:r>
          </w:p>
        </w:tc>
        <w:tc>
          <w:tcPr>
            <w:tcW w:w="1769" w:type="dxa"/>
            <w:gridSpan w:val="2"/>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担任职务</w:t>
            </w:r>
          </w:p>
        </w:tc>
        <w:tc>
          <w:tcPr>
            <w:tcW w:w="2482" w:type="dxa"/>
            <w:gridSpan w:val="2"/>
            <w:vAlign w:val="center"/>
          </w:tcPr>
          <w:p>
            <w:pPr>
              <w:spacing w:line="500" w:lineRule="exact"/>
              <w:jc w:val="center"/>
              <w:rPr>
                <w:rFonts w:ascii="宋体" w:hAnsi="宋体" w:cs="Times New Roman"/>
                <w:sz w:val="21"/>
                <w:szCs w:val="21"/>
              </w:rPr>
            </w:pPr>
            <w:r>
              <w:rPr>
                <w:rFonts w:hint="eastAsia" w:ascii="宋体" w:hAnsi="宋体" w:cs="Times New Roman"/>
                <w:sz w:val="21"/>
                <w:szCs w:val="21"/>
              </w:rPr>
              <w:t xml:space="preserve">发包人及联系电话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1246" w:type="dxa"/>
            <w:vAlign w:val="center"/>
          </w:tcPr>
          <w:p>
            <w:pPr>
              <w:spacing w:line="500" w:lineRule="exact"/>
              <w:jc w:val="center"/>
              <w:rPr>
                <w:rFonts w:ascii="宋体" w:hAnsi="宋体" w:cs="Times New Roman"/>
                <w:sz w:val="21"/>
                <w:szCs w:val="21"/>
              </w:rPr>
            </w:pPr>
          </w:p>
        </w:tc>
        <w:tc>
          <w:tcPr>
            <w:tcW w:w="3909" w:type="dxa"/>
            <w:gridSpan w:val="4"/>
            <w:vAlign w:val="center"/>
          </w:tcPr>
          <w:p>
            <w:pPr>
              <w:spacing w:line="500" w:lineRule="exact"/>
              <w:jc w:val="center"/>
              <w:rPr>
                <w:rFonts w:ascii="宋体" w:hAnsi="宋体" w:cs="Times New Roman"/>
                <w:sz w:val="21"/>
                <w:szCs w:val="21"/>
              </w:rPr>
            </w:pPr>
          </w:p>
        </w:tc>
        <w:tc>
          <w:tcPr>
            <w:tcW w:w="1769" w:type="dxa"/>
            <w:gridSpan w:val="2"/>
            <w:vAlign w:val="center"/>
          </w:tcPr>
          <w:p>
            <w:pPr>
              <w:spacing w:line="500" w:lineRule="exact"/>
              <w:jc w:val="center"/>
              <w:rPr>
                <w:rFonts w:ascii="宋体" w:hAnsi="宋体" w:cs="Times New Roman"/>
                <w:sz w:val="21"/>
                <w:szCs w:val="21"/>
              </w:rPr>
            </w:pPr>
          </w:p>
        </w:tc>
        <w:tc>
          <w:tcPr>
            <w:tcW w:w="2482" w:type="dxa"/>
            <w:gridSpan w:val="2"/>
            <w:vAlign w:val="center"/>
          </w:tcPr>
          <w:p>
            <w:pPr>
              <w:spacing w:line="500" w:lineRule="exact"/>
              <w:jc w:val="center"/>
              <w:rPr>
                <w:rFonts w:ascii="宋体" w:hAnsi="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1246" w:type="dxa"/>
            <w:vAlign w:val="center"/>
          </w:tcPr>
          <w:p>
            <w:pPr>
              <w:spacing w:line="500" w:lineRule="exact"/>
              <w:jc w:val="center"/>
              <w:rPr>
                <w:rFonts w:ascii="宋体" w:hAnsi="宋体" w:cs="Times New Roman"/>
                <w:sz w:val="21"/>
                <w:szCs w:val="21"/>
              </w:rPr>
            </w:pPr>
          </w:p>
        </w:tc>
        <w:tc>
          <w:tcPr>
            <w:tcW w:w="3909" w:type="dxa"/>
            <w:gridSpan w:val="4"/>
            <w:vAlign w:val="center"/>
          </w:tcPr>
          <w:p>
            <w:pPr>
              <w:spacing w:line="500" w:lineRule="exact"/>
              <w:jc w:val="center"/>
              <w:rPr>
                <w:rFonts w:ascii="宋体" w:hAnsi="宋体" w:cs="Times New Roman"/>
                <w:sz w:val="21"/>
                <w:szCs w:val="21"/>
              </w:rPr>
            </w:pPr>
          </w:p>
        </w:tc>
        <w:tc>
          <w:tcPr>
            <w:tcW w:w="1769" w:type="dxa"/>
            <w:gridSpan w:val="2"/>
            <w:vAlign w:val="center"/>
          </w:tcPr>
          <w:p>
            <w:pPr>
              <w:spacing w:line="500" w:lineRule="exact"/>
              <w:jc w:val="center"/>
              <w:rPr>
                <w:rFonts w:ascii="宋体" w:hAnsi="宋体" w:cs="Times New Roman"/>
                <w:sz w:val="21"/>
                <w:szCs w:val="21"/>
              </w:rPr>
            </w:pPr>
          </w:p>
        </w:tc>
        <w:tc>
          <w:tcPr>
            <w:tcW w:w="2482" w:type="dxa"/>
            <w:gridSpan w:val="2"/>
            <w:vAlign w:val="center"/>
          </w:tcPr>
          <w:p>
            <w:pPr>
              <w:spacing w:line="500" w:lineRule="exact"/>
              <w:jc w:val="center"/>
              <w:rPr>
                <w:rFonts w:ascii="宋体" w:hAnsi="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1246" w:type="dxa"/>
            <w:vAlign w:val="center"/>
          </w:tcPr>
          <w:p>
            <w:pPr>
              <w:spacing w:line="500" w:lineRule="exact"/>
              <w:jc w:val="center"/>
              <w:rPr>
                <w:rFonts w:ascii="宋体" w:hAnsi="宋体" w:cs="Times New Roman"/>
                <w:sz w:val="21"/>
                <w:szCs w:val="21"/>
              </w:rPr>
            </w:pPr>
          </w:p>
        </w:tc>
        <w:tc>
          <w:tcPr>
            <w:tcW w:w="3909" w:type="dxa"/>
            <w:gridSpan w:val="4"/>
            <w:vAlign w:val="center"/>
          </w:tcPr>
          <w:p>
            <w:pPr>
              <w:spacing w:line="500" w:lineRule="exact"/>
              <w:jc w:val="center"/>
              <w:rPr>
                <w:rFonts w:ascii="宋体" w:hAnsi="宋体" w:cs="Times New Roman"/>
                <w:sz w:val="21"/>
                <w:szCs w:val="21"/>
              </w:rPr>
            </w:pPr>
          </w:p>
        </w:tc>
        <w:tc>
          <w:tcPr>
            <w:tcW w:w="1769" w:type="dxa"/>
            <w:gridSpan w:val="2"/>
            <w:vAlign w:val="center"/>
          </w:tcPr>
          <w:p>
            <w:pPr>
              <w:spacing w:line="500" w:lineRule="exact"/>
              <w:jc w:val="center"/>
              <w:rPr>
                <w:rFonts w:ascii="宋体" w:hAnsi="宋体" w:cs="Times New Roman"/>
                <w:sz w:val="21"/>
                <w:szCs w:val="21"/>
              </w:rPr>
            </w:pPr>
          </w:p>
        </w:tc>
        <w:tc>
          <w:tcPr>
            <w:tcW w:w="2482" w:type="dxa"/>
            <w:gridSpan w:val="2"/>
            <w:vAlign w:val="center"/>
          </w:tcPr>
          <w:p>
            <w:pPr>
              <w:spacing w:line="500" w:lineRule="exact"/>
              <w:jc w:val="center"/>
              <w:rPr>
                <w:rFonts w:ascii="宋体" w:hAnsi="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1246" w:type="dxa"/>
            <w:vAlign w:val="center"/>
          </w:tcPr>
          <w:p>
            <w:pPr>
              <w:spacing w:line="500" w:lineRule="exact"/>
              <w:jc w:val="center"/>
              <w:rPr>
                <w:rFonts w:ascii="宋体" w:hAnsi="宋体" w:cs="Times New Roman"/>
                <w:sz w:val="21"/>
                <w:szCs w:val="21"/>
              </w:rPr>
            </w:pPr>
          </w:p>
        </w:tc>
        <w:tc>
          <w:tcPr>
            <w:tcW w:w="3909" w:type="dxa"/>
            <w:gridSpan w:val="4"/>
            <w:vAlign w:val="center"/>
          </w:tcPr>
          <w:p>
            <w:pPr>
              <w:spacing w:line="500" w:lineRule="exact"/>
              <w:jc w:val="center"/>
              <w:rPr>
                <w:rFonts w:ascii="宋体" w:hAnsi="宋体" w:cs="Times New Roman"/>
                <w:sz w:val="21"/>
                <w:szCs w:val="21"/>
              </w:rPr>
            </w:pPr>
          </w:p>
        </w:tc>
        <w:tc>
          <w:tcPr>
            <w:tcW w:w="1769" w:type="dxa"/>
            <w:gridSpan w:val="2"/>
            <w:vAlign w:val="center"/>
          </w:tcPr>
          <w:p>
            <w:pPr>
              <w:spacing w:line="500" w:lineRule="exact"/>
              <w:jc w:val="center"/>
              <w:rPr>
                <w:rFonts w:ascii="宋体" w:hAnsi="宋体" w:cs="Times New Roman"/>
                <w:sz w:val="21"/>
                <w:szCs w:val="21"/>
              </w:rPr>
            </w:pPr>
          </w:p>
        </w:tc>
        <w:tc>
          <w:tcPr>
            <w:tcW w:w="2482" w:type="dxa"/>
            <w:gridSpan w:val="2"/>
            <w:vAlign w:val="center"/>
          </w:tcPr>
          <w:p>
            <w:pPr>
              <w:spacing w:line="500" w:lineRule="exact"/>
              <w:jc w:val="center"/>
              <w:rPr>
                <w:rFonts w:ascii="宋体" w:hAnsi="宋体" w:cs="Times New Roman"/>
                <w:sz w:val="21"/>
                <w:szCs w:val="21"/>
              </w:rPr>
            </w:pPr>
          </w:p>
        </w:tc>
      </w:tr>
    </w:tbl>
    <w:p>
      <w:pPr>
        <w:jc w:val="both"/>
        <w:rPr>
          <w:rFonts w:ascii="宋体" w:hAnsi="宋体" w:cs="Times New Roman"/>
          <w:sz w:val="21"/>
          <w:szCs w:val="21"/>
        </w:rPr>
      </w:pPr>
    </w:p>
    <w:p>
      <w:pPr>
        <w:jc w:val="both"/>
        <w:rPr>
          <w:rFonts w:ascii="仿宋" w:hAnsi="仿宋" w:eastAsia="仿宋" w:cs="Times New Roman"/>
          <w:sz w:val="21"/>
          <w:szCs w:val="21"/>
        </w:rPr>
      </w:pPr>
    </w:p>
    <w:p>
      <w:pPr>
        <w:jc w:val="both"/>
        <w:rPr>
          <w:rFonts w:ascii="仿宋" w:hAnsi="仿宋" w:eastAsia="仿宋" w:cs="Times New Roman"/>
          <w:sz w:val="21"/>
          <w:szCs w:val="21"/>
        </w:rPr>
      </w:pPr>
    </w:p>
    <w:p>
      <w:pPr>
        <w:jc w:val="both"/>
        <w:rPr>
          <w:rFonts w:ascii="仿宋" w:hAnsi="仿宋" w:eastAsia="仿宋" w:cs="Times New Roman"/>
          <w:sz w:val="21"/>
          <w:szCs w:val="21"/>
        </w:rPr>
      </w:pPr>
    </w:p>
    <w:p>
      <w:pPr>
        <w:jc w:val="both"/>
        <w:rPr>
          <w:rFonts w:ascii="仿宋" w:hAnsi="仿宋" w:eastAsia="仿宋" w:cs="Times New Roman"/>
          <w:sz w:val="21"/>
          <w:szCs w:val="21"/>
        </w:rPr>
      </w:pPr>
    </w:p>
    <w:p/>
    <w:p>
      <w:r>
        <w:rPr>
          <w:rFonts w:hint="eastAsia"/>
        </w:rPr>
        <w:t>注：</w:t>
      </w:r>
    </w:p>
    <w:p>
      <w:r>
        <w:rPr>
          <w:rFonts w:hint="eastAsia"/>
        </w:rPr>
        <w:t>○（1）不需提供主要人员参加的类似工程业绩证明材料。</w:t>
      </w:r>
    </w:p>
    <w:p>
      <w:r>
        <w:rPr>
          <w:rFonts w:hint="eastAsia"/>
        </w:rPr>
        <w:t>○（1）资格条件和评标办法中有其他要求的应按要求提供相关证明材料扫描件。若要求施工负责人业绩，则施工负责人业绩以竣工验收报告中载明的施工项目负责人为准。</w:t>
      </w:r>
    </w:p>
    <w:p>
      <w:pPr>
        <w:ind w:firstLine="220" w:firstLineChars="100"/>
      </w:pPr>
      <w:r>
        <w:rPr>
          <w:rFonts w:hint="eastAsia"/>
        </w:rPr>
        <w:t>（</w:t>
      </w:r>
      <w:r>
        <w:t>2）类似工程业绩的合同或中标（中选）通知书均无法体现出所要求的建设规模或技术指标，则投标人还需提供项目业主盖章确认的其建设规模或技术指标或业绩时间的证明材料，投标人须将此证明材料</w:t>
      </w:r>
      <w:r>
        <w:rPr>
          <w:rFonts w:hint="eastAsia"/>
        </w:rPr>
        <w:t>复印件或扫描件</w:t>
      </w:r>
      <w:r>
        <w:t>放入投标文件中。</w:t>
      </w:r>
    </w:p>
    <w:p>
      <w:pPr>
        <w:ind w:firstLine="220" w:firstLineChars="100"/>
      </w:pPr>
      <w:r>
        <w:rPr>
          <w:rFonts w:hint="eastAsia"/>
        </w:rPr>
        <w:t>（</w:t>
      </w:r>
      <w:r>
        <w:t>3）</w:t>
      </w:r>
      <w:r>
        <w:rPr>
          <w:rFonts w:hint="eastAsia"/>
        </w:rPr>
        <w:t>所提供类似工程业绩须符合企业的资质等级，超越资质等级取得的类似工程业绩以及在取得相应资质等级时间以前越级承担（含不具备资质非法承担）的业绩均为无效类似工程业绩。</w:t>
      </w:r>
    </w:p>
    <w:p>
      <w:pPr>
        <w:jc w:val="both"/>
        <w:rPr>
          <w:rFonts w:ascii="仿宋" w:hAnsi="仿宋" w:eastAsia="仿宋" w:cs="Times New Roman"/>
          <w:sz w:val="21"/>
          <w:szCs w:val="21"/>
        </w:rPr>
      </w:pPr>
      <w:r>
        <w:rPr>
          <w:rFonts w:ascii="仿宋" w:hAnsi="仿宋" w:eastAsia="仿宋" w:cs="Times New Roman"/>
          <w:sz w:val="21"/>
          <w:szCs w:val="21"/>
        </w:rPr>
        <w:br w:type="page"/>
      </w:r>
    </w:p>
    <w:p>
      <w:pPr>
        <w:pStyle w:val="5"/>
        <w:jc w:val="center"/>
      </w:pPr>
      <w:bookmarkStart w:id="252" w:name="_Toc4659"/>
      <w:bookmarkStart w:id="253" w:name="_Toc20246"/>
      <w:r>
        <w:rPr>
          <w:rFonts w:hint="eastAsia"/>
        </w:rPr>
        <w:t>六、资格审查资料</w:t>
      </w:r>
      <w:bookmarkEnd w:id="252"/>
      <w:bookmarkEnd w:id="253"/>
    </w:p>
    <w:p>
      <w:pPr>
        <w:pStyle w:val="6"/>
        <w:jc w:val="center"/>
        <w:rPr>
          <w:b/>
          <w:bCs/>
        </w:rPr>
      </w:pPr>
      <w:bookmarkStart w:id="254" w:name="_Toc197135937"/>
      <w:r>
        <w:rPr>
          <w:rFonts w:hint="eastAsia"/>
          <w:b/>
          <w:bCs/>
        </w:rPr>
        <w:t>(一)投标人基本情况表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
        <w:gridCol w:w="1548"/>
        <w:gridCol w:w="12"/>
        <w:gridCol w:w="958"/>
        <w:gridCol w:w="951"/>
        <w:gridCol w:w="840"/>
        <w:gridCol w:w="420"/>
        <w:gridCol w:w="311"/>
        <w:gridCol w:w="1078"/>
        <w:gridCol w:w="490"/>
        <w:gridCol w:w="860"/>
        <w:gridCol w:w="2152"/>
        <w:gridCol w:w="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9" w:type="dxa"/>
          <w:trHeight w:val="580" w:hRule="atLeast"/>
          <w:jc w:val="center"/>
        </w:trPr>
        <w:tc>
          <w:tcPr>
            <w:tcW w:w="157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投标人名称</w:t>
            </w:r>
          </w:p>
        </w:tc>
        <w:tc>
          <w:tcPr>
            <w:tcW w:w="8072"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trHeight w:val="611"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注册地址</w:t>
            </w:r>
          </w:p>
        </w:tc>
        <w:tc>
          <w:tcPr>
            <w:tcW w:w="3480"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邮政编码</w:t>
            </w:r>
          </w:p>
        </w:tc>
        <w:tc>
          <w:tcPr>
            <w:tcW w:w="3521"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cantSplit/>
          <w:trHeight w:val="605" w:hRule="atLeas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联系方式</w:t>
            </w:r>
          </w:p>
        </w:tc>
        <w:tc>
          <w:tcPr>
            <w:tcW w:w="95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电 话</w:t>
            </w:r>
          </w:p>
        </w:tc>
        <w:tc>
          <w:tcPr>
            <w:tcW w:w="3521"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cantSplit/>
          <w:trHeight w:val="613"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95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传  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网 址</w:t>
            </w:r>
          </w:p>
        </w:tc>
        <w:tc>
          <w:tcPr>
            <w:tcW w:w="3521"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trHeight w:val="614"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组织结构</w:t>
            </w:r>
          </w:p>
        </w:tc>
        <w:tc>
          <w:tcPr>
            <w:tcW w:w="807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trHeight w:val="608"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法定代表人</w:t>
            </w:r>
          </w:p>
        </w:tc>
        <w:tc>
          <w:tcPr>
            <w:tcW w:w="95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姓名</w:t>
            </w:r>
          </w:p>
        </w:tc>
        <w:tc>
          <w:tcPr>
            <w:tcW w:w="95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86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电话</w:t>
            </w:r>
          </w:p>
        </w:tc>
        <w:tc>
          <w:tcPr>
            <w:tcW w:w="2171"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trHeight w:val="602"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技术负责人</w:t>
            </w:r>
          </w:p>
        </w:tc>
        <w:tc>
          <w:tcPr>
            <w:tcW w:w="95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姓名</w:t>
            </w:r>
          </w:p>
        </w:tc>
        <w:tc>
          <w:tcPr>
            <w:tcW w:w="95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86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电话</w:t>
            </w:r>
          </w:p>
        </w:tc>
        <w:tc>
          <w:tcPr>
            <w:tcW w:w="2171"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trHeight w:val="624"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成立时间</w:t>
            </w:r>
          </w:p>
        </w:tc>
        <w:tc>
          <w:tcPr>
            <w:tcW w:w="190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6170"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10" w:firstLineChars="50"/>
              <w:jc w:val="center"/>
              <w:rPr>
                <w:rFonts w:ascii="宋体" w:hAnsi="宋体" w:cs="Times New Roman"/>
                <w:szCs w:val="22"/>
              </w:rPr>
            </w:pPr>
            <w:r>
              <w:rPr>
                <w:rFonts w:ascii="宋体" w:hAnsi="宋体" w:cs="Times New Roman"/>
                <w:szCs w:val="22"/>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cantSplit/>
          <w:trHeight w:val="658"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企业资质等级</w:t>
            </w:r>
          </w:p>
        </w:tc>
        <w:tc>
          <w:tcPr>
            <w:tcW w:w="190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其中</w:t>
            </w: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项目经理</w:t>
            </w:r>
          </w:p>
        </w:tc>
        <w:tc>
          <w:tcPr>
            <w:tcW w:w="303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cantSplit/>
          <w:trHeight w:val="610"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营业执照号</w:t>
            </w:r>
          </w:p>
        </w:tc>
        <w:tc>
          <w:tcPr>
            <w:tcW w:w="190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2299" w:type="dxa"/>
            <w:gridSpan w:val="4"/>
            <w:tcBorders>
              <w:top w:val="single" w:color="auto" w:sz="4" w:space="0"/>
              <w:left w:val="single" w:color="auto" w:sz="4" w:space="0"/>
              <w:bottom w:val="single" w:color="auto" w:sz="4" w:space="0"/>
              <w:right w:val="single" w:color="auto" w:sz="4" w:space="0"/>
            </w:tcBorders>
          </w:tcPr>
          <w:p>
            <w:pPr>
              <w:topLinePunct/>
              <w:spacing w:line="440" w:lineRule="exact"/>
              <w:jc w:val="center"/>
              <w:rPr>
                <w:rFonts w:ascii="宋体" w:hAnsi="宋体" w:cs="Times New Roman"/>
                <w:szCs w:val="22"/>
              </w:rPr>
            </w:pPr>
            <w:r>
              <w:rPr>
                <w:rFonts w:hint="eastAsia" w:ascii="宋体" w:hAnsi="宋体" w:cs="宋体"/>
                <w:szCs w:val="22"/>
              </w:rPr>
              <w:t>专业技术人员</w:t>
            </w:r>
          </w:p>
        </w:tc>
        <w:tc>
          <w:tcPr>
            <w:tcW w:w="303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cantSplit/>
          <w:trHeight w:val="604"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注册资金</w:t>
            </w:r>
          </w:p>
        </w:tc>
        <w:tc>
          <w:tcPr>
            <w:tcW w:w="190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2299" w:type="dxa"/>
            <w:gridSpan w:val="4"/>
            <w:tcBorders>
              <w:top w:val="single" w:color="auto" w:sz="4" w:space="0"/>
              <w:left w:val="single" w:color="auto" w:sz="4" w:space="0"/>
              <w:bottom w:val="single" w:color="auto" w:sz="4" w:space="0"/>
              <w:right w:val="single" w:color="auto" w:sz="4" w:space="0"/>
            </w:tcBorders>
          </w:tcPr>
          <w:p>
            <w:pPr>
              <w:topLinePunct/>
              <w:spacing w:line="440" w:lineRule="exact"/>
              <w:jc w:val="center"/>
              <w:rPr>
                <w:rFonts w:ascii="宋体" w:hAnsi="宋体" w:cs="Times New Roman"/>
                <w:szCs w:val="22"/>
              </w:rPr>
            </w:pPr>
            <w:r>
              <w:rPr>
                <w:rFonts w:hint="eastAsia" w:ascii="宋体" w:hAnsi="宋体" w:cs="宋体"/>
                <w:szCs w:val="22"/>
              </w:rPr>
              <w:t>注册类人员</w:t>
            </w:r>
          </w:p>
        </w:tc>
        <w:tc>
          <w:tcPr>
            <w:tcW w:w="303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cantSplit/>
          <w:trHeight w:val="626"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开户银行</w:t>
            </w:r>
          </w:p>
        </w:tc>
        <w:tc>
          <w:tcPr>
            <w:tcW w:w="190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2299" w:type="dxa"/>
            <w:gridSpan w:val="4"/>
            <w:tcBorders>
              <w:top w:val="single" w:color="auto" w:sz="4" w:space="0"/>
              <w:left w:val="single" w:color="auto" w:sz="4" w:space="0"/>
              <w:bottom w:val="single" w:color="auto" w:sz="4" w:space="0"/>
              <w:right w:val="single" w:color="auto" w:sz="4" w:space="0"/>
            </w:tcBorders>
          </w:tcPr>
          <w:p>
            <w:pPr>
              <w:topLinePunct/>
              <w:spacing w:line="440" w:lineRule="exact"/>
              <w:jc w:val="center"/>
              <w:rPr>
                <w:rFonts w:ascii="宋体" w:hAnsi="宋体" w:cs="Times New Roman"/>
                <w:szCs w:val="22"/>
              </w:rPr>
            </w:pPr>
            <w:r>
              <w:rPr>
                <w:rFonts w:hint="eastAsia" w:ascii="宋体" w:hAnsi="宋体" w:cs="宋体"/>
                <w:szCs w:val="22"/>
              </w:rPr>
              <w:t>…</w:t>
            </w:r>
          </w:p>
        </w:tc>
        <w:tc>
          <w:tcPr>
            <w:tcW w:w="303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cantSplit/>
          <w:trHeight w:val="606"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账号</w:t>
            </w:r>
          </w:p>
        </w:tc>
        <w:tc>
          <w:tcPr>
            <w:tcW w:w="190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c>
          <w:tcPr>
            <w:tcW w:w="2299" w:type="dxa"/>
            <w:gridSpan w:val="4"/>
            <w:tcBorders>
              <w:top w:val="single" w:color="auto" w:sz="4" w:space="0"/>
              <w:left w:val="single" w:color="auto" w:sz="4" w:space="0"/>
              <w:bottom w:val="single" w:color="auto" w:sz="4" w:space="0"/>
              <w:right w:val="single" w:color="auto" w:sz="4" w:space="0"/>
            </w:tcBorders>
          </w:tcPr>
          <w:p>
            <w:pPr>
              <w:topLinePunct/>
              <w:spacing w:line="440" w:lineRule="exact"/>
              <w:jc w:val="center"/>
              <w:rPr>
                <w:rFonts w:ascii="宋体" w:hAnsi="宋体" w:cs="Times New Roman"/>
                <w:szCs w:val="28"/>
              </w:rPr>
            </w:pPr>
            <w:r>
              <w:rPr>
                <w:rFonts w:hint="eastAsia" w:ascii="宋体" w:hAnsi="宋体" w:cs="宋体"/>
                <w:szCs w:val="22"/>
              </w:rPr>
              <w:t>…</w:t>
            </w:r>
          </w:p>
        </w:tc>
        <w:tc>
          <w:tcPr>
            <w:tcW w:w="303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trHeight w:val="1064" w:hRule="atLeast"/>
          <w:jc w:val="center"/>
        </w:trPr>
        <w:tc>
          <w:tcPr>
            <w:tcW w:w="1560" w:type="dxa"/>
            <w:gridSpan w:val="2"/>
            <w:tcBorders>
              <w:top w:val="single" w:color="auto" w:sz="4" w:space="0"/>
              <w:left w:val="single" w:color="auto" w:sz="4" w:space="0"/>
              <w:right w:val="single" w:color="auto" w:sz="4" w:space="0"/>
            </w:tcBorders>
            <w:vAlign w:val="center"/>
          </w:tcPr>
          <w:p>
            <w:pPr>
              <w:topLinePunct/>
              <w:spacing w:line="440" w:lineRule="exact"/>
              <w:ind w:firstLine="220" w:firstLineChars="100"/>
              <w:jc w:val="center"/>
              <w:rPr>
                <w:rFonts w:ascii="宋体" w:hAnsi="宋体" w:cs="Times New Roman"/>
                <w:szCs w:val="22"/>
              </w:rPr>
            </w:pPr>
            <w:r>
              <w:rPr>
                <w:rFonts w:ascii="宋体" w:hAnsi="宋体" w:cs="Times New Roman"/>
                <w:szCs w:val="22"/>
              </w:rPr>
              <w:t>经营范围</w:t>
            </w:r>
          </w:p>
        </w:tc>
        <w:tc>
          <w:tcPr>
            <w:tcW w:w="8079" w:type="dxa"/>
            <w:gridSpan w:val="10"/>
            <w:tcBorders>
              <w:top w:val="single" w:color="auto" w:sz="4" w:space="0"/>
              <w:left w:val="single" w:color="auto" w:sz="4" w:space="0"/>
              <w:right w:val="single" w:color="auto" w:sz="4" w:space="0"/>
            </w:tcBorders>
            <w:vAlign w:val="center"/>
          </w:tcPr>
          <w:p>
            <w:pPr>
              <w:topLinePunct/>
              <w:spacing w:line="440" w:lineRule="exact"/>
              <w:jc w:val="both"/>
              <w:rPr>
                <w:rFonts w:ascii="宋体" w:hAnsi="宋体" w:cs="Times New Roman"/>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26" w:type="dxa"/>
          <w:trHeight w:val="61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r>
              <w:rPr>
                <w:rFonts w:ascii="宋体" w:hAnsi="宋体" w:cs="Times New Roman"/>
                <w:szCs w:val="22"/>
              </w:rPr>
              <w:t>备注</w:t>
            </w:r>
          </w:p>
        </w:tc>
        <w:tc>
          <w:tcPr>
            <w:tcW w:w="807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Times New Roman"/>
                <w:szCs w:val="22"/>
              </w:rPr>
            </w:pPr>
          </w:p>
        </w:tc>
      </w:tr>
    </w:tbl>
    <w:p>
      <w:r>
        <w:t>注：</w:t>
      </w:r>
    </w:p>
    <w:bookmarkEnd w:id="254"/>
    <w:p>
      <w:r>
        <w:rPr>
          <w:rFonts w:hint="eastAsia"/>
        </w:rPr>
        <w:t>（1）</w:t>
      </w:r>
      <w:r>
        <w:t>投标人（或联合体各成员）应填写此表</w:t>
      </w:r>
      <w:r>
        <w:rPr>
          <w:rFonts w:hint="eastAsia"/>
        </w:rPr>
        <w:t>；</w:t>
      </w:r>
    </w:p>
    <w:p>
      <w:r>
        <w:rPr>
          <w:rFonts w:hint="eastAsia"/>
        </w:rPr>
        <w:t>（2）《国务院关于批转发展改革委等部门法人和其他组织统一社会信用代码制度建设总体方案的通知》（国发〔2015〕33 号）、《工商总局等五部门关于贯彻落实&lt;国 务院办公厅关于加快推进“五证合一”登记制度改革的意见&gt;的通知》（工商企注字〔2016〕150 号）等规定，统一代码设计为 18 位。在规定的过渡期内，未转换的旧登记证（照）没有统一社会信用代码的，填写原营业执照号码。</w:t>
      </w:r>
    </w:p>
    <w:p>
      <w:pPr>
        <w:jc w:val="both"/>
        <w:rPr>
          <w:rFonts w:ascii="仿宋" w:hAnsi="仿宋" w:eastAsia="仿宋" w:cs="MingLiU"/>
          <w:kern w:val="0"/>
          <w:sz w:val="21"/>
          <w:szCs w:val="21"/>
        </w:rPr>
      </w:pPr>
      <w:r>
        <w:rPr>
          <w:rFonts w:ascii="仿宋" w:hAnsi="仿宋" w:eastAsia="仿宋" w:cs="MingLiU"/>
          <w:kern w:val="0"/>
          <w:sz w:val="21"/>
          <w:szCs w:val="21"/>
        </w:rPr>
        <w:br w:type="page"/>
      </w:r>
    </w:p>
    <w:p>
      <w:pPr>
        <w:pStyle w:val="6"/>
        <w:jc w:val="center"/>
        <w:rPr>
          <w:b/>
          <w:bCs/>
        </w:rPr>
      </w:pPr>
      <w:bookmarkStart w:id="255" w:name="_Toc202362187"/>
      <w:bookmarkStart w:id="256" w:name="_Toc259970283"/>
      <w:bookmarkStart w:id="257" w:name="_Toc262119855"/>
      <w:bookmarkStart w:id="258" w:name="_Toc262118365"/>
      <w:bookmarkStart w:id="259" w:name="_Toc197135941"/>
      <w:bookmarkStart w:id="260" w:name="_Toc264033206"/>
      <w:bookmarkStart w:id="261" w:name="_Toc197135948"/>
      <w:r>
        <w:rPr>
          <w:rFonts w:hint="eastAsia"/>
          <w:b/>
          <w:bCs/>
        </w:rPr>
        <w:t>(二)类似工程业绩汇总</w:t>
      </w:r>
      <w:r>
        <w:rPr>
          <w:b/>
          <w:bCs/>
        </w:rPr>
        <w:t>表</w:t>
      </w:r>
      <w:bookmarkEnd w:id="255"/>
      <w:bookmarkEnd w:id="256"/>
      <w:bookmarkEnd w:id="257"/>
      <w:bookmarkEnd w:id="258"/>
      <w:bookmarkEnd w:id="259"/>
      <w:bookmarkEnd w:id="260"/>
    </w:p>
    <w:tbl>
      <w:tblPr>
        <w:tblStyle w:val="15"/>
        <w:tblW w:w="9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134"/>
        <w:gridCol w:w="1276"/>
        <w:gridCol w:w="1134"/>
        <w:gridCol w:w="1134"/>
        <w:gridCol w:w="1134"/>
        <w:gridCol w:w="1134"/>
        <w:gridCol w:w="851"/>
        <w:gridCol w:w="1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bCs/>
                <w:kern w:val="0"/>
                <w:szCs w:val="22"/>
              </w:rPr>
            </w:pPr>
            <w:r>
              <w:rPr>
                <w:rFonts w:hint="eastAsia" w:ascii="宋体" w:hAnsi="宋体" w:cs="宋体"/>
                <w:bCs/>
                <w:kern w:val="0"/>
                <w:szCs w:val="22"/>
              </w:rPr>
              <w:t>序号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left="-73" w:leftChars="-33" w:right="-99" w:rightChars="-45"/>
              <w:jc w:val="center"/>
              <w:rPr>
                <w:rFonts w:ascii="宋体" w:hAnsi="宋体" w:cs="宋体"/>
                <w:kern w:val="0"/>
                <w:szCs w:val="22"/>
              </w:rPr>
            </w:pPr>
            <w:r>
              <w:rPr>
                <w:rFonts w:hint="eastAsia" w:ascii="宋体" w:hAnsi="宋体" w:cs="宋体"/>
                <w:bCs/>
                <w:kern w:val="0"/>
                <w:szCs w:val="22"/>
              </w:rPr>
              <w:t>项目业主</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r>
              <w:rPr>
                <w:rFonts w:hint="eastAsia" w:ascii="宋体" w:hAnsi="宋体" w:cs="宋体"/>
                <w:bCs/>
                <w:kern w:val="0"/>
                <w:szCs w:val="22"/>
              </w:rPr>
              <w:t>项目名称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r>
              <w:rPr>
                <w:rFonts w:hint="eastAsia" w:ascii="宋体" w:hAnsi="宋体" w:cs="宋体"/>
                <w:kern w:val="0"/>
                <w:szCs w:val="22"/>
              </w:rPr>
              <w:t>开工日期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r>
              <w:rPr>
                <w:rFonts w:hint="eastAsia" w:ascii="宋体" w:hAnsi="宋体" w:cs="宋体"/>
                <w:kern w:val="0"/>
                <w:szCs w:val="22"/>
              </w:rPr>
              <w:t>交工日期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r>
              <w:rPr>
                <w:rFonts w:hint="eastAsia" w:ascii="宋体" w:hAnsi="宋体" w:cs="宋体"/>
                <w:kern w:val="0"/>
                <w:szCs w:val="22"/>
              </w:rPr>
              <w:t>竣工日期</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0"/>
                <w:szCs w:val="22"/>
              </w:rPr>
            </w:pPr>
            <w:r>
              <w:rPr>
                <w:rFonts w:hint="eastAsia" w:ascii="宋体" w:hAnsi="宋体" w:cs="宋体"/>
                <w:kern w:val="0"/>
                <w:szCs w:val="22"/>
              </w:rPr>
              <w:t>建设规模</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left="13" w:leftChars="-44" w:right="-99" w:rightChars="-45" w:hanging="110" w:hangingChars="50"/>
              <w:jc w:val="center"/>
              <w:rPr>
                <w:rFonts w:ascii="宋体" w:hAnsi="宋体" w:cs="宋体"/>
                <w:bCs/>
                <w:kern w:val="0"/>
                <w:szCs w:val="22"/>
              </w:rPr>
            </w:pPr>
            <w:r>
              <w:rPr>
                <w:rFonts w:hint="eastAsia" w:ascii="宋体" w:hAnsi="宋体" w:cs="宋体"/>
                <w:bCs/>
                <w:kern w:val="0"/>
                <w:szCs w:val="22"/>
              </w:rPr>
              <w:t>合同</w:t>
            </w:r>
          </w:p>
          <w:p>
            <w:pPr>
              <w:widowControl/>
              <w:spacing w:line="240" w:lineRule="auto"/>
              <w:ind w:left="13" w:leftChars="-44" w:right="-99" w:rightChars="-45" w:hanging="110" w:hangingChars="50"/>
              <w:jc w:val="center"/>
              <w:rPr>
                <w:rFonts w:ascii="宋体" w:hAnsi="宋体" w:cs="宋体"/>
                <w:kern w:val="0"/>
                <w:szCs w:val="22"/>
              </w:rPr>
            </w:pPr>
            <w:r>
              <w:rPr>
                <w:rFonts w:hint="eastAsia" w:ascii="宋体" w:hAnsi="宋体" w:cs="宋体"/>
                <w:bCs/>
                <w:kern w:val="0"/>
                <w:szCs w:val="22"/>
              </w:rPr>
              <w:t>价格</w:t>
            </w: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right="-99" w:rightChars="-45"/>
              <w:jc w:val="center"/>
              <w:rPr>
                <w:rFonts w:ascii="宋体" w:hAnsi="宋体" w:cs="宋体"/>
                <w:kern w:val="0"/>
                <w:szCs w:val="22"/>
              </w:rPr>
            </w:pPr>
            <w:r>
              <w:rPr>
                <w:rFonts w:hint="eastAsia" w:ascii="宋体" w:hAnsi="宋体" w:cs="宋体"/>
                <w:kern w:val="0"/>
                <w:szCs w:val="22"/>
              </w:rPr>
              <w:t>项目负责人(或技术负责人）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bCs/>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bCs/>
                <w:kern w:val="0"/>
                <w:szCs w:val="22"/>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szCs w:val="22"/>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szCs w:val="22"/>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Cs w:val="22"/>
              </w:rPr>
            </w:pPr>
          </w:p>
        </w:tc>
      </w:tr>
    </w:tbl>
    <w:p>
      <w:pPr>
        <w:spacing w:line="240" w:lineRule="auto"/>
        <w:jc w:val="both"/>
        <w:rPr>
          <w:rFonts w:ascii="Times New Roman" w:hAnsi="Times New Roman" w:cs="Times New Roman"/>
          <w:sz w:val="21"/>
        </w:rPr>
      </w:pPr>
    </w:p>
    <w:p>
      <w:pPr>
        <w:rPr>
          <w:rFonts w:ascii="宋体" w:hAnsi="宋体" w:cs="宋体"/>
        </w:rPr>
      </w:pPr>
      <w:r>
        <w:rPr>
          <w:rFonts w:hint="eastAsia" w:ascii="宋体" w:hAnsi="宋体" w:cs="宋体"/>
        </w:rPr>
        <w:t>注：</w:t>
      </w:r>
    </w:p>
    <w:p>
      <w:pPr>
        <w:rPr>
          <w:rFonts w:ascii="宋体" w:hAnsi="宋体" w:cs="宋体"/>
        </w:rPr>
      </w:pPr>
      <w:r>
        <w:rPr>
          <w:rFonts w:hint="eastAsia" w:ascii="宋体" w:hAnsi="宋体" w:cs="宋体"/>
        </w:rPr>
        <w:t>1、如为在建业绩，竣工日期及交工日期一栏请填写“无”，以上汇总表所填信息若无法在业绩证明资料中体现的，以项目业主出具的证明为准。</w:t>
      </w:r>
    </w:p>
    <w:p>
      <w:pPr>
        <w:rPr>
          <w:rFonts w:ascii="宋体" w:hAnsi="宋体" w:cs="宋体"/>
        </w:rPr>
      </w:pPr>
      <w:r>
        <w:rPr>
          <w:rFonts w:hint="eastAsia" w:ascii="宋体" w:hAnsi="宋体" w:cs="宋体"/>
        </w:rPr>
        <w:t>2、表中所有空格内容均须填写，如确实不须填写或无法填写，应在空格中填写“无”。</w:t>
      </w:r>
    </w:p>
    <w:p>
      <w:pPr>
        <w:jc w:val="both"/>
        <w:rPr>
          <w:rFonts w:ascii="Times New Roman" w:hAnsi="Times New Roman" w:cs="Times New Roman"/>
          <w:sz w:val="21"/>
        </w:rPr>
      </w:pPr>
      <w:r>
        <w:rPr>
          <w:rFonts w:ascii="Times New Roman" w:hAnsi="Times New Roman" w:cs="Times New Roman"/>
          <w:sz w:val="21"/>
        </w:rPr>
        <w:br w:type="page"/>
      </w:r>
    </w:p>
    <w:p>
      <w:pPr>
        <w:pStyle w:val="6"/>
        <w:jc w:val="center"/>
        <w:rPr>
          <w:b/>
          <w:bCs/>
        </w:rPr>
      </w:pPr>
      <w:r>
        <w:rPr>
          <w:rFonts w:hint="eastAsia"/>
          <w:b/>
          <w:bCs/>
        </w:rPr>
        <w:t>(三)○近</w:t>
      </w:r>
      <w:r>
        <w:rPr>
          <w:rFonts w:hint="eastAsia"/>
          <w:b/>
          <w:bCs/>
          <w:u w:val="single"/>
        </w:rPr>
        <w:t xml:space="preserve">   </w:t>
      </w:r>
      <w:r>
        <w:rPr>
          <w:rFonts w:hint="eastAsia"/>
          <w:b/>
          <w:bCs/>
        </w:rPr>
        <w:t>年（年月日至投标截止时间）□</w:t>
      </w:r>
      <w:r>
        <w:rPr>
          <w:rFonts w:hint="eastAsia"/>
          <w:b/>
          <w:bCs/>
          <w:u w:val="single"/>
        </w:rPr>
        <w:t>已完成</w:t>
      </w:r>
      <w:r>
        <w:rPr>
          <w:rFonts w:hint="eastAsia"/>
          <w:b/>
          <w:bCs/>
        </w:rPr>
        <w:t>□</w:t>
      </w:r>
      <w:r>
        <w:rPr>
          <w:rFonts w:hint="eastAsia"/>
          <w:b/>
          <w:bCs/>
          <w:u w:val="single"/>
        </w:rPr>
        <w:t>已完成或正在施工（设计）或新承接</w:t>
      </w:r>
      <w:r>
        <w:rPr>
          <w:rFonts w:hint="eastAsia"/>
          <w:b/>
          <w:bCs/>
        </w:rPr>
        <w:t>的类似</w:t>
      </w:r>
      <w:r>
        <w:rPr>
          <w:b/>
          <w:bCs/>
        </w:rPr>
        <w:t>工程</w:t>
      </w:r>
      <w:r>
        <w:rPr>
          <w:rFonts w:hint="eastAsia"/>
          <w:b/>
          <w:bCs/>
        </w:rPr>
        <w:t>业绩</w:t>
      </w:r>
      <w:r>
        <w:rPr>
          <w:b/>
          <w:bCs/>
        </w:rPr>
        <w:t>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9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0" w:type="dxa"/>
            <w:vMerge w:val="restart"/>
            <w:vAlign w:val="center"/>
          </w:tcPr>
          <w:p>
            <w:pPr>
              <w:jc w:val="center"/>
              <w:rPr>
                <w:rFonts w:ascii="宋体" w:hAnsi="宋体" w:cs="宋体"/>
              </w:rPr>
            </w:pPr>
            <w:r>
              <w:rPr>
                <w:rFonts w:hint="eastAsia" w:ascii="宋体" w:hAnsi="宋体" w:cs="宋体"/>
              </w:rPr>
              <w:t>1</w:t>
            </w:r>
          </w:p>
        </w:tc>
        <w:tc>
          <w:tcPr>
            <w:tcW w:w="9026" w:type="dxa"/>
            <w:vAlign w:val="center"/>
          </w:tcPr>
          <w:p>
            <w:pPr>
              <w:rPr>
                <w:rFonts w:ascii="宋体" w:hAnsi="宋体" w:cs="宋体"/>
              </w:rPr>
            </w:pPr>
            <w:r>
              <w:rPr>
                <w:rFonts w:hint="eastAsia" w:ascii="宋体" w:hAnsi="宋体" w:cs="宋体"/>
              </w:rPr>
              <w:t>合同名称：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690" w:type="dxa"/>
            <w:vMerge w:val="continue"/>
            <w:vAlign w:val="center"/>
          </w:tcPr>
          <w:p>
            <w:pPr>
              <w:jc w:val="center"/>
              <w:rPr>
                <w:rFonts w:ascii="宋体" w:hAnsi="宋体" w:cs="宋体"/>
              </w:rPr>
            </w:pPr>
          </w:p>
        </w:tc>
        <w:tc>
          <w:tcPr>
            <w:tcW w:w="9026" w:type="dxa"/>
            <w:vAlign w:val="center"/>
          </w:tcPr>
          <w:p>
            <w:pPr>
              <w:rPr>
                <w:rFonts w:ascii="宋体" w:hAnsi="宋体" w:cs="宋体"/>
              </w:rPr>
            </w:pPr>
            <w:r>
              <w:rPr>
                <w:rFonts w:hint="eastAsia" w:ascii="宋体" w:hAnsi="宋体" w:cs="宋体"/>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690" w:type="dxa"/>
            <w:vMerge w:val="continue"/>
            <w:vAlign w:val="center"/>
          </w:tcPr>
          <w:p>
            <w:pPr>
              <w:jc w:val="center"/>
              <w:rPr>
                <w:rFonts w:ascii="宋体" w:hAnsi="宋体" w:cs="宋体"/>
              </w:rPr>
            </w:pPr>
          </w:p>
        </w:tc>
        <w:tc>
          <w:tcPr>
            <w:tcW w:w="9026" w:type="dxa"/>
            <w:vAlign w:val="center"/>
          </w:tcPr>
          <w:p>
            <w:pPr>
              <w:rPr>
                <w:rFonts w:ascii="宋体" w:hAnsi="宋体" w:cs="宋体"/>
              </w:rPr>
            </w:pPr>
            <w:r>
              <w:rPr>
                <w:rFonts w:hint="eastAsia" w:ascii="宋体" w:hAnsi="宋体" w:cs="宋体"/>
              </w:rPr>
              <w:t>□承包人名称：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690" w:type="dxa"/>
            <w:vMerge w:val="continue"/>
            <w:vAlign w:val="center"/>
          </w:tcPr>
          <w:p>
            <w:pPr>
              <w:jc w:val="center"/>
              <w:rPr>
                <w:rFonts w:ascii="宋体" w:hAnsi="宋体" w:cs="宋体"/>
              </w:rPr>
            </w:pPr>
          </w:p>
        </w:tc>
        <w:tc>
          <w:tcPr>
            <w:tcW w:w="9026" w:type="dxa"/>
            <w:vAlign w:val="center"/>
          </w:tcPr>
          <w:p>
            <w:pPr>
              <w:rPr>
                <w:rFonts w:ascii="宋体" w:hAnsi="宋体" w:cs="宋体"/>
              </w:rPr>
            </w:pPr>
            <w:r>
              <w:rPr>
                <w:rFonts w:hint="eastAsia" w:ascii="宋体" w:hAnsi="宋体" w:cs="宋体"/>
              </w:rPr>
              <w:t>合同总价：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690" w:type="dxa"/>
            <w:vMerge w:val="continue"/>
            <w:vAlign w:val="center"/>
          </w:tcPr>
          <w:p>
            <w:pPr>
              <w:jc w:val="center"/>
              <w:rPr>
                <w:rFonts w:ascii="宋体" w:hAnsi="宋体" w:cs="宋体"/>
              </w:rPr>
            </w:pPr>
          </w:p>
        </w:tc>
        <w:tc>
          <w:tcPr>
            <w:tcW w:w="9026" w:type="dxa"/>
            <w:vAlign w:val="center"/>
          </w:tcPr>
          <w:p>
            <w:pPr>
              <w:rPr>
                <w:rFonts w:ascii="宋体" w:hAnsi="宋体" w:cs="宋体"/>
              </w:rPr>
            </w:pPr>
            <w:r>
              <w:rPr>
                <w:rFonts w:hint="eastAsia" w:ascii="宋体" w:hAnsi="宋体" w:cs="宋体"/>
              </w:rPr>
              <w:t>工程地址：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35" w:hRule="atLeast"/>
          <w:jc w:val="center"/>
        </w:trPr>
        <w:tc>
          <w:tcPr>
            <w:tcW w:w="690" w:type="dxa"/>
            <w:vMerge w:val="continue"/>
            <w:vAlign w:val="center"/>
          </w:tcPr>
          <w:p>
            <w:pPr>
              <w:jc w:val="center"/>
              <w:rPr>
                <w:rFonts w:ascii="宋体" w:hAnsi="宋体" w:cs="宋体"/>
              </w:rPr>
            </w:pPr>
          </w:p>
        </w:tc>
        <w:tc>
          <w:tcPr>
            <w:tcW w:w="9026" w:type="dxa"/>
            <w:vAlign w:val="center"/>
          </w:tcPr>
          <w:p>
            <w:pPr>
              <w:rPr>
                <w:rFonts w:ascii="宋体" w:hAnsi="宋体" w:cs="宋体"/>
              </w:rPr>
            </w:pPr>
            <w:r>
              <w:rPr>
                <w:rFonts w:hint="eastAsia" w:ascii="宋体" w:hAnsi="宋体" w:cs="宋体"/>
              </w:rPr>
              <w:t>项目规模：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90" w:type="dxa"/>
            <w:vAlign w:val="center"/>
          </w:tcPr>
          <w:p>
            <w:pPr>
              <w:jc w:val="center"/>
              <w:rPr>
                <w:rFonts w:ascii="宋体" w:hAnsi="宋体" w:cs="宋体"/>
              </w:rPr>
            </w:pPr>
            <w:r>
              <w:rPr>
                <w:rFonts w:hint="eastAsia" w:ascii="宋体" w:hAnsi="宋体" w:cs="宋体"/>
              </w:rPr>
              <w:t>2</w:t>
            </w:r>
          </w:p>
        </w:tc>
        <w:tc>
          <w:tcPr>
            <w:tcW w:w="9026" w:type="dxa"/>
            <w:vAlign w:val="center"/>
          </w:tcPr>
          <w:p>
            <w:pPr>
              <w:rPr>
                <w:rFonts w:ascii="宋体" w:hAnsi="宋体" w:cs="宋体"/>
              </w:rPr>
            </w:pPr>
            <w:r>
              <w:rPr>
                <w:rFonts w:hint="eastAsia" w:ascii="宋体" w:hAnsi="宋体" w:cs="宋体"/>
              </w:rPr>
              <w:t>所承担合同的主要内容：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690" w:type="dxa"/>
            <w:vAlign w:val="center"/>
          </w:tcPr>
          <w:p>
            <w:pPr>
              <w:jc w:val="center"/>
              <w:rPr>
                <w:rFonts w:ascii="宋体" w:hAnsi="宋体" w:cs="宋体"/>
              </w:rPr>
            </w:pPr>
            <w:r>
              <w:rPr>
                <w:rFonts w:hint="eastAsia" w:ascii="宋体" w:hAnsi="宋体" w:cs="宋体"/>
              </w:rPr>
              <w:t>3</w:t>
            </w:r>
          </w:p>
        </w:tc>
        <w:tc>
          <w:tcPr>
            <w:tcW w:w="9026" w:type="dxa"/>
            <w:vAlign w:val="center"/>
          </w:tcPr>
          <w:p>
            <w:pPr>
              <w:rPr>
                <w:rFonts w:ascii="宋体" w:hAnsi="宋体" w:cs="宋体"/>
              </w:rPr>
            </w:pPr>
            <w:r>
              <w:rPr>
                <w:rFonts w:hint="eastAsia" w:ascii="宋体" w:hAnsi="宋体" w:cs="宋体"/>
              </w:rPr>
              <w:t>合同工期：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690" w:type="dxa"/>
            <w:vAlign w:val="center"/>
          </w:tcPr>
          <w:p>
            <w:pPr>
              <w:jc w:val="center"/>
              <w:rPr>
                <w:rFonts w:ascii="宋体" w:hAnsi="宋体" w:cs="宋体"/>
              </w:rPr>
            </w:pPr>
            <w:r>
              <w:rPr>
                <w:rFonts w:hint="eastAsia" w:ascii="宋体" w:hAnsi="宋体" w:cs="宋体"/>
              </w:rPr>
              <w:t>4</w:t>
            </w:r>
          </w:p>
        </w:tc>
        <w:tc>
          <w:tcPr>
            <w:tcW w:w="9026" w:type="dxa"/>
            <w:vAlign w:val="center"/>
          </w:tcPr>
          <w:p>
            <w:pPr>
              <w:rPr>
                <w:rFonts w:ascii="宋体" w:hAnsi="宋体" w:cs="宋体"/>
              </w:rPr>
            </w:pPr>
            <w:r>
              <w:rPr>
                <w:rFonts w:hint="eastAsia" w:ascii="宋体" w:hAnsi="宋体" w:cs="宋体"/>
              </w:rPr>
              <w:t>其    他：</w:t>
            </w:r>
          </w:p>
        </w:tc>
      </w:tr>
    </w:tbl>
    <w:p>
      <w:pPr>
        <w:spacing w:line="240" w:lineRule="auto"/>
        <w:ind w:firstLine="210" w:firstLineChars="100"/>
        <w:jc w:val="both"/>
        <w:rPr>
          <w:rFonts w:ascii="宋体" w:hAnsi="宋体" w:cs="Times New Roman"/>
          <w:snapToGrid w:val="0"/>
          <w:sz w:val="21"/>
          <w:szCs w:val="21"/>
        </w:rPr>
      </w:pPr>
    </w:p>
    <w:p>
      <w:pPr>
        <w:rPr>
          <w:rFonts w:ascii="宋体" w:hAnsi="宋体" w:cs="宋体"/>
        </w:rPr>
      </w:pPr>
      <w:r>
        <w:rPr>
          <w:rFonts w:hint="eastAsia" w:ascii="宋体" w:hAnsi="宋体" w:cs="宋体"/>
        </w:rPr>
        <w:t>注：</w:t>
      </w:r>
    </w:p>
    <w:p>
      <w:pPr>
        <w:rPr>
          <w:rFonts w:ascii="宋体" w:hAnsi="宋体" w:cs="宋体"/>
        </w:rPr>
      </w:pPr>
      <w:r>
        <w:rPr>
          <w:rFonts w:hint="eastAsia" w:ascii="宋体" w:hAnsi="宋体" w:cs="宋体"/>
        </w:rPr>
        <w:t>1、每个类似工程业绩项目须单独填表，宜标明序号。</w:t>
      </w:r>
    </w:p>
    <w:p>
      <w:pPr>
        <w:rPr>
          <w:rFonts w:ascii="宋体" w:hAnsi="宋体" w:cs="宋体"/>
        </w:rPr>
      </w:pPr>
      <w:r>
        <w:rPr>
          <w:rFonts w:hint="eastAsia" w:ascii="宋体" w:hAnsi="宋体" w:cs="宋体"/>
        </w:rPr>
        <w:t>2、类似工程业绩是指:详见资格条件及评标办法要求，“近年完成的设计施工总承包项目/设计采购施工总承包项目”应附合同协议书、工程接收证书（工程竣工验收证书），类似项目业绩时间以工程接收证书（工程竣工验收证书）载明的时间为准；</w:t>
      </w:r>
    </w:p>
    <w:p>
      <w:pPr>
        <w:rPr>
          <w:rFonts w:ascii="宋体" w:hAnsi="宋体" w:cs="宋体"/>
        </w:rPr>
      </w:pPr>
      <w:r>
        <w:rPr>
          <w:rFonts w:hint="eastAsia" w:ascii="宋体" w:hAnsi="宋体" w:cs="宋体"/>
        </w:rPr>
        <w:t>“近年完成的类似工程设计项目”应附合同协议书、发包人出具的证明文件，类似项目业绩时间以发包人出具的证明文件中载明的设计成果文件提交时间为准；</w:t>
      </w:r>
    </w:p>
    <w:p>
      <w:pPr>
        <w:rPr>
          <w:rFonts w:ascii="宋体" w:hAnsi="宋体" w:cs="宋体"/>
        </w:rPr>
      </w:pPr>
      <w:r>
        <w:rPr>
          <w:rFonts w:hint="eastAsia" w:ascii="宋体" w:hAnsi="宋体" w:cs="宋体"/>
        </w:rPr>
        <w:t>“近年完成的类似施工项目”应附合同协议书、工程接收证书（工程竣工验收证书），类似项目业绩时间以工程接收证书（工程竣工验收证书）载明的时间为准；</w:t>
      </w:r>
    </w:p>
    <w:p>
      <w:pPr>
        <w:rPr>
          <w:rFonts w:ascii="宋体" w:hAnsi="宋体" w:cs="宋体"/>
        </w:rPr>
      </w:pPr>
      <w:r>
        <w:rPr>
          <w:rFonts w:hint="eastAsia" w:ascii="宋体" w:hAnsi="宋体" w:cs="宋体"/>
        </w:rPr>
        <w:t>“正在施工（设计）和新承接的项目情况表”应附合同协议书扫描件，类似项目业绩时间以合同协议书载明的时间为准。</w:t>
      </w:r>
    </w:p>
    <w:p>
      <w:pPr>
        <w:rPr>
          <w:rFonts w:ascii="宋体" w:hAnsi="宋体" w:cs="宋体"/>
        </w:rPr>
      </w:pPr>
      <w:r>
        <w:rPr>
          <w:rFonts w:hint="eastAsia" w:ascii="宋体" w:hAnsi="宋体" w:cs="宋体"/>
        </w:rPr>
        <w:t>3、类似工程业绩的合同或中标（中选）通知书均无法体现出所要求的建设规模或技术指标，则投标人还需提供项目业主盖章确认的其建设规模或技术指标或类似工程业绩时间的证明材料，投标人须将此证明材料复印件或扫描件放入投标文件中。</w:t>
      </w:r>
    </w:p>
    <w:p>
      <w:pPr>
        <w:rPr>
          <w:rFonts w:ascii="宋体" w:hAnsi="宋体" w:cs="宋体"/>
        </w:rPr>
      </w:pPr>
      <w:r>
        <w:rPr>
          <w:rFonts w:hint="eastAsia" w:ascii="宋体" w:hAnsi="宋体" w:cs="宋体"/>
        </w:rPr>
        <w:t>4、所提供类似工程业绩须符合企业的资质等级，超越资质等级取得的类似工程业绩以及在取得相应资质等级时间以前越级承担（含不具备资质非法承担）的类似工程业绩均无效。</w:t>
      </w:r>
    </w:p>
    <w:bookmarkEnd w:id="261"/>
    <w:p>
      <w:pPr>
        <w:pStyle w:val="5"/>
        <w:jc w:val="center"/>
      </w:pPr>
      <w:r>
        <w:rPr>
          <w:rFonts w:ascii="Times New Roman" w:hAnsi="Times New Roman" w:cs="Times New Roman"/>
          <w:sz w:val="21"/>
        </w:rPr>
        <w:br w:type="page"/>
      </w:r>
      <w:r>
        <w:rPr>
          <w:rFonts w:hint="eastAsia"/>
        </w:rPr>
        <w:t>□七、设计-施工总承包实施方案</w:t>
      </w:r>
    </w:p>
    <w:p>
      <w:pPr>
        <w:pStyle w:val="2"/>
        <w:numPr>
          <w:ilvl w:val="0"/>
          <w:numId w:val="52"/>
        </w:numPr>
      </w:pPr>
      <w:r>
        <w:rPr>
          <w:rFonts w:hint="eastAsia"/>
        </w:rPr>
        <w:t>投标人编制</w:t>
      </w:r>
      <w:r>
        <w:rPr>
          <w:rFonts w:hint="eastAsia"/>
          <w:u w:val="single"/>
        </w:rPr>
        <w:t>设计-施工</w:t>
      </w:r>
      <w:r>
        <w:rPr>
          <w:u w:val="single"/>
        </w:rPr>
        <w:t>总承包</w:t>
      </w:r>
      <w:r>
        <w:rPr>
          <w:rFonts w:hint="eastAsia"/>
        </w:rPr>
        <w:t>实施方案的要求：编制时应采用文字并结合图表形式说明施工</w:t>
      </w:r>
    </w:p>
    <w:p>
      <w:pPr>
        <w:pStyle w:val="2"/>
        <w:ind w:left="0"/>
      </w:pPr>
      <w:r>
        <w:rPr>
          <w:rFonts w:hint="eastAsia"/>
        </w:rPr>
        <w:t>方法；拟投入本标段的主要施工设备情况、拟配备本标段的试验和检测仪器设备情况、劳动力计划等；结合工程特点提出工程质量、安全生产、文明施工、工程进度、技术组织措施，同时应对关键工序、复杂环节重点提出相应技术措施。</w:t>
      </w:r>
    </w:p>
    <w:p>
      <w:pPr>
        <w:pStyle w:val="2"/>
      </w:pPr>
      <w:r>
        <w:rPr>
          <w:rFonts w:hint="eastAsia"/>
        </w:rPr>
        <w:t>2、实施方案可附下列图表：</w:t>
      </w:r>
    </w:p>
    <w:p>
      <w:pPr>
        <w:jc w:val="center"/>
        <w:rPr>
          <w:b/>
          <w:bCs/>
        </w:rPr>
      </w:pPr>
      <w:bookmarkStart w:id="262" w:name="_Toc32267"/>
      <w:bookmarkStart w:id="263" w:name="_Toc32428"/>
      <w:r>
        <w:rPr>
          <w:rFonts w:hint="eastAsia"/>
          <w:b/>
          <w:bCs/>
        </w:rPr>
        <w:t>附表一：</w:t>
      </w:r>
      <w:r>
        <w:rPr>
          <w:b/>
          <w:bCs/>
        </w:rPr>
        <w:t>拟投入本标段的主要施工设备表</w:t>
      </w:r>
      <w:bookmarkEnd w:id="262"/>
      <w:bookmarkEnd w:id="263"/>
    </w:p>
    <w:tbl>
      <w:tblPr>
        <w:tblStyle w:val="15"/>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1024"/>
        <w:gridCol w:w="1024"/>
        <w:gridCol w:w="1024"/>
        <w:gridCol w:w="1023"/>
        <w:gridCol w:w="1024"/>
        <w:gridCol w:w="1024"/>
        <w:gridCol w:w="102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3" w:type="dxa"/>
            <w:vAlign w:val="center"/>
          </w:tcPr>
          <w:p>
            <w:pPr>
              <w:jc w:val="center"/>
            </w:pPr>
            <w:r>
              <w:rPr>
                <w:rFonts w:hint="eastAsia"/>
              </w:rPr>
              <w:t>序号</w:t>
            </w:r>
          </w:p>
        </w:tc>
        <w:tc>
          <w:tcPr>
            <w:tcW w:w="1024" w:type="dxa"/>
            <w:vAlign w:val="center"/>
          </w:tcPr>
          <w:p>
            <w:pPr>
              <w:jc w:val="center"/>
            </w:pPr>
            <w:r>
              <w:rPr>
                <w:rFonts w:hint="eastAsia"/>
              </w:rPr>
              <w:t>设备</w:t>
            </w:r>
          </w:p>
          <w:p>
            <w:pPr>
              <w:jc w:val="center"/>
            </w:pPr>
            <w:r>
              <w:rPr>
                <w:rFonts w:hint="eastAsia"/>
              </w:rPr>
              <w:t>名称</w:t>
            </w:r>
          </w:p>
        </w:tc>
        <w:tc>
          <w:tcPr>
            <w:tcW w:w="1024" w:type="dxa"/>
            <w:vAlign w:val="center"/>
          </w:tcPr>
          <w:p>
            <w:pPr>
              <w:jc w:val="center"/>
            </w:pPr>
            <w:r>
              <w:rPr>
                <w:rFonts w:hint="eastAsia"/>
              </w:rPr>
              <w:t>型号</w:t>
            </w:r>
          </w:p>
          <w:p>
            <w:pPr>
              <w:jc w:val="center"/>
            </w:pPr>
            <w:r>
              <w:rPr>
                <w:rFonts w:hint="eastAsia"/>
              </w:rPr>
              <w:t>规格</w:t>
            </w:r>
          </w:p>
        </w:tc>
        <w:tc>
          <w:tcPr>
            <w:tcW w:w="1024" w:type="dxa"/>
            <w:vAlign w:val="center"/>
          </w:tcPr>
          <w:p>
            <w:pPr>
              <w:jc w:val="center"/>
            </w:pPr>
            <w:r>
              <w:rPr>
                <w:rFonts w:hint="eastAsia"/>
              </w:rPr>
              <w:t>数量</w:t>
            </w:r>
          </w:p>
        </w:tc>
        <w:tc>
          <w:tcPr>
            <w:tcW w:w="1023" w:type="dxa"/>
            <w:vAlign w:val="center"/>
          </w:tcPr>
          <w:p>
            <w:pPr>
              <w:jc w:val="center"/>
            </w:pPr>
            <w:r>
              <w:rPr>
                <w:rFonts w:hint="eastAsia"/>
              </w:rPr>
              <w:t>国别</w:t>
            </w:r>
          </w:p>
          <w:p>
            <w:pPr>
              <w:jc w:val="center"/>
            </w:pPr>
            <w:r>
              <w:rPr>
                <w:rFonts w:hint="eastAsia"/>
              </w:rPr>
              <w:t>产地</w:t>
            </w:r>
          </w:p>
        </w:tc>
        <w:tc>
          <w:tcPr>
            <w:tcW w:w="1024" w:type="dxa"/>
            <w:vAlign w:val="center"/>
          </w:tcPr>
          <w:p>
            <w:pPr>
              <w:jc w:val="center"/>
            </w:pPr>
            <w:r>
              <w:rPr>
                <w:rFonts w:hint="eastAsia"/>
              </w:rPr>
              <w:t>制造</w:t>
            </w:r>
          </w:p>
          <w:p>
            <w:pPr>
              <w:jc w:val="center"/>
            </w:pPr>
            <w:r>
              <w:rPr>
                <w:rFonts w:hint="eastAsia"/>
              </w:rPr>
              <w:t>年份</w:t>
            </w:r>
          </w:p>
        </w:tc>
        <w:tc>
          <w:tcPr>
            <w:tcW w:w="1024" w:type="dxa"/>
            <w:vAlign w:val="center"/>
          </w:tcPr>
          <w:p>
            <w:pPr>
              <w:jc w:val="center"/>
            </w:pPr>
            <w:r>
              <w:rPr>
                <w:rFonts w:hint="eastAsia"/>
              </w:rPr>
              <w:t>生产</w:t>
            </w:r>
          </w:p>
          <w:p>
            <w:pPr>
              <w:jc w:val="center"/>
            </w:pPr>
            <w:r>
              <w:rPr>
                <w:rFonts w:hint="eastAsia"/>
              </w:rPr>
              <w:t>能力</w:t>
            </w:r>
          </w:p>
        </w:tc>
        <w:tc>
          <w:tcPr>
            <w:tcW w:w="1024" w:type="dxa"/>
            <w:vAlign w:val="center"/>
          </w:tcPr>
          <w:p>
            <w:pPr>
              <w:jc w:val="center"/>
            </w:pPr>
            <w:r>
              <w:rPr>
                <w:rFonts w:hint="eastAsia"/>
              </w:rPr>
              <w:t>用于施工部位</w:t>
            </w:r>
          </w:p>
        </w:tc>
        <w:tc>
          <w:tcPr>
            <w:tcW w:w="1024"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3"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3"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3"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3"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c>
          <w:tcPr>
            <w:tcW w:w="1024" w:type="dxa"/>
            <w:vAlign w:val="center"/>
          </w:tcPr>
          <w:p>
            <w:pPr>
              <w:jc w:val="center"/>
              <w:rPr>
                <w:rFonts w:ascii="宋体" w:hAnsi="宋体" w:cs="Times New Roman"/>
                <w:b/>
                <w:sz w:val="21"/>
                <w:szCs w:val="21"/>
              </w:rPr>
            </w:pPr>
          </w:p>
        </w:tc>
      </w:tr>
    </w:tbl>
    <w:p>
      <w:pPr>
        <w:spacing w:line="276" w:lineRule="auto"/>
        <w:jc w:val="center"/>
        <w:rPr>
          <w:rFonts w:ascii="宋体" w:hAnsi="宋体" w:cs="Times New Roman"/>
          <w:b/>
          <w:sz w:val="21"/>
          <w:szCs w:val="21"/>
        </w:rPr>
      </w:pPr>
    </w:p>
    <w:p>
      <w:pPr>
        <w:jc w:val="center"/>
        <w:rPr>
          <w:b/>
          <w:bCs/>
        </w:rPr>
      </w:pPr>
      <w:bookmarkStart w:id="264" w:name="_Toc31931"/>
      <w:bookmarkStart w:id="265" w:name="_Toc428"/>
      <w:r>
        <w:rPr>
          <w:rFonts w:hint="eastAsia"/>
          <w:b/>
          <w:bCs/>
        </w:rPr>
        <w:t>附表二：拟配备本标段的试验和检测仪器设备表</w:t>
      </w:r>
      <w:bookmarkEnd w:id="264"/>
      <w:bookmarkEnd w:id="265"/>
    </w:p>
    <w:tbl>
      <w:tblPr>
        <w:tblStyle w:val="15"/>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1024"/>
        <w:gridCol w:w="1024"/>
        <w:gridCol w:w="1024"/>
        <w:gridCol w:w="1023"/>
        <w:gridCol w:w="1024"/>
        <w:gridCol w:w="1024"/>
        <w:gridCol w:w="102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3" w:type="dxa"/>
          </w:tcPr>
          <w:p>
            <w:pPr>
              <w:spacing w:line="276" w:lineRule="auto"/>
              <w:jc w:val="center"/>
              <w:rPr>
                <w:rFonts w:ascii="宋体" w:hAnsi="宋体" w:cs="Times New Roman"/>
                <w:szCs w:val="22"/>
              </w:rPr>
            </w:pPr>
            <w:r>
              <w:rPr>
                <w:rFonts w:hint="eastAsia" w:ascii="宋体" w:hAnsi="宋体" w:cs="Times New Roman"/>
                <w:szCs w:val="22"/>
              </w:rPr>
              <w:t>序号</w:t>
            </w:r>
          </w:p>
        </w:tc>
        <w:tc>
          <w:tcPr>
            <w:tcW w:w="1024" w:type="dxa"/>
          </w:tcPr>
          <w:p>
            <w:pPr>
              <w:spacing w:line="276" w:lineRule="auto"/>
              <w:jc w:val="center"/>
              <w:rPr>
                <w:rFonts w:ascii="宋体" w:hAnsi="宋体" w:cs="Times New Roman"/>
                <w:szCs w:val="22"/>
              </w:rPr>
            </w:pPr>
            <w:r>
              <w:rPr>
                <w:rFonts w:hint="eastAsia" w:ascii="宋体" w:hAnsi="宋体" w:cs="Times New Roman"/>
                <w:szCs w:val="22"/>
              </w:rPr>
              <w:t>仪器设备名称</w:t>
            </w:r>
          </w:p>
        </w:tc>
        <w:tc>
          <w:tcPr>
            <w:tcW w:w="1024" w:type="dxa"/>
          </w:tcPr>
          <w:p>
            <w:pPr>
              <w:spacing w:line="276" w:lineRule="auto"/>
              <w:jc w:val="center"/>
              <w:rPr>
                <w:rFonts w:ascii="宋体" w:hAnsi="宋体" w:cs="Times New Roman"/>
                <w:szCs w:val="22"/>
              </w:rPr>
            </w:pPr>
            <w:r>
              <w:rPr>
                <w:rFonts w:hint="eastAsia" w:ascii="宋体" w:hAnsi="宋体" w:cs="Times New Roman"/>
                <w:szCs w:val="22"/>
              </w:rPr>
              <w:t>型号</w:t>
            </w:r>
          </w:p>
          <w:p>
            <w:pPr>
              <w:spacing w:line="276" w:lineRule="auto"/>
              <w:jc w:val="center"/>
              <w:rPr>
                <w:rFonts w:ascii="宋体" w:hAnsi="宋体" w:cs="Times New Roman"/>
                <w:szCs w:val="22"/>
              </w:rPr>
            </w:pPr>
            <w:r>
              <w:rPr>
                <w:rFonts w:hint="eastAsia" w:ascii="宋体" w:hAnsi="宋体" w:cs="Times New Roman"/>
                <w:szCs w:val="22"/>
              </w:rPr>
              <w:t>规格</w:t>
            </w:r>
          </w:p>
        </w:tc>
        <w:tc>
          <w:tcPr>
            <w:tcW w:w="1024" w:type="dxa"/>
          </w:tcPr>
          <w:p>
            <w:pPr>
              <w:spacing w:line="276" w:lineRule="auto"/>
              <w:jc w:val="center"/>
              <w:rPr>
                <w:rFonts w:ascii="宋体" w:hAnsi="宋体" w:cs="Times New Roman"/>
                <w:szCs w:val="22"/>
              </w:rPr>
            </w:pPr>
            <w:r>
              <w:rPr>
                <w:rFonts w:hint="eastAsia" w:ascii="宋体" w:hAnsi="宋体" w:cs="Times New Roman"/>
                <w:szCs w:val="22"/>
              </w:rPr>
              <w:t>数量</w:t>
            </w:r>
          </w:p>
        </w:tc>
        <w:tc>
          <w:tcPr>
            <w:tcW w:w="1023" w:type="dxa"/>
          </w:tcPr>
          <w:p>
            <w:pPr>
              <w:spacing w:line="276" w:lineRule="auto"/>
              <w:jc w:val="center"/>
              <w:rPr>
                <w:rFonts w:ascii="宋体" w:hAnsi="宋体" w:cs="Times New Roman"/>
                <w:szCs w:val="22"/>
              </w:rPr>
            </w:pPr>
            <w:r>
              <w:rPr>
                <w:rFonts w:hint="eastAsia" w:ascii="宋体" w:hAnsi="宋体" w:cs="Times New Roman"/>
                <w:szCs w:val="22"/>
              </w:rPr>
              <w:t>国别</w:t>
            </w:r>
          </w:p>
          <w:p>
            <w:pPr>
              <w:spacing w:line="276" w:lineRule="auto"/>
              <w:jc w:val="center"/>
              <w:rPr>
                <w:rFonts w:ascii="宋体" w:hAnsi="宋体" w:cs="Times New Roman"/>
                <w:szCs w:val="22"/>
              </w:rPr>
            </w:pPr>
            <w:r>
              <w:rPr>
                <w:rFonts w:hint="eastAsia" w:ascii="宋体" w:hAnsi="宋体" w:cs="Times New Roman"/>
                <w:szCs w:val="22"/>
              </w:rPr>
              <w:t>产地</w:t>
            </w:r>
          </w:p>
        </w:tc>
        <w:tc>
          <w:tcPr>
            <w:tcW w:w="1024" w:type="dxa"/>
          </w:tcPr>
          <w:p>
            <w:pPr>
              <w:spacing w:line="276" w:lineRule="auto"/>
              <w:jc w:val="center"/>
              <w:rPr>
                <w:rFonts w:ascii="宋体" w:hAnsi="宋体" w:cs="Times New Roman"/>
                <w:szCs w:val="22"/>
              </w:rPr>
            </w:pPr>
            <w:r>
              <w:rPr>
                <w:rFonts w:hint="eastAsia" w:ascii="宋体" w:hAnsi="宋体" w:cs="Times New Roman"/>
                <w:szCs w:val="22"/>
              </w:rPr>
              <w:t>制造年份</w:t>
            </w:r>
          </w:p>
        </w:tc>
        <w:tc>
          <w:tcPr>
            <w:tcW w:w="1024" w:type="dxa"/>
          </w:tcPr>
          <w:p>
            <w:pPr>
              <w:spacing w:line="276" w:lineRule="auto"/>
              <w:jc w:val="center"/>
              <w:rPr>
                <w:rFonts w:ascii="宋体" w:hAnsi="宋体" w:cs="Times New Roman"/>
                <w:szCs w:val="22"/>
              </w:rPr>
            </w:pPr>
            <w:r>
              <w:rPr>
                <w:rFonts w:hint="eastAsia" w:ascii="宋体" w:hAnsi="宋体" w:cs="Times New Roman"/>
                <w:szCs w:val="22"/>
              </w:rPr>
              <w:t>已使用台时数</w:t>
            </w:r>
          </w:p>
        </w:tc>
        <w:tc>
          <w:tcPr>
            <w:tcW w:w="1024" w:type="dxa"/>
          </w:tcPr>
          <w:p>
            <w:pPr>
              <w:spacing w:line="276" w:lineRule="auto"/>
              <w:jc w:val="center"/>
              <w:rPr>
                <w:rFonts w:ascii="宋体" w:hAnsi="宋体" w:cs="Times New Roman"/>
                <w:szCs w:val="22"/>
              </w:rPr>
            </w:pPr>
            <w:r>
              <w:rPr>
                <w:rFonts w:hint="eastAsia" w:ascii="宋体" w:hAnsi="宋体" w:cs="Times New Roman"/>
                <w:szCs w:val="22"/>
              </w:rPr>
              <w:t>用途</w:t>
            </w:r>
          </w:p>
        </w:tc>
        <w:tc>
          <w:tcPr>
            <w:tcW w:w="1024" w:type="dxa"/>
          </w:tcPr>
          <w:p>
            <w:pPr>
              <w:spacing w:line="276" w:lineRule="auto"/>
              <w:jc w:val="center"/>
              <w:rPr>
                <w:rFonts w:ascii="宋体" w:hAnsi="宋体" w:cs="Times New Roman"/>
                <w:szCs w:val="22"/>
              </w:rPr>
            </w:pPr>
            <w:r>
              <w:rPr>
                <w:rFonts w:hint="eastAsia" w:ascii="宋体" w:hAnsi="宋体" w:cs="Times New Roman"/>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3"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3"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3"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3"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c>
          <w:tcPr>
            <w:tcW w:w="1024" w:type="dxa"/>
          </w:tcPr>
          <w:p>
            <w:pPr>
              <w:spacing w:line="276" w:lineRule="auto"/>
              <w:jc w:val="center"/>
              <w:rPr>
                <w:rFonts w:ascii="宋体" w:hAnsi="宋体" w:cs="Times New Roman"/>
                <w:b/>
                <w:szCs w:val="22"/>
              </w:rPr>
            </w:pPr>
          </w:p>
        </w:tc>
      </w:tr>
    </w:tbl>
    <w:p>
      <w:pPr>
        <w:spacing w:line="276" w:lineRule="auto"/>
        <w:jc w:val="center"/>
        <w:rPr>
          <w:rFonts w:ascii="宋体" w:hAnsi="宋体" w:cs="Times New Roman"/>
          <w:b/>
          <w:sz w:val="21"/>
          <w:szCs w:val="21"/>
        </w:rPr>
      </w:pPr>
    </w:p>
    <w:p>
      <w:pPr>
        <w:jc w:val="center"/>
        <w:rPr>
          <w:b/>
          <w:bCs/>
        </w:rPr>
      </w:pPr>
      <w:bookmarkStart w:id="266" w:name="_Toc24766"/>
      <w:bookmarkStart w:id="267" w:name="_Toc20560"/>
      <w:r>
        <w:rPr>
          <w:rFonts w:hint="eastAsia"/>
          <w:b/>
          <w:bCs/>
        </w:rPr>
        <w:t>附表三：劳动力安排计划表</w:t>
      </w:r>
      <w:bookmarkEnd w:id="266"/>
      <w:bookmarkEnd w:id="267"/>
    </w:p>
    <w:p>
      <w:pPr>
        <w:spacing w:line="276" w:lineRule="auto"/>
        <w:ind w:right="315"/>
        <w:jc w:val="right"/>
        <w:rPr>
          <w:rFonts w:ascii="宋体" w:hAnsi="宋体" w:cs="Times New Roman"/>
          <w:bCs/>
          <w:szCs w:val="22"/>
        </w:rPr>
      </w:pPr>
      <w:r>
        <w:rPr>
          <w:rFonts w:hint="eastAsia" w:ascii="宋体" w:hAnsi="宋体" w:cs="Times New Roman"/>
          <w:bCs/>
          <w:szCs w:val="22"/>
        </w:rPr>
        <w:t>单位：人</w:t>
      </w:r>
    </w:p>
    <w:tbl>
      <w:tblPr>
        <w:tblStyle w:val="15"/>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1024"/>
        <w:gridCol w:w="1024"/>
        <w:gridCol w:w="1024"/>
        <w:gridCol w:w="1023"/>
        <w:gridCol w:w="1024"/>
        <w:gridCol w:w="1024"/>
        <w:gridCol w:w="102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3" w:type="dxa"/>
            <w:vAlign w:val="center"/>
          </w:tcPr>
          <w:p>
            <w:pPr>
              <w:spacing w:line="276" w:lineRule="auto"/>
              <w:jc w:val="center"/>
              <w:rPr>
                <w:rFonts w:ascii="宋体" w:hAnsi="宋体" w:cs="Times New Roman"/>
                <w:szCs w:val="22"/>
              </w:rPr>
            </w:pPr>
            <w:r>
              <w:rPr>
                <w:rFonts w:hint="eastAsia" w:ascii="宋体" w:hAnsi="宋体" w:cs="Times New Roman"/>
                <w:szCs w:val="22"/>
              </w:rPr>
              <w:t>工种</w:t>
            </w:r>
          </w:p>
        </w:tc>
        <w:tc>
          <w:tcPr>
            <w:tcW w:w="8191" w:type="dxa"/>
            <w:gridSpan w:val="8"/>
            <w:vAlign w:val="center"/>
          </w:tcPr>
          <w:p>
            <w:pPr>
              <w:spacing w:line="276" w:lineRule="auto"/>
              <w:jc w:val="center"/>
              <w:rPr>
                <w:rFonts w:ascii="宋体" w:hAnsi="宋体" w:cs="Times New Roman"/>
                <w:szCs w:val="22"/>
              </w:rPr>
            </w:pPr>
            <w:r>
              <w:rPr>
                <w:rFonts w:hint="eastAsia" w:ascii="宋体" w:hAnsi="宋体" w:cs="Times New Roman"/>
                <w:szCs w:val="22"/>
              </w:rPr>
              <w:t>按工程实施阶段投入劳动力情况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3"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3"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3"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3"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c>
          <w:tcPr>
            <w:tcW w:w="1024" w:type="dxa"/>
            <w:vAlign w:val="center"/>
          </w:tcPr>
          <w:p>
            <w:pPr>
              <w:spacing w:line="276" w:lineRule="auto"/>
              <w:jc w:val="center"/>
              <w:rPr>
                <w:rFonts w:ascii="宋体" w:hAnsi="宋体" w:cs="Times New Roman"/>
                <w:b/>
                <w:szCs w:val="22"/>
              </w:rPr>
            </w:pPr>
          </w:p>
        </w:tc>
      </w:tr>
    </w:tbl>
    <w:p>
      <w:pPr>
        <w:jc w:val="center"/>
        <w:rPr>
          <w:b/>
          <w:bCs/>
        </w:rPr>
      </w:pPr>
    </w:p>
    <w:p>
      <w:pPr>
        <w:jc w:val="center"/>
        <w:rPr>
          <w:b/>
          <w:bCs/>
        </w:rPr>
      </w:pPr>
      <w:bookmarkStart w:id="268" w:name="_Toc20410"/>
      <w:bookmarkStart w:id="269" w:name="_Toc1881"/>
      <w:r>
        <w:rPr>
          <w:rFonts w:hint="eastAsia"/>
          <w:b/>
          <w:bCs/>
        </w:rPr>
        <w:t>附表四：计划开竣工日期和进度表</w:t>
      </w:r>
      <w:bookmarkEnd w:id="268"/>
      <w:bookmarkEnd w:id="269"/>
    </w:p>
    <w:p>
      <w:pPr>
        <w:spacing w:line="276" w:lineRule="auto"/>
        <w:ind w:firstLine="330" w:firstLineChars="150"/>
        <w:jc w:val="both"/>
        <w:rPr>
          <w:rFonts w:ascii="宋体" w:hAnsi="宋体" w:cs="Times New Roman"/>
          <w:szCs w:val="22"/>
        </w:rPr>
      </w:pPr>
      <w:r>
        <w:rPr>
          <w:rFonts w:hint="eastAsia" w:ascii="宋体" w:hAnsi="宋体" w:cs="Times New Roman"/>
          <w:szCs w:val="22"/>
        </w:rPr>
        <w:t>进度表可采用网络图（或横道图）表示。</w:t>
      </w:r>
    </w:p>
    <w:p>
      <w:pPr>
        <w:spacing w:line="276" w:lineRule="auto"/>
        <w:jc w:val="center"/>
        <w:rPr>
          <w:rFonts w:ascii="宋体" w:hAnsi="宋体" w:cs="Times New Roman"/>
          <w:b/>
          <w:szCs w:val="22"/>
        </w:rPr>
      </w:pPr>
    </w:p>
    <w:p>
      <w:pPr>
        <w:jc w:val="center"/>
        <w:rPr>
          <w:b/>
          <w:bCs/>
        </w:rPr>
      </w:pPr>
      <w:r>
        <w:rPr>
          <w:rFonts w:hint="eastAsia"/>
          <w:b/>
          <w:bCs/>
        </w:rPr>
        <w:t>□附表五：施工总平面图</w:t>
      </w:r>
    </w:p>
    <w:p>
      <w:pPr>
        <w:spacing w:line="276" w:lineRule="auto"/>
        <w:ind w:firstLine="330" w:firstLineChars="150"/>
        <w:jc w:val="both"/>
        <w:rPr>
          <w:rFonts w:ascii="宋体" w:hAnsi="宋体" w:cs="Times New Roman"/>
          <w:szCs w:val="22"/>
        </w:rPr>
      </w:pPr>
      <w:r>
        <w:rPr>
          <w:rFonts w:hint="eastAsia" w:ascii="宋体" w:hAnsi="宋体" w:cs="Times New Roman"/>
          <w:szCs w:val="22"/>
        </w:rPr>
        <w:t>投标人应递交一份施工总平面图，绘出现场临时设施布置图表并附文字说明，包含</w:t>
      </w:r>
      <w:r>
        <w:rPr>
          <w:rFonts w:hint="eastAsia" w:ascii="宋体" w:hAnsi="宋体" w:cs="Times New Roman"/>
          <w:szCs w:val="22"/>
          <w:u w:val="single"/>
        </w:rPr>
        <w:t xml:space="preserve">     </w:t>
      </w:r>
      <w:r>
        <w:rPr>
          <w:rFonts w:hint="eastAsia" w:ascii="宋体" w:hAnsi="宋体" w:cs="Times New Roman"/>
          <w:szCs w:val="22"/>
        </w:rPr>
        <w:t>内容。</w:t>
      </w:r>
    </w:p>
    <w:p>
      <w:pPr>
        <w:spacing w:line="240" w:lineRule="auto"/>
        <w:jc w:val="both"/>
        <w:rPr>
          <w:rFonts w:ascii="Times New Roman" w:hAnsi="Times New Roman" w:cs="Times New Roman"/>
          <w:sz w:val="21"/>
        </w:rPr>
      </w:pPr>
      <w:r>
        <w:rPr>
          <w:rFonts w:ascii="Times New Roman" w:hAnsi="Times New Roman" w:cs="Times New Roman"/>
          <w:sz w:val="21"/>
        </w:rPr>
        <w:br w:type="page"/>
      </w:r>
    </w:p>
    <w:p>
      <w:pPr>
        <w:pStyle w:val="5"/>
        <w:jc w:val="center"/>
      </w:pPr>
      <w:r>
        <w:rPr>
          <w:rFonts w:hint="eastAsia"/>
        </w:rPr>
        <w:t>□八、投标报价</w:t>
      </w:r>
    </w:p>
    <w:p>
      <w:pPr>
        <w:rPr>
          <w:u w:val="single"/>
        </w:rPr>
      </w:pPr>
      <w:r>
        <w:rPr>
          <w:rFonts w:hint="eastAsia"/>
          <w:u w:val="single"/>
        </w:rPr>
        <w:t xml:space="preserve">                  </w:t>
      </w:r>
    </w:p>
    <w:p>
      <w:r>
        <w:rPr>
          <w:rFonts w:hint="eastAsia"/>
        </w:rPr>
        <w:t>注：投标人的投标报价须满足招标</w:t>
      </w:r>
      <w:r>
        <w:t>文件</w:t>
      </w:r>
      <w:r>
        <w:rPr>
          <w:rFonts w:hint="eastAsia"/>
        </w:rPr>
        <w:t>相应要求。</w:t>
      </w:r>
    </w:p>
    <w:p>
      <w:pPr>
        <w:spacing w:line="240" w:lineRule="auto"/>
        <w:jc w:val="both"/>
        <w:rPr>
          <w:rFonts w:ascii="仿宋" w:hAnsi="仿宋" w:eastAsia="仿宋" w:cs="Times New Roman"/>
          <w:kern w:val="0"/>
          <w:sz w:val="21"/>
          <w:szCs w:val="21"/>
        </w:rPr>
      </w:pPr>
    </w:p>
    <w:p>
      <w:pPr>
        <w:spacing w:line="300" w:lineRule="exact"/>
        <w:jc w:val="center"/>
        <w:rPr>
          <w:rFonts w:ascii="仿宋" w:hAnsi="仿宋" w:eastAsia="仿宋" w:cs="Times New Roman"/>
          <w:kern w:val="0"/>
          <w:sz w:val="21"/>
          <w:szCs w:val="21"/>
        </w:rPr>
      </w:pPr>
    </w:p>
    <w:p>
      <w:pPr>
        <w:spacing w:line="276" w:lineRule="auto"/>
        <w:ind w:firstLine="316" w:firstLineChars="150"/>
        <w:jc w:val="both"/>
        <w:rPr>
          <w:rFonts w:ascii="Times New Roman" w:hAnsi="Times New Roman" w:cs="Times New Roman"/>
          <w:sz w:val="21"/>
        </w:rPr>
      </w:pPr>
      <w:r>
        <w:rPr>
          <w:rFonts w:ascii="宋体" w:hAnsi="宋体" w:cs="Times New Roman"/>
          <w:b/>
          <w:sz w:val="21"/>
        </w:rPr>
        <w:br w:type="page"/>
      </w:r>
    </w:p>
    <w:p>
      <w:pPr>
        <w:pStyle w:val="5"/>
        <w:jc w:val="center"/>
      </w:pPr>
      <w:r>
        <w:rPr>
          <w:rFonts w:hint="eastAsia"/>
        </w:rPr>
        <w:t>□九、其他资料</w:t>
      </w:r>
    </w:p>
    <w:p>
      <w:pPr>
        <w:spacing w:line="500" w:lineRule="exact"/>
        <w:jc w:val="both"/>
        <w:rPr>
          <w:rFonts w:ascii="宋体" w:hAnsi="宋体" w:cs="Times New Roman"/>
          <w:b/>
          <w:sz w:val="21"/>
          <w:szCs w:val="21"/>
        </w:rPr>
      </w:pPr>
    </w:p>
    <w:p>
      <w:r>
        <w:rPr>
          <w:rFonts w:hint="eastAsia"/>
        </w:rPr>
        <w:t>□</w:t>
      </w:r>
      <w:r>
        <w:t>须评审财务状况的，</w:t>
      </w:r>
      <w:r>
        <w:rPr>
          <w:rFonts w:hint="eastAsia"/>
        </w:rPr>
        <w:t>应附近3年或成立至今（成立不足3年的）经会计师事务所或审计机构出具的财务会计报表，包括资产负债表、现金流量表、利润表的复印件或扫描件，不含财务情况说明书。</w:t>
      </w:r>
    </w:p>
    <w:p>
      <w:r>
        <w:rPr>
          <w:rFonts w:hint="eastAsia"/>
        </w:rPr>
        <w:t>□投标人认为有必要提供的其他资料</w:t>
      </w:r>
      <w:r>
        <w:t>。</w:t>
      </w:r>
    </w:p>
    <w:p>
      <w:pPr>
        <w:spacing w:line="500" w:lineRule="exact"/>
        <w:jc w:val="both"/>
        <w:rPr>
          <w:rFonts w:ascii="仿宋" w:hAnsi="仿宋" w:eastAsia="仿宋" w:cs="Times New Roman"/>
          <w:sz w:val="21"/>
          <w:szCs w:val="21"/>
        </w:rPr>
      </w:pPr>
    </w:p>
    <w:p>
      <w:pPr>
        <w:widowControl/>
        <w:spacing w:line="240" w:lineRule="auto"/>
        <w:rPr>
          <w:rFonts w:ascii="仿宋" w:hAnsi="仿宋" w:eastAsia="仿宋" w:cs="Times New Roman"/>
          <w:sz w:val="21"/>
          <w:szCs w:val="21"/>
        </w:rPr>
      </w:pPr>
      <w:r>
        <w:rPr>
          <w:rFonts w:ascii="仿宋" w:hAnsi="仿宋" w:eastAsia="仿宋" w:cs="Times New Roman"/>
          <w:sz w:val="21"/>
          <w:szCs w:val="21"/>
        </w:rPr>
        <w:br w:type="page"/>
      </w:r>
    </w:p>
    <w:p>
      <w:pPr>
        <w:pStyle w:val="5"/>
      </w:pPr>
      <w:r>
        <w:rPr>
          <w:rFonts w:hint="eastAsia"/>
        </w:rPr>
        <w:t>□招标文件附件</w:t>
      </w:r>
    </w:p>
    <w:p>
      <w:bookmarkStart w:id="270" w:name="_Toc771"/>
      <w:bookmarkStart w:id="271" w:name="_Toc30895"/>
      <w:r>
        <w:rPr>
          <w:rFonts w:hint="eastAsia"/>
        </w:rPr>
        <w:t>附件一：</w:t>
      </w:r>
      <w:bookmarkEnd w:id="270"/>
      <w:bookmarkEnd w:id="271"/>
    </w:p>
    <w:p>
      <w:pPr>
        <w:pStyle w:val="6"/>
        <w:jc w:val="center"/>
        <w:rPr>
          <w:b/>
          <w:bCs/>
        </w:rPr>
      </w:pPr>
      <w:bookmarkStart w:id="272" w:name="_Toc144974861"/>
      <w:bookmarkStart w:id="273" w:name="_Toc152045792"/>
      <w:bookmarkStart w:id="274" w:name="_Toc247085878"/>
      <w:bookmarkStart w:id="275" w:name="_Toc152042581"/>
      <w:bookmarkStart w:id="276" w:name="_Toc296602606"/>
      <w:bookmarkStart w:id="277" w:name="_Toc246997103"/>
      <w:bookmarkStart w:id="278" w:name="_Toc246996360"/>
      <w:bookmarkStart w:id="279" w:name="_Toc179632812"/>
      <w:r>
        <w:rPr>
          <w:rFonts w:hint="eastAsia"/>
          <w:b/>
          <w:bCs/>
        </w:rPr>
        <w:t>授权委托书</w:t>
      </w:r>
      <w:bookmarkEnd w:id="272"/>
      <w:bookmarkEnd w:id="273"/>
      <w:bookmarkEnd w:id="274"/>
      <w:bookmarkEnd w:id="275"/>
      <w:bookmarkEnd w:id="276"/>
      <w:bookmarkEnd w:id="277"/>
      <w:bookmarkEnd w:id="278"/>
      <w:bookmarkEnd w:id="279"/>
      <w:r>
        <w:rPr>
          <w:rFonts w:hint="eastAsia"/>
          <w:b/>
          <w:bCs/>
        </w:rPr>
        <w:t>（非联合体）</w:t>
      </w:r>
    </w:p>
    <w:p>
      <w:pPr>
        <w:ind w:left="376" w:leftChars="171" w:firstLine="420" w:firstLineChars="200"/>
        <w:jc w:val="both"/>
        <w:rPr>
          <w:rFonts w:ascii="宋体" w:hAnsi="宋体" w:eastAsia="等线" w:cs="Times New Roman"/>
          <w:sz w:val="21"/>
          <w:szCs w:val="21"/>
        </w:rPr>
      </w:pPr>
    </w:p>
    <w:p>
      <w:pPr>
        <w:ind w:left="376" w:leftChars="171" w:firstLine="440" w:firstLineChars="200"/>
        <w:jc w:val="both"/>
        <w:rPr>
          <w:rFonts w:ascii="宋体" w:hAnsi="宋体" w:cs="Times New Roman"/>
          <w:szCs w:val="22"/>
        </w:rPr>
      </w:pPr>
      <w:r>
        <w:rPr>
          <w:rFonts w:hint="eastAsia" w:ascii="宋体" w:hAnsi="宋体" w:cs="Times New Roman"/>
          <w:szCs w:val="22"/>
        </w:rPr>
        <w:t>本人系</w:t>
      </w:r>
      <w:r>
        <w:rPr>
          <w:rFonts w:hint="eastAsia" w:ascii="宋体" w:hAnsi="宋体" w:cs="Times New Roman"/>
          <w:szCs w:val="22"/>
          <w:u w:val="single"/>
        </w:rPr>
        <w:t xml:space="preserve">            </w:t>
      </w:r>
      <w:r>
        <w:rPr>
          <w:rFonts w:hint="eastAsia" w:ascii="宋体" w:hAnsi="宋体" w:cs="Times New Roman"/>
          <w:szCs w:val="22"/>
        </w:rPr>
        <w:t>（投标人名称）的法定代表人，现委托本单位人员</w:t>
      </w:r>
      <w:r>
        <w:rPr>
          <w:rFonts w:hint="eastAsia" w:ascii="宋体" w:hAnsi="宋体" w:cs="Times New Roman"/>
          <w:szCs w:val="22"/>
          <w:u w:val="single"/>
        </w:rPr>
        <w:t xml:space="preserve">         </w:t>
      </w:r>
      <w:r>
        <w:rPr>
          <w:rFonts w:hint="eastAsia" w:ascii="宋体" w:hAnsi="宋体" w:cs="Times New Roman"/>
          <w:szCs w:val="22"/>
        </w:rPr>
        <w:t>为我方代理人。代理人根据授权，在本项目招标、投标、评标、合同签署等活动过程中所签署的一切文件和处理与之有关的一切事务（向有关行政监督部门投诉另行授权），其法律后果由我方承担。</w:t>
      </w:r>
    </w:p>
    <w:p>
      <w:pPr>
        <w:ind w:left="376" w:leftChars="171" w:firstLine="440" w:firstLineChars="200"/>
        <w:jc w:val="both"/>
        <w:rPr>
          <w:rFonts w:ascii="宋体" w:hAnsi="宋体" w:cs="Times New Roman"/>
          <w:szCs w:val="22"/>
        </w:rPr>
      </w:pPr>
      <w:r>
        <w:rPr>
          <w:rFonts w:hint="eastAsia" w:ascii="宋体" w:hAnsi="宋体" w:cs="Times New Roman"/>
          <w:szCs w:val="22"/>
        </w:rPr>
        <w:t>委托期限：</w:t>
      </w:r>
      <w:r>
        <w:rPr>
          <w:rFonts w:hint="eastAsia" w:ascii="宋体" w:hAnsi="宋体" w:cs="Times New Roman"/>
          <w:szCs w:val="22"/>
          <w:u w:val="single"/>
        </w:rPr>
        <w:t>自本授权委托书签署之日起至第二章“投标人须知”前附表3.3.1规定的“投标有效期”结束为止。</w:t>
      </w:r>
    </w:p>
    <w:p>
      <w:pPr>
        <w:ind w:left="376" w:leftChars="171" w:firstLine="440" w:firstLineChars="200"/>
        <w:jc w:val="both"/>
        <w:rPr>
          <w:rFonts w:ascii="宋体" w:hAnsi="宋体" w:cs="Times New Roman"/>
          <w:szCs w:val="22"/>
        </w:rPr>
      </w:pPr>
      <w:r>
        <w:rPr>
          <w:rFonts w:hint="eastAsia" w:ascii="宋体" w:hAnsi="宋体" w:cs="Times New Roman"/>
          <w:szCs w:val="22"/>
        </w:rPr>
        <w:t>代理人无转委托权。</w:t>
      </w:r>
    </w:p>
    <w:p>
      <w:pPr>
        <w:ind w:left="376" w:leftChars="171" w:firstLine="440" w:firstLineChars="200"/>
        <w:jc w:val="both"/>
        <w:rPr>
          <w:rFonts w:ascii="宋体" w:hAnsi="宋体" w:cs="Times New Roman"/>
          <w:szCs w:val="22"/>
        </w:rPr>
      </w:pPr>
    </w:p>
    <w:p>
      <w:pPr>
        <w:ind w:left="376" w:leftChars="171" w:firstLine="440" w:firstLineChars="200"/>
        <w:jc w:val="both"/>
        <w:rPr>
          <w:rFonts w:ascii="宋体" w:hAnsi="宋体" w:cs="Times New Roman"/>
          <w:szCs w:val="22"/>
        </w:rPr>
      </w:pPr>
      <w:r>
        <w:rPr>
          <w:rFonts w:hint="eastAsia" w:ascii="宋体" w:hAnsi="宋体" w:cs="Times New Roman"/>
          <w:szCs w:val="22"/>
        </w:rPr>
        <w:t>附：委托代理人身份证（正反面）复印件或扫描件。</w:t>
      </w:r>
    </w:p>
    <w:p>
      <w:pPr>
        <w:ind w:left="376" w:leftChars="171" w:firstLine="440" w:firstLineChars="200"/>
        <w:jc w:val="both"/>
        <w:rPr>
          <w:rFonts w:ascii="宋体" w:hAnsi="宋体" w:cs="Times New Roman"/>
          <w:szCs w:val="22"/>
        </w:rPr>
      </w:pPr>
    </w:p>
    <w:p>
      <w:pPr>
        <w:ind w:left="376" w:leftChars="171" w:firstLine="440" w:firstLineChars="200"/>
        <w:jc w:val="both"/>
        <w:rPr>
          <w:rFonts w:ascii="宋体" w:hAnsi="宋体" w:cs="Times New Roman"/>
          <w:szCs w:val="22"/>
        </w:rPr>
      </w:pPr>
    </w:p>
    <w:p>
      <w:pPr>
        <w:ind w:left="376" w:leftChars="171" w:firstLine="440" w:firstLineChars="200"/>
        <w:jc w:val="both"/>
        <w:rPr>
          <w:rFonts w:ascii="宋体" w:hAnsi="宋体" w:cs="Times New Roman"/>
          <w:szCs w:val="22"/>
        </w:rPr>
      </w:pPr>
    </w:p>
    <w:p>
      <w:pPr>
        <w:ind w:firstLine="3300" w:firstLineChars="1500"/>
        <w:jc w:val="both"/>
        <w:rPr>
          <w:rFonts w:ascii="宋体" w:hAnsi="宋体" w:cs="Times New Roman"/>
          <w:szCs w:val="22"/>
        </w:rPr>
      </w:pPr>
      <w:r>
        <w:rPr>
          <w:rFonts w:hint="eastAsia" w:ascii="宋体" w:hAnsi="宋体" w:cs="Times New Roman"/>
          <w:szCs w:val="22"/>
        </w:rPr>
        <w:t>投标人：</w:t>
      </w:r>
      <w:r>
        <w:rPr>
          <w:rFonts w:hint="eastAsia" w:ascii="宋体" w:hAnsi="宋体" w:cs="Times New Roman"/>
          <w:szCs w:val="22"/>
          <w:u w:val="single"/>
        </w:rPr>
        <w:t xml:space="preserve">             </w:t>
      </w:r>
      <w:r>
        <w:rPr>
          <w:rFonts w:hint="eastAsia" w:ascii="宋体" w:hAnsi="宋体" w:cs="Times New Roman"/>
          <w:szCs w:val="22"/>
        </w:rPr>
        <w:t>（盖单位章）</w:t>
      </w:r>
    </w:p>
    <w:p>
      <w:pPr>
        <w:ind w:firstLine="3300" w:firstLineChars="1500"/>
        <w:jc w:val="both"/>
        <w:rPr>
          <w:rFonts w:ascii="宋体" w:hAnsi="宋体" w:cs="Times New Roman"/>
          <w:szCs w:val="22"/>
        </w:rPr>
      </w:pPr>
      <w:r>
        <w:rPr>
          <w:rFonts w:hint="eastAsia" w:ascii="宋体" w:hAnsi="宋体" w:cs="Times New Roman"/>
          <w:szCs w:val="22"/>
        </w:rPr>
        <w:t>法定代表人：</w:t>
      </w:r>
      <w:r>
        <w:rPr>
          <w:rFonts w:hint="eastAsia" w:ascii="宋体" w:hAnsi="宋体" w:cs="Times New Roman"/>
          <w:szCs w:val="22"/>
          <w:u w:val="single"/>
        </w:rPr>
        <w:t xml:space="preserve">          </w:t>
      </w:r>
      <w:r>
        <w:rPr>
          <w:rFonts w:hint="eastAsia" w:ascii="宋体" w:hAnsi="宋体" w:cs="Times New Roman"/>
          <w:szCs w:val="22"/>
        </w:rPr>
        <w:t>（签字或盖章）</w:t>
      </w:r>
    </w:p>
    <w:p>
      <w:pPr>
        <w:ind w:firstLine="3300" w:firstLineChars="1500"/>
        <w:jc w:val="both"/>
        <w:rPr>
          <w:rFonts w:ascii="宋体" w:hAnsi="宋体" w:cs="Times New Roman"/>
          <w:szCs w:val="22"/>
        </w:rPr>
      </w:pPr>
      <w:r>
        <w:rPr>
          <w:rFonts w:hint="eastAsia" w:ascii="宋体" w:hAnsi="宋体" w:cs="Times New Roman"/>
          <w:szCs w:val="22"/>
        </w:rPr>
        <w:t>委托代理人：</w:t>
      </w:r>
      <w:r>
        <w:rPr>
          <w:rFonts w:hint="eastAsia" w:ascii="宋体" w:hAnsi="宋体" w:cs="Times New Roman"/>
          <w:szCs w:val="22"/>
          <w:u w:val="single"/>
        </w:rPr>
        <w:t xml:space="preserve">          </w:t>
      </w:r>
      <w:r>
        <w:rPr>
          <w:rFonts w:hint="eastAsia" w:ascii="宋体" w:hAnsi="宋体" w:cs="Times New Roman"/>
          <w:szCs w:val="22"/>
        </w:rPr>
        <w:t>（签字）</w:t>
      </w:r>
    </w:p>
    <w:p>
      <w:pPr>
        <w:ind w:left="376" w:leftChars="171" w:firstLine="5610" w:firstLineChars="2550"/>
        <w:jc w:val="both"/>
        <w:rPr>
          <w:rFonts w:ascii="宋体" w:hAnsi="宋体" w:cs="Times New Roman"/>
          <w:szCs w:val="22"/>
        </w:rPr>
      </w:pPr>
    </w:p>
    <w:p>
      <w:pPr>
        <w:ind w:left="376" w:leftChars="171" w:right="560"/>
        <w:jc w:val="center"/>
        <w:rPr>
          <w:rFonts w:ascii="宋体" w:hAnsi="宋体" w:cs="Times New Roman"/>
          <w:szCs w:val="22"/>
        </w:rPr>
      </w:pPr>
      <w:r>
        <w:rPr>
          <w:rFonts w:hint="eastAsia" w:ascii="宋体" w:hAnsi="宋体" w:cs="Times New Roman"/>
          <w:szCs w:val="22"/>
          <w:u w:val="single"/>
        </w:rPr>
        <w:t xml:space="preserve">    </w:t>
      </w:r>
      <w:r>
        <w:rPr>
          <w:rFonts w:hint="eastAsia" w:ascii="宋体" w:hAnsi="宋体" w:cs="Times New Roman"/>
          <w:szCs w:val="22"/>
        </w:rPr>
        <w:t>年</w:t>
      </w:r>
      <w:r>
        <w:rPr>
          <w:rFonts w:hint="eastAsia" w:ascii="宋体" w:hAnsi="宋体" w:cs="Times New Roman"/>
          <w:szCs w:val="22"/>
          <w:u w:val="single"/>
        </w:rPr>
        <w:t xml:space="preserve">    </w:t>
      </w:r>
      <w:r>
        <w:rPr>
          <w:rFonts w:hint="eastAsia" w:ascii="宋体" w:hAnsi="宋体" w:cs="Times New Roman"/>
          <w:szCs w:val="22"/>
        </w:rPr>
        <w:t>月</w:t>
      </w:r>
      <w:r>
        <w:rPr>
          <w:rFonts w:hint="eastAsia" w:ascii="宋体" w:hAnsi="宋体" w:cs="Times New Roman"/>
          <w:szCs w:val="22"/>
          <w:u w:val="single"/>
        </w:rPr>
        <w:t xml:space="preserve">    </w:t>
      </w:r>
      <w:r>
        <w:rPr>
          <w:rFonts w:hint="eastAsia" w:ascii="宋体" w:hAnsi="宋体" w:cs="Times New Roman"/>
          <w:szCs w:val="22"/>
        </w:rPr>
        <w:t>日</w:t>
      </w:r>
    </w:p>
    <w:p>
      <w:pPr>
        <w:ind w:left="376" w:leftChars="171" w:firstLine="5280" w:firstLineChars="2400"/>
        <w:jc w:val="both"/>
        <w:rPr>
          <w:rFonts w:ascii="宋体" w:hAnsi="宋体" w:cs="Times New Roman"/>
          <w:szCs w:val="22"/>
        </w:rPr>
      </w:pPr>
    </w:p>
    <w:p>
      <w:pPr>
        <w:ind w:left="376" w:leftChars="171"/>
        <w:jc w:val="both"/>
        <w:rPr>
          <w:rFonts w:ascii="宋体" w:hAnsi="宋体" w:cs="Times New Roman"/>
          <w:szCs w:val="22"/>
        </w:rPr>
      </w:pPr>
      <w:r>
        <w:rPr>
          <w:rFonts w:hint="eastAsia" w:ascii="宋体" w:hAnsi="宋体" w:cs="Times New Roman"/>
          <w:szCs w:val="22"/>
        </w:rPr>
        <w:t xml:space="preserve">注： </w:t>
      </w:r>
    </w:p>
    <w:p>
      <w:pPr>
        <w:spacing w:line="240" w:lineRule="auto"/>
        <w:ind w:firstLine="770" w:firstLineChars="350"/>
        <w:jc w:val="both"/>
        <w:rPr>
          <w:rFonts w:ascii="宋体" w:hAnsi="宋体" w:cs="Times New Roman"/>
          <w:szCs w:val="22"/>
        </w:rPr>
      </w:pPr>
      <w:r>
        <w:rPr>
          <w:rFonts w:hint="eastAsia" w:ascii="宋体" w:hAnsi="宋体" w:cs="Times New Roman"/>
          <w:szCs w:val="22"/>
        </w:rPr>
        <w:t>委托代理人应在开标时向招标人单独递交授权委托书原件（投标文件中不需附授权委托书）。</w:t>
      </w:r>
    </w:p>
    <w:p>
      <w:pPr>
        <w:ind w:left="376" w:leftChars="171"/>
        <w:jc w:val="both"/>
        <w:rPr>
          <w:rFonts w:ascii="宋体" w:hAnsi="宋体" w:cs="Times New Roman"/>
          <w:szCs w:val="22"/>
        </w:rPr>
      </w:pPr>
    </w:p>
    <w:p>
      <w:pPr>
        <w:spacing w:line="240" w:lineRule="auto"/>
        <w:jc w:val="both"/>
        <w:rPr>
          <w:rFonts w:ascii="Times New Roman" w:hAnsi="Times New Roman" w:cs="Times New Roman"/>
          <w:sz w:val="21"/>
        </w:rPr>
      </w:pPr>
    </w:p>
    <w:p>
      <w:pPr>
        <w:widowControl/>
        <w:spacing w:line="240" w:lineRule="auto"/>
        <w:jc w:val="both"/>
        <w:rPr>
          <w:rFonts w:ascii="Times New Roman" w:hAnsi="Times New Roman" w:cs="Times New Roman"/>
          <w:sz w:val="21"/>
        </w:rPr>
      </w:pPr>
      <w:r>
        <w:rPr>
          <w:rFonts w:ascii="Times New Roman" w:hAnsi="Times New Roman" w:cs="Times New Roman"/>
          <w:sz w:val="21"/>
        </w:rPr>
        <w:br w:type="page"/>
      </w:r>
    </w:p>
    <w:p>
      <w:bookmarkStart w:id="280" w:name="_Toc20678"/>
      <w:bookmarkStart w:id="281" w:name="_Toc1830"/>
      <w:r>
        <w:rPr>
          <w:rFonts w:hint="eastAsia"/>
        </w:rPr>
        <w:t>附件二：</w:t>
      </w:r>
      <w:bookmarkEnd w:id="280"/>
      <w:bookmarkEnd w:id="281"/>
    </w:p>
    <w:p>
      <w:pPr>
        <w:pStyle w:val="6"/>
        <w:jc w:val="center"/>
        <w:rPr>
          <w:b/>
          <w:bCs/>
          <w:lang w:val="zh-CN"/>
        </w:rPr>
      </w:pPr>
      <w:r>
        <w:rPr>
          <w:rFonts w:hint="eastAsia"/>
          <w:b/>
          <w:bCs/>
        </w:rPr>
        <w:t>授权委托书（联合体）</w:t>
      </w:r>
    </w:p>
    <w:p>
      <w:pPr>
        <w:tabs>
          <w:tab w:val="left" w:pos="0"/>
          <w:tab w:val="left" w:pos="1134"/>
          <w:tab w:val="left" w:pos="1843"/>
        </w:tabs>
        <w:autoSpaceDE w:val="0"/>
        <w:autoSpaceDN w:val="0"/>
        <w:spacing w:line="500" w:lineRule="exact"/>
        <w:ind w:right="2" w:rightChars="1" w:firstLine="440" w:firstLineChars="200"/>
        <w:jc w:val="both"/>
        <w:textAlignment w:val="bottom"/>
        <w:rPr>
          <w:rFonts w:ascii="宋体" w:hAnsi="宋体" w:cs="Times New Roman"/>
          <w:szCs w:val="22"/>
        </w:rPr>
      </w:pPr>
      <w:r>
        <w:rPr>
          <w:rFonts w:hint="eastAsia" w:ascii="宋体" w:hAnsi="宋体" w:cs="Times New Roman"/>
          <w:szCs w:val="22"/>
        </w:rPr>
        <w:t>本授权委托书声明：我</w:t>
      </w:r>
      <w:r>
        <w:rPr>
          <w:rFonts w:hint="eastAsia" w:ascii="宋体" w:hAnsi="宋体" w:cs="Times New Roman"/>
          <w:szCs w:val="22"/>
          <w:u w:val="single"/>
        </w:rPr>
        <w:t xml:space="preserve">  </w:t>
      </w:r>
      <w:r>
        <w:rPr>
          <w:rFonts w:hint="eastAsia" w:ascii="宋体" w:hAnsi="宋体" w:cs="Times New Roman"/>
          <w:b/>
          <w:szCs w:val="22"/>
          <w:u w:val="single"/>
        </w:rPr>
        <w:t xml:space="preserve">   </w:t>
      </w:r>
      <w:r>
        <w:rPr>
          <w:rFonts w:hint="eastAsia" w:ascii="宋体" w:hAnsi="宋体" w:cs="Times New Roman"/>
          <w:szCs w:val="22"/>
          <w:u w:val="single"/>
        </w:rPr>
        <w:t xml:space="preserve"> </w:t>
      </w:r>
      <w:r>
        <w:rPr>
          <w:rFonts w:hint="eastAsia" w:ascii="宋体" w:hAnsi="宋体" w:cs="Times New Roman"/>
          <w:szCs w:val="22"/>
        </w:rPr>
        <w:t xml:space="preserve">（姓名）系 </w:t>
      </w:r>
      <w:r>
        <w:rPr>
          <w:rFonts w:hint="eastAsia" w:ascii="宋体" w:hAnsi="宋体" w:cs="Times New Roman"/>
          <w:szCs w:val="22"/>
          <w:u w:val="single"/>
        </w:rPr>
        <w:t xml:space="preserve">               </w:t>
      </w:r>
      <w:r>
        <w:rPr>
          <w:rFonts w:hint="eastAsia" w:ascii="宋体" w:hAnsi="宋体" w:cs="Times New Roman"/>
          <w:szCs w:val="22"/>
        </w:rPr>
        <w:t>(联合体牵头人)的法定代表人，我</w:t>
      </w:r>
      <w:r>
        <w:rPr>
          <w:rFonts w:hint="eastAsia" w:ascii="宋体" w:hAnsi="宋体" w:cs="Times New Roman"/>
          <w:szCs w:val="22"/>
          <w:u w:val="single"/>
        </w:rPr>
        <w:t xml:space="preserve">       </w:t>
      </w:r>
      <w:r>
        <w:rPr>
          <w:rFonts w:hint="eastAsia" w:ascii="宋体" w:hAnsi="宋体" w:cs="Times New Roman"/>
          <w:szCs w:val="22"/>
        </w:rPr>
        <w:t>（姓名）系</w:t>
      </w:r>
      <w:r>
        <w:rPr>
          <w:rFonts w:hint="eastAsia" w:ascii="宋体" w:hAnsi="宋体" w:cs="Times New Roman"/>
          <w:szCs w:val="22"/>
          <w:u w:val="single"/>
        </w:rPr>
        <w:t xml:space="preserve">               （</w:t>
      </w:r>
      <w:r>
        <w:rPr>
          <w:rFonts w:hint="eastAsia" w:ascii="宋体" w:hAnsi="宋体" w:cs="Times New Roman"/>
          <w:szCs w:val="22"/>
        </w:rPr>
        <w:t>联合体其他成员一名称)的法定代表人，我</w:t>
      </w:r>
      <w:r>
        <w:rPr>
          <w:rFonts w:hint="eastAsia" w:ascii="宋体" w:hAnsi="宋体" w:cs="Times New Roman"/>
          <w:szCs w:val="22"/>
          <w:u w:val="single"/>
        </w:rPr>
        <w:t xml:space="preserve">       </w:t>
      </w:r>
      <w:r>
        <w:rPr>
          <w:rFonts w:hint="eastAsia" w:ascii="宋体" w:hAnsi="宋体" w:cs="Times New Roman"/>
          <w:szCs w:val="22"/>
        </w:rPr>
        <w:t>（姓名）系</w:t>
      </w:r>
      <w:r>
        <w:rPr>
          <w:rFonts w:hint="eastAsia" w:ascii="宋体" w:hAnsi="宋体" w:cs="Times New Roman"/>
          <w:szCs w:val="22"/>
          <w:u w:val="single"/>
        </w:rPr>
        <w:t xml:space="preserve">           </w:t>
      </w:r>
      <w:r>
        <w:rPr>
          <w:rFonts w:hint="eastAsia" w:ascii="宋体" w:hAnsi="宋体" w:cs="Times New Roman"/>
          <w:szCs w:val="22"/>
        </w:rPr>
        <w:t>(联合体其他成员二名称)的法定代表人，我</w:t>
      </w:r>
      <w:r>
        <w:rPr>
          <w:rFonts w:hint="eastAsia" w:ascii="宋体" w:hAnsi="宋体" w:cs="Times New Roman"/>
          <w:szCs w:val="22"/>
          <w:u w:val="single"/>
        </w:rPr>
        <w:t xml:space="preserve">      </w:t>
      </w:r>
      <w:r>
        <w:rPr>
          <w:rFonts w:hint="eastAsia" w:ascii="宋体" w:hAnsi="宋体" w:cs="Times New Roman"/>
          <w:szCs w:val="22"/>
        </w:rPr>
        <w:t>（姓名）系</w:t>
      </w:r>
      <w:r>
        <w:rPr>
          <w:rFonts w:hint="eastAsia" w:ascii="宋体" w:hAnsi="宋体" w:cs="Times New Roman"/>
          <w:szCs w:val="22"/>
          <w:u w:val="single"/>
        </w:rPr>
        <w:t xml:space="preserve">            （</w:t>
      </w:r>
      <w:r>
        <w:rPr>
          <w:rFonts w:hint="eastAsia" w:ascii="宋体" w:hAnsi="宋体" w:cs="Times New Roman"/>
          <w:szCs w:val="22"/>
        </w:rPr>
        <w:t xml:space="preserve">联合体其他成员三名称)的法定代表人，现共同授权委托 </w:t>
      </w:r>
      <w:r>
        <w:rPr>
          <w:rFonts w:hint="eastAsia" w:ascii="宋体" w:hAnsi="宋体" w:cs="Times New Roman"/>
          <w:szCs w:val="22"/>
          <w:u w:val="single"/>
        </w:rPr>
        <w:t xml:space="preserve">                        </w:t>
      </w:r>
      <w:r>
        <w:rPr>
          <w:rFonts w:hint="eastAsia" w:ascii="宋体" w:hAnsi="宋体" w:cs="Times New Roman"/>
          <w:szCs w:val="22"/>
        </w:rPr>
        <w:t>(联合体牵头人)的</w:t>
      </w:r>
      <w:r>
        <w:rPr>
          <w:rFonts w:hint="eastAsia" w:ascii="宋体" w:hAnsi="宋体" w:cs="Times New Roman"/>
          <w:szCs w:val="22"/>
          <w:u w:val="single"/>
        </w:rPr>
        <w:t xml:space="preserve">      </w:t>
      </w:r>
      <w:r>
        <w:rPr>
          <w:rFonts w:hint="eastAsia" w:ascii="宋体" w:hAnsi="宋体" w:cs="Times New Roman"/>
          <w:b/>
          <w:szCs w:val="22"/>
          <w:u w:val="single"/>
        </w:rPr>
        <w:t xml:space="preserve"> </w:t>
      </w:r>
      <w:r>
        <w:rPr>
          <w:rFonts w:hint="eastAsia" w:ascii="宋体" w:hAnsi="宋体" w:cs="Times New Roman"/>
          <w:szCs w:val="22"/>
        </w:rPr>
        <w:t>(委托代理人)为我们所组成投标联合体参加</w:t>
      </w:r>
      <w:r>
        <w:rPr>
          <w:rFonts w:hint="eastAsia" w:ascii="宋体" w:hAnsi="宋体" w:cs="Times New Roman"/>
          <w:szCs w:val="22"/>
          <w:u w:val="single"/>
        </w:rPr>
        <w:t xml:space="preserve">     (项目名称)  </w:t>
      </w:r>
      <w:r>
        <w:rPr>
          <w:rFonts w:hint="eastAsia" w:ascii="宋体" w:hAnsi="宋体" w:cs="Times New Roman"/>
          <w:szCs w:val="22"/>
        </w:rPr>
        <w:t>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spacing w:line="500" w:lineRule="exact"/>
        <w:ind w:firstLine="440" w:firstLineChars="200"/>
        <w:jc w:val="both"/>
        <w:rPr>
          <w:rFonts w:ascii="宋体" w:hAnsi="宋体" w:cs="Times New Roman"/>
          <w:szCs w:val="22"/>
        </w:rPr>
      </w:pPr>
      <w:r>
        <w:rPr>
          <w:rFonts w:hint="eastAsia" w:ascii="宋体" w:hAnsi="宋体" w:cs="Times New Roman"/>
          <w:szCs w:val="22"/>
        </w:rPr>
        <w:t>委托期限：</w:t>
      </w:r>
      <w:r>
        <w:rPr>
          <w:rFonts w:hint="eastAsia" w:ascii="宋体" w:hAnsi="宋体" w:cs="Times New Roman"/>
          <w:szCs w:val="22"/>
          <w:u w:val="single"/>
        </w:rPr>
        <w:t>自本授权委托书签署之日起至招标文件约定的“投标有效期”结束为止</w:t>
      </w:r>
      <w:r>
        <w:rPr>
          <w:rFonts w:hint="eastAsia" w:ascii="宋体" w:hAnsi="宋体" w:cs="Times New Roman"/>
          <w:b/>
          <w:szCs w:val="22"/>
          <w:u w:val="single"/>
        </w:rPr>
        <w:t>。</w:t>
      </w:r>
    </w:p>
    <w:p>
      <w:pPr>
        <w:tabs>
          <w:tab w:val="left" w:pos="0"/>
          <w:tab w:val="left" w:pos="1134"/>
          <w:tab w:val="left" w:pos="1843"/>
        </w:tabs>
        <w:autoSpaceDE w:val="0"/>
        <w:autoSpaceDN w:val="0"/>
        <w:spacing w:line="500" w:lineRule="exact"/>
        <w:ind w:right="2" w:rightChars="1" w:firstLine="440" w:firstLineChars="200"/>
        <w:jc w:val="both"/>
        <w:textAlignment w:val="bottom"/>
        <w:rPr>
          <w:rFonts w:ascii="宋体" w:hAnsi="宋体" w:cs="Times New Roman"/>
          <w:szCs w:val="22"/>
        </w:rPr>
      </w:pPr>
      <w:r>
        <w:rPr>
          <w:rFonts w:hint="eastAsia" w:ascii="宋体" w:hAnsi="宋体" w:cs="Times New Roman"/>
          <w:szCs w:val="22"/>
        </w:rPr>
        <w:t>委托代理人无转委托权。</w:t>
      </w:r>
    </w:p>
    <w:p>
      <w:pPr>
        <w:tabs>
          <w:tab w:val="left" w:pos="0"/>
          <w:tab w:val="left" w:pos="1134"/>
          <w:tab w:val="left" w:pos="1843"/>
        </w:tabs>
        <w:autoSpaceDE w:val="0"/>
        <w:autoSpaceDN w:val="0"/>
        <w:adjustRightInd w:val="0"/>
        <w:spacing w:before="60" w:after="60" w:line="500" w:lineRule="exact"/>
        <w:ind w:right="2" w:rightChars="1"/>
        <w:jc w:val="both"/>
        <w:textAlignment w:val="bottom"/>
      </w:pPr>
      <w:r>
        <w:rPr>
          <w:rFonts w:hint="eastAsia" w:ascii="宋体" w:hAnsi="宋体" w:cs="Times New Roman"/>
          <w:szCs w:val="22"/>
        </w:rPr>
        <w:t>附：法定代表人身份证（正反面）复印件或扫描件、委托代理人身份证（正反面）复印件或扫描件。</w:t>
      </w:r>
    </w:p>
    <w:p>
      <w:pPr>
        <w:tabs>
          <w:tab w:val="left" w:pos="0"/>
          <w:tab w:val="left" w:pos="1134"/>
          <w:tab w:val="left" w:pos="1843"/>
        </w:tabs>
        <w:autoSpaceDE w:val="0"/>
        <w:autoSpaceDN w:val="0"/>
        <w:adjustRightInd w:val="0"/>
        <w:spacing w:before="60" w:after="60" w:line="500" w:lineRule="exact"/>
        <w:ind w:left="440" w:leftChars="200" w:right="2" w:rightChars="1" w:firstLine="5610" w:firstLineChars="2550"/>
        <w:jc w:val="both"/>
        <w:textAlignment w:val="bottom"/>
        <w:rPr>
          <w:rFonts w:ascii="宋体" w:hAnsi="宋体" w:cs="Times New Roman"/>
          <w:szCs w:val="22"/>
        </w:rPr>
      </w:pPr>
      <w:r>
        <w:rPr>
          <w:rFonts w:hint="eastAsia" w:ascii="宋体" w:hAnsi="宋体" w:cs="Times New Roman"/>
          <w:szCs w:val="22"/>
        </w:rPr>
        <w:t>委托代理人姓名：</w:t>
      </w:r>
      <w:r>
        <w:rPr>
          <w:rFonts w:hint="eastAsia" w:ascii="宋体" w:hAnsi="宋体" w:cs="Times New Roman"/>
          <w:szCs w:val="22"/>
          <w:u w:val="single"/>
        </w:rPr>
        <w:t xml:space="preserve">                </w:t>
      </w:r>
      <w:r>
        <w:rPr>
          <w:rFonts w:hint="eastAsia" w:ascii="宋体" w:hAnsi="宋体" w:cs="Times New Roman"/>
          <w:szCs w:val="22"/>
        </w:rPr>
        <w:t xml:space="preserve"> </w:t>
      </w:r>
    </w:p>
    <w:p>
      <w:pPr>
        <w:tabs>
          <w:tab w:val="left" w:pos="0"/>
          <w:tab w:val="left" w:pos="1134"/>
          <w:tab w:val="left" w:pos="1843"/>
        </w:tabs>
        <w:autoSpaceDE w:val="0"/>
        <w:autoSpaceDN w:val="0"/>
        <w:spacing w:line="500" w:lineRule="exact"/>
        <w:ind w:right="2" w:rightChars="1" w:firstLine="4620" w:firstLineChars="2100"/>
        <w:jc w:val="right"/>
        <w:textAlignment w:val="bottom"/>
        <w:rPr>
          <w:rFonts w:ascii="宋体" w:hAnsi="宋体" w:cs="Times New Roman"/>
          <w:szCs w:val="22"/>
        </w:rPr>
      </w:pPr>
      <w:r>
        <w:rPr>
          <w:rFonts w:hint="eastAsia" w:ascii="宋体" w:hAnsi="宋体" w:cs="Times New Roman"/>
          <w:szCs w:val="22"/>
        </w:rPr>
        <w:t>委托代理人：</w:t>
      </w:r>
      <w:r>
        <w:rPr>
          <w:rFonts w:hint="eastAsia" w:ascii="宋体" w:hAnsi="宋体" w:cs="Times New Roman"/>
          <w:szCs w:val="22"/>
          <w:u w:val="single"/>
        </w:rPr>
        <w:t xml:space="preserve">                    (签字)</w:t>
      </w:r>
      <w:r>
        <w:rPr>
          <w:rFonts w:hint="eastAsia" w:ascii="宋体" w:hAnsi="宋体" w:cs="Times New Roman"/>
          <w:szCs w:val="22"/>
        </w:rPr>
        <w:t xml:space="preserve"> </w:t>
      </w:r>
    </w:p>
    <w:p>
      <w:pPr>
        <w:tabs>
          <w:tab w:val="left" w:pos="0"/>
          <w:tab w:val="left" w:pos="1134"/>
          <w:tab w:val="left" w:pos="1843"/>
        </w:tabs>
        <w:autoSpaceDE w:val="0"/>
        <w:autoSpaceDN w:val="0"/>
        <w:spacing w:line="500" w:lineRule="exact"/>
        <w:ind w:right="2" w:rightChars="1" w:firstLine="440" w:firstLineChars="200"/>
        <w:jc w:val="right"/>
        <w:textAlignment w:val="bottom"/>
        <w:rPr>
          <w:rFonts w:ascii="宋体" w:hAnsi="宋体" w:cs="Times New Roman"/>
          <w:szCs w:val="22"/>
          <w:u w:val="single"/>
        </w:rPr>
      </w:pPr>
      <w:r>
        <w:rPr>
          <w:rFonts w:hint="eastAsia" w:ascii="宋体" w:hAnsi="宋体" w:cs="Times New Roman"/>
          <w:szCs w:val="22"/>
        </w:rPr>
        <w:t>联合体牵头人：</w:t>
      </w:r>
      <w:r>
        <w:rPr>
          <w:rFonts w:hint="eastAsia" w:ascii="宋体" w:hAnsi="宋体" w:cs="Times New Roman"/>
          <w:szCs w:val="22"/>
          <w:u w:val="single"/>
        </w:rPr>
        <w:t xml:space="preserve">   </w:t>
      </w:r>
      <w:r>
        <w:rPr>
          <w:rFonts w:hint="eastAsia" w:ascii="宋体" w:hAnsi="宋体" w:cs="Times New Roman"/>
          <w:b/>
          <w:szCs w:val="22"/>
          <w:u w:val="single"/>
        </w:rPr>
        <w:t xml:space="preserve">             </w:t>
      </w:r>
      <w:r>
        <w:rPr>
          <w:rFonts w:hint="eastAsia" w:ascii="宋体" w:hAnsi="宋体" w:cs="Times New Roman"/>
          <w:szCs w:val="22"/>
          <w:u w:val="single"/>
        </w:rPr>
        <w:t>(盖单位章)</w:t>
      </w:r>
    </w:p>
    <w:p>
      <w:pPr>
        <w:tabs>
          <w:tab w:val="left" w:pos="0"/>
          <w:tab w:val="left" w:pos="1134"/>
          <w:tab w:val="left" w:pos="1843"/>
        </w:tabs>
        <w:autoSpaceDE w:val="0"/>
        <w:autoSpaceDN w:val="0"/>
        <w:spacing w:line="500" w:lineRule="exact"/>
        <w:ind w:left="444" w:leftChars="202" w:right="2" w:rightChars="1"/>
        <w:jc w:val="right"/>
        <w:textAlignment w:val="bottom"/>
        <w:rPr>
          <w:rFonts w:ascii="宋体" w:hAnsi="宋体" w:cs="Times New Roman"/>
          <w:szCs w:val="22"/>
        </w:rPr>
      </w:pPr>
      <w:r>
        <w:rPr>
          <w:rFonts w:hint="eastAsia" w:ascii="宋体" w:hAnsi="宋体" w:cs="Times New Roman"/>
          <w:szCs w:val="22"/>
        </w:rPr>
        <w:t>法定代表人：</w:t>
      </w:r>
      <w:r>
        <w:rPr>
          <w:rFonts w:hint="eastAsia" w:ascii="宋体" w:hAnsi="宋体" w:cs="Times New Roman"/>
          <w:szCs w:val="22"/>
          <w:u w:val="single"/>
        </w:rPr>
        <w:t xml:space="preserve">                (签字或盖章)</w:t>
      </w:r>
    </w:p>
    <w:p>
      <w:pPr>
        <w:tabs>
          <w:tab w:val="left" w:pos="0"/>
          <w:tab w:val="left" w:pos="1134"/>
          <w:tab w:val="left" w:pos="1843"/>
        </w:tabs>
        <w:autoSpaceDE w:val="0"/>
        <w:autoSpaceDN w:val="0"/>
        <w:spacing w:line="500" w:lineRule="exact"/>
        <w:ind w:right="2" w:rightChars="1" w:firstLine="440" w:firstLineChars="200"/>
        <w:jc w:val="right"/>
        <w:textAlignment w:val="bottom"/>
        <w:rPr>
          <w:rFonts w:ascii="宋体" w:hAnsi="宋体" w:cs="Times New Roman"/>
          <w:szCs w:val="22"/>
        </w:rPr>
      </w:pPr>
      <w:r>
        <w:rPr>
          <w:rFonts w:hint="eastAsia" w:ascii="宋体" w:hAnsi="宋体" w:cs="Times New Roman"/>
          <w:szCs w:val="22"/>
        </w:rPr>
        <w:t>联合体其他成员单位一名称</w:t>
      </w:r>
      <w:r>
        <w:rPr>
          <w:rFonts w:hint="eastAsia" w:ascii="宋体" w:hAnsi="宋体" w:cs="Times New Roman"/>
          <w:b/>
          <w:szCs w:val="22"/>
          <w:u w:val="single"/>
        </w:rPr>
        <w:t xml:space="preserve">：                </w:t>
      </w:r>
      <w:r>
        <w:rPr>
          <w:rFonts w:hint="eastAsia" w:ascii="宋体" w:hAnsi="宋体" w:cs="Times New Roman"/>
          <w:szCs w:val="22"/>
          <w:u w:val="single"/>
        </w:rPr>
        <w:t>(盖单位章)</w:t>
      </w:r>
    </w:p>
    <w:p>
      <w:pPr>
        <w:tabs>
          <w:tab w:val="left" w:pos="0"/>
          <w:tab w:val="left" w:pos="1134"/>
          <w:tab w:val="left" w:pos="1843"/>
        </w:tabs>
        <w:autoSpaceDE w:val="0"/>
        <w:autoSpaceDN w:val="0"/>
        <w:spacing w:line="500" w:lineRule="exact"/>
        <w:ind w:right="2" w:rightChars="1" w:firstLine="440" w:firstLineChars="200"/>
        <w:jc w:val="right"/>
        <w:textAlignment w:val="bottom"/>
        <w:rPr>
          <w:rFonts w:ascii="宋体" w:hAnsi="宋体" w:cs="Times New Roman"/>
          <w:szCs w:val="22"/>
        </w:rPr>
      </w:pPr>
      <w:r>
        <w:rPr>
          <w:rFonts w:hint="eastAsia" w:ascii="宋体" w:hAnsi="宋体" w:cs="Times New Roman"/>
          <w:szCs w:val="22"/>
        </w:rPr>
        <w:t xml:space="preserve">法定代表人： </w:t>
      </w:r>
      <w:r>
        <w:rPr>
          <w:rFonts w:hint="eastAsia" w:ascii="宋体" w:hAnsi="宋体" w:cs="Times New Roman"/>
          <w:szCs w:val="22"/>
          <w:u w:val="single"/>
        </w:rPr>
        <w:tab/>
      </w:r>
      <w:r>
        <w:rPr>
          <w:rFonts w:hint="eastAsia" w:ascii="宋体" w:hAnsi="宋体" w:cs="Times New Roman"/>
          <w:szCs w:val="22"/>
          <w:u w:val="single"/>
        </w:rPr>
        <w:t xml:space="preserve">             (签字或盖章)  </w:t>
      </w:r>
    </w:p>
    <w:p>
      <w:pPr>
        <w:tabs>
          <w:tab w:val="left" w:pos="0"/>
          <w:tab w:val="left" w:pos="1134"/>
          <w:tab w:val="left" w:pos="1843"/>
        </w:tabs>
        <w:autoSpaceDE w:val="0"/>
        <w:autoSpaceDN w:val="0"/>
        <w:spacing w:line="500" w:lineRule="exact"/>
        <w:ind w:left="2" w:leftChars="1" w:right="2" w:rightChars="1" w:firstLine="440" w:firstLineChars="200"/>
        <w:jc w:val="right"/>
        <w:textAlignment w:val="bottom"/>
        <w:rPr>
          <w:rFonts w:ascii="宋体" w:hAnsi="宋体" w:cs="Times New Roman"/>
          <w:szCs w:val="22"/>
        </w:rPr>
      </w:pPr>
      <w:r>
        <w:rPr>
          <w:rFonts w:hint="eastAsia" w:ascii="宋体" w:hAnsi="宋体" w:cs="Times New Roman"/>
          <w:szCs w:val="22"/>
        </w:rPr>
        <w:t>联合体其他成员单位二名称</w:t>
      </w:r>
      <w:r>
        <w:rPr>
          <w:rFonts w:hint="eastAsia" w:ascii="宋体" w:hAnsi="宋体" w:cs="Times New Roman"/>
          <w:b/>
          <w:szCs w:val="22"/>
          <w:u w:val="single"/>
        </w:rPr>
        <w:t xml:space="preserve">：             </w:t>
      </w:r>
      <w:r>
        <w:rPr>
          <w:rFonts w:hint="eastAsia" w:ascii="宋体" w:hAnsi="宋体" w:cs="Times New Roman"/>
          <w:szCs w:val="22"/>
          <w:u w:val="single"/>
        </w:rPr>
        <w:t xml:space="preserve">   (盖单位章)</w:t>
      </w:r>
    </w:p>
    <w:p>
      <w:pPr>
        <w:tabs>
          <w:tab w:val="left" w:pos="0"/>
          <w:tab w:val="left" w:pos="1134"/>
          <w:tab w:val="left" w:pos="1843"/>
        </w:tabs>
        <w:autoSpaceDE w:val="0"/>
        <w:autoSpaceDN w:val="0"/>
        <w:spacing w:line="500" w:lineRule="exact"/>
        <w:ind w:left="2" w:leftChars="1" w:right="2" w:rightChars="1" w:firstLine="440" w:firstLineChars="200"/>
        <w:jc w:val="right"/>
        <w:textAlignment w:val="bottom"/>
        <w:rPr>
          <w:rFonts w:ascii="宋体" w:hAnsi="宋体" w:cs="Times New Roman"/>
          <w:szCs w:val="22"/>
          <w:u w:val="single"/>
        </w:rPr>
      </w:pPr>
      <w:r>
        <w:rPr>
          <w:rFonts w:hint="eastAsia" w:ascii="宋体" w:hAnsi="宋体" w:cs="Times New Roman"/>
          <w:szCs w:val="22"/>
        </w:rPr>
        <w:t xml:space="preserve">法定代表人： </w:t>
      </w:r>
      <w:r>
        <w:rPr>
          <w:rFonts w:hint="eastAsia" w:ascii="宋体" w:hAnsi="宋体" w:cs="Times New Roman"/>
          <w:szCs w:val="22"/>
          <w:u w:val="single"/>
        </w:rPr>
        <w:tab/>
      </w:r>
      <w:r>
        <w:rPr>
          <w:rFonts w:hint="eastAsia" w:ascii="宋体" w:hAnsi="宋体" w:cs="Times New Roman"/>
          <w:szCs w:val="22"/>
          <w:u w:val="single"/>
        </w:rPr>
        <w:t xml:space="preserve">              (签字或盖章)</w:t>
      </w:r>
    </w:p>
    <w:p>
      <w:pPr>
        <w:ind w:left="376" w:leftChars="171" w:right="560"/>
        <w:jc w:val="right"/>
        <w:rPr>
          <w:rFonts w:ascii="宋体" w:hAnsi="宋体" w:cs="Times New Roman"/>
          <w:szCs w:val="22"/>
        </w:rPr>
      </w:pPr>
    </w:p>
    <w:p>
      <w:pPr>
        <w:ind w:left="376" w:leftChars="171" w:right="560"/>
        <w:jc w:val="right"/>
        <w:rPr>
          <w:rFonts w:ascii="宋体" w:hAnsi="宋体" w:cs="Times New Roman"/>
          <w:szCs w:val="22"/>
        </w:rPr>
      </w:pPr>
      <w:r>
        <w:rPr>
          <w:rFonts w:hint="eastAsia" w:ascii="宋体" w:hAnsi="宋体" w:cs="Times New Roman"/>
          <w:szCs w:val="22"/>
        </w:rPr>
        <w:t xml:space="preserve"> </w:t>
      </w:r>
      <w:r>
        <w:rPr>
          <w:rFonts w:hint="eastAsia" w:ascii="宋体" w:hAnsi="宋体" w:cs="Times New Roman"/>
          <w:szCs w:val="22"/>
          <w:u w:val="single"/>
        </w:rPr>
        <w:t xml:space="preserve">      </w:t>
      </w:r>
      <w:r>
        <w:rPr>
          <w:rFonts w:hint="eastAsia" w:ascii="宋体" w:hAnsi="宋体" w:cs="Times New Roman"/>
          <w:szCs w:val="22"/>
        </w:rPr>
        <w:t>年</w:t>
      </w:r>
      <w:r>
        <w:rPr>
          <w:rFonts w:hint="eastAsia" w:ascii="宋体" w:hAnsi="宋体" w:cs="Times New Roman"/>
          <w:szCs w:val="22"/>
          <w:u w:val="single"/>
        </w:rPr>
        <w:t xml:space="preserve">      </w:t>
      </w:r>
      <w:r>
        <w:rPr>
          <w:rFonts w:hint="eastAsia" w:ascii="宋体" w:hAnsi="宋体" w:cs="Times New Roman"/>
          <w:szCs w:val="22"/>
        </w:rPr>
        <w:t>月</w:t>
      </w:r>
      <w:r>
        <w:rPr>
          <w:rFonts w:hint="eastAsia" w:ascii="宋体" w:hAnsi="宋体" w:cs="Times New Roman"/>
          <w:szCs w:val="22"/>
          <w:u w:val="single"/>
        </w:rPr>
        <w:t xml:space="preserve">     </w:t>
      </w:r>
      <w:r>
        <w:rPr>
          <w:rFonts w:hint="eastAsia" w:ascii="宋体" w:hAnsi="宋体" w:cs="Times New Roman"/>
          <w:szCs w:val="22"/>
        </w:rPr>
        <w:t>日</w:t>
      </w:r>
    </w:p>
    <w:p>
      <w:pPr>
        <w:spacing w:line="240" w:lineRule="auto"/>
        <w:jc w:val="both"/>
        <w:rPr>
          <w:rFonts w:ascii="等线" w:hAnsi="等线" w:cs="Times New Roman"/>
          <w:kern w:val="0"/>
          <w:szCs w:val="22"/>
        </w:rPr>
      </w:pPr>
      <w:r>
        <w:rPr>
          <w:rFonts w:hint="eastAsia" w:ascii="宋体" w:hAnsi="宋体" w:cs="Times New Roman"/>
          <w:szCs w:val="22"/>
        </w:rPr>
        <w:t>注： 委托代理人应在开标时向招标人单独递交授权委托书原件（投标文件中不需附授权委托书）。</w:t>
      </w:r>
    </w:p>
    <w:p>
      <w:pPr>
        <w:spacing w:line="500" w:lineRule="exact"/>
        <w:jc w:val="both"/>
        <w:rPr>
          <w:rFonts w:ascii="宋体" w:hAnsi="宋体" w:cs="宋体"/>
          <w:szCs w:val="22"/>
        </w:rPr>
      </w:pPr>
      <w:r>
        <w:rPr>
          <w:rFonts w:ascii="仿宋" w:hAnsi="仿宋" w:eastAsia="仿宋" w:cs="Times New Roman"/>
          <w:szCs w:val="22"/>
        </w:rPr>
        <w:br w:type="page"/>
      </w:r>
      <w:r>
        <w:rPr>
          <w:rFonts w:hint="eastAsia" w:ascii="宋体" w:hAnsi="宋体" w:cs="宋体"/>
          <w:szCs w:val="22"/>
        </w:rPr>
        <w:t>注：投标文件格式中招标人需增加的内容填入“投标文件格式增加表”中</w:t>
      </w:r>
    </w:p>
    <w:p>
      <w:pPr>
        <w:pStyle w:val="2"/>
        <w:ind w:left="0"/>
        <w:rPr>
          <w:b/>
          <w:bCs/>
        </w:rPr>
      </w:pPr>
      <w:r>
        <w:rPr>
          <w:rFonts w:hint="eastAsia"/>
          <w:b/>
          <w:bCs/>
        </w:rPr>
        <w:t>投标文件格式增加表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0"/>
        <w:gridCol w:w="8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8" w:type="dxa"/>
            <w:vAlign w:val="center"/>
          </w:tcPr>
          <w:p>
            <w:pPr>
              <w:ind w:firstLine="110" w:firstLineChars="50"/>
              <w:jc w:val="both"/>
              <w:rPr>
                <w:rFonts w:ascii="宋体" w:hAnsi="宋体" w:cs="Times New Roman"/>
                <w:szCs w:val="22"/>
              </w:rPr>
            </w:pPr>
            <w:r>
              <w:rPr>
                <w:rFonts w:hint="eastAsia" w:ascii="宋体" w:hAnsi="宋体" w:cs="Times New Roman"/>
                <w:szCs w:val="22"/>
              </w:rPr>
              <w:t>条款号</w:t>
            </w:r>
          </w:p>
        </w:tc>
        <w:tc>
          <w:tcPr>
            <w:tcW w:w="8804" w:type="dxa"/>
            <w:vAlign w:val="center"/>
          </w:tcPr>
          <w:p>
            <w:pPr>
              <w:ind w:left="376" w:leftChars="171"/>
              <w:jc w:val="center"/>
              <w:rPr>
                <w:rFonts w:ascii="宋体" w:hAnsi="宋体" w:cs="Times New Roman"/>
                <w:szCs w:val="22"/>
              </w:rPr>
            </w:pPr>
            <w:r>
              <w:rPr>
                <w:rFonts w:hint="eastAsia" w:ascii="宋体" w:hAnsi="宋体" w:cs="Times New Roman"/>
                <w:szCs w:val="22"/>
              </w:rPr>
              <w:t>增加内容及格式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158" w:type="dxa"/>
          </w:tcPr>
          <w:p>
            <w:pPr>
              <w:spacing w:line="500" w:lineRule="exact"/>
              <w:jc w:val="both"/>
              <w:rPr>
                <w:rFonts w:ascii="宋体" w:hAnsi="宋体" w:cs="Times New Roman"/>
                <w:b/>
                <w:szCs w:val="22"/>
              </w:rPr>
            </w:pPr>
          </w:p>
        </w:tc>
        <w:tc>
          <w:tcPr>
            <w:tcW w:w="8804" w:type="dxa"/>
          </w:tcPr>
          <w:p>
            <w:pPr>
              <w:spacing w:line="500" w:lineRule="exact"/>
              <w:jc w:val="both"/>
              <w:rPr>
                <w:rFonts w:ascii="宋体" w:hAnsi="宋体" w:cs="Times New Roman"/>
                <w:b/>
                <w:szCs w:val="22"/>
              </w:rPr>
            </w:pPr>
          </w:p>
        </w:tc>
      </w:tr>
    </w:tbl>
    <w:p>
      <w:pPr>
        <w:spacing w:line="300" w:lineRule="exact"/>
        <w:jc w:val="center"/>
        <w:rPr>
          <w:rFonts w:ascii="Times New Roman" w:hAnsi="Times New Roman" w:cs="Times New Roman"/>
          <w:sz w:val="21"/>
        </w:rPr>
      </w:pPr>
    </w:p>
    <w:p>
      <w:pPr>
        <w:spacing w:line="300" w:lineRule="exact"/>
        <w:jc w:val="center"/>
        <w:rPr>
          <w:rFonts w:ascii="Times New Roman" w:hAnsi="Times New Roman" w:cs="Times New Roman"/>
          <w:sz w:val="21"/>
        </w:rPr>
      </w:pPr>
    </w:p>
    <w:p>
      <w:pPr>
        <w:keepNext/>
        <w:keepLines/>
        <w:jc w:val="both"/>
      </w:pPr>
    </w:p>
    <w:p/>
    <w:sectPr>
      <w:footerReference r:id="rId26" w:type="default"/>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133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ascii="Times New Roman" w:hAnsi="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snapToGrid w:val="0"/>
                            <w:jc w:val="cente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PAGE   \* MERGEFORMAT</w:instrText>
                          </w:r>
                          <w:r>
                            <w:rPr>
                              <w:rFonts w:ascii="Times New Roman" w:hAnsi="Times New Roman" w:cs="Times New Roman"/>
                              <w:sz w:val="18"/>
                              <w:szCs w:val="18"/>
                            </w:rPr>
                            <w:fldChar w:fldCharType="separate"/>
                          </w:r>
                          <w:r>
                            <w:rPr>
                              <w:rFonts w:ascii="Times New Roman" w:hAnsi="Times New Roman" w:cs="Times New Roman"/>
                              <w:sz w:val="18"/>
                              <w:szCs w:val="18"/>
                              <w:lang w:val="zh-CN"/>
                            </w:rPr>
                            <w:t>141</w:t>
                          </w:r>
                          <w:r>
                            <w:rPr>
                              <w:rFonts w:ascii="Times New Roman" w:hAnsi="Times New Roman" w:cs="Times New Roman"/>
                              <w:sz w:val="18"/>
                              <w:szCs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tabs>
                        <w:tab w:val="center" w:pos="4153"/>
                        <w:tab w:val="right" w:pos="8306"/>
                      </w:tabs>
                      <w:snapToGrid w:val="0"/>
                      <w:jc w:val="cente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PAGE   \* MERGEFORMAT</w:instrText>
                    </w:r>
                    <w:r>
                      <w:rPr>
                        <w:rFonts w:ascii="Times New Roman" w:hAnsi="Times New Roman" w:cs="Times New Roman"/>
                        <w:sz w:val="18"/>
                        <w:szCs w:val="18"/>
                      </w:rPr>
                      <w:fldChar w:fldCharType="separate"/>
                    </w:r>
                    <w:r>
                      <w:rPr>
                        <w:rFonts w:ascii="Times New Roman" w:hAnsi="Times New Roman" w:cs="Times New Roman"/>
                        <w:sz w:val="18"/>
                        <w:szCs w:val="18"/>
                        <w:lang w:val="zh-CN"/>
                      </w:rPr>
                      <w:t>141</w:t>
                    </w:r>
                    <w:r>
                      <w:rPr>
                        <w:rFonts w:ascii="Times New Roman" w:hAnsi="Times New Roman" w:cs="Times New Roman"/>
                        <w:sz w:val="18"/>
                        <w:szCs w:val="18"/>
                      </w:rPr>
                      <w:fldChar w:fldCharType="end"/>
                    </w:r>
                  </w:p>
                </w:txbxContent>
              </v:textbox>
            </v:shape>
          </w:pict>
        </mc:Fallback>
      </mc:AlternateContent>
    </w:r>
  </w:p>
  <w:p>
    <w:pPr>
      <w:spacing w:line="240" w:lineRule="auto"/>
      <w:jc w:val="both"/>
      <w:rPr>
        <w:rFonts w:ascii="Times New Roman" w:hAnsi="Times New Roman" w:cs="Times New Roman"/>
        <w:sz w:val="21"/>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p>
  <w:p>
    <w:pPr>
      <w:spacing w:line="240" w:lineRule="auto"/>
      <w:jc w:val="both"/>
      <w:rPr>
        <w:rFonts w:ascii="Times New Roman" w:hAnsi="Times New Roman" w:cs="Times New Roman"/>
        <w:sz w:val="21"/>
      </w:rPr>
    </w:pPr>
    <w:r>
      <w:rPr>
        <w:rFonts w:ascii="Times New Roman" w:hAnsi="Times New Roman" w:cs="Times New Roman"/>
        <w:sz w:val="21"/>
      </w:rPr>
      <w:fldChar w:fldCharType="begin"/>
    </w:r>
    <w:r>
      <w:rPr>
        <w:rFonts w:ascii="等线" w:hAnsi="等线" w:eastAsia="等线" w:cs="Times New Roman"/>
        <w:sz w:val="21"/>
      </w:rPr>
      <w:instrText xml:space="preserve"> PAGE </w:instrText>
    </w:r>
    <w:r>
      <w:rPr>
        <w:rFonts w:ascii="Times New Roman" w:hAnsi="Times New Roman" w:cs="Times New Roman"/>
        <w:sz w:val="21"/>
      </w:rPr>
      <w:fldChar w:fldCharType="separate"/>
    </w:r>
    <w:r>
      <w:rPr>
        <w:rFonts w:ascii="等线" w:hAnsi="等线" w:eastAsia="等线" w:cs="Times New Roman"/>
        <w:sz w:val="21"/>
      </w:rPr>
      <w:t>91</w:t>
    </w:r>
    <w:r>
      <w:rPr>
        <w:rFonts w:ascii="Times New Roman" w:hAnsi="Times New Roman" w:cs="Times New Roman"/>
        <w:sz w:val="21"/>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153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153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128</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both"/>
      <w:rPr>
        <w:rFonts w:ascii="Times New Roman" w:hAnsi="Times New Roman" w:cs="Times New Roman"/>
        <w:sz w:val="21"/>
      </w:rPr>
    </w:pPr>
    <w:r>
      <w:rPr>
        <w:rFonts w:hint="eastAsia" w:ascii="Times New Roman" w:hAnsi="Times New Roman" w:cs="Times New Roman"/>
        <w:sz w:val="21"/>
      </w:rPr>
      <w:t>承包(EPC)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EE424"/>
    <w:multiLevelType w:val="singleLevel"/>
    <w:tmpl w:val="821EE424"/>
    <w:lvl w:ilvl="0" w:tentative="0">
      <w:start w:val="1"/>
      <w:numFmt w:val="decimal"/>
      <w:suff w:val="nothing"/>
      <w:lvlText w:val="（%1）"/>
      <w:lvlJc w:val="left"/>
    </w:lvl>
  </w:abstractNum>
  <w:abstractNum w:abstractNumId="1">
    <w:nsid w:val="829A5BA0"/>
    <w:multiLevelType w:val="singleLevel"/>
    <w:tmpl w:val="829A5BA0"/>
    <w:lvl w:ilvl="0" w:tentative="0">
      <w:start w:val="1"/>
      <w:numFmt w:val="decimal"/>
      <w:suff w:val="nothing"/>
      <w:lvlText w:val="（%1）"/>
      <w:lvlJc w:val="left"/>
    </w:lvl>
  </w:abstractNum>
  <w:abstractNum w:abstractNumId="2">
    <w:nsid w:val="8AB63B75"/>
    <w:multiLevelType w:val="multilevel"/>
    <w:tmpl w:val="8AB63B75"/>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9365A12E"/>
    <w:multiLevelType w:val="singleLevel"/>
    <w:tmpl w:val="9365A12E"/>
    <w:lvl w:ilvl="0" w:tentative="0">
      <w:start w:val="1"/>
      <w:numFmt w:val="decimal"/>
      <w:suff w:val="nothing"/>
      <w:lvlText w:val="（%1）"/>
      <w:lvlJc w:val="left"/>
    </w:lvl>
  </w:abstractNum>
  <w:abstractNum w:abstractNumId="4">
    <w:nsid w:val="93CE897A"/>
    <w:multiLevelType w:val="singleLevel"/>
    <w:tmpl w:val="93CE897A"/>
    <w:lvl w:ilvl="0" w:tentative="0">
      <w:start w:val="1"/>
      <w:numFmt w:val="decimal"/>
      <w:suff w:val="nothing"/>
      <w:lvlText w:val="（%1）"/>
      <w:lvlJc w:val="left"/>
    </w:lvl>
  </w:abstractNum>
  <w:abstractNum w:abstractNumId="5">
    <w:nsid w:val="9AC1DD30"/>
    <w:multiLevelType w:val="singleLevel"/>
    <w:tmpl w:val="9AC1DD30"/>
    <w:lvl w:ilvl="0" w:tentative="0">
      <w:start w:val="1"/>
      <w:numFmt w:val="decimal"/>
      <w:suff w:val="nothing"/>
      <w:lvlText w:val="（%1）"/>
      <w:lvlJc w:val="left"/>
    </w:lvl>
  </w:abstractNum>
  <w:abstractNum w:abstractNumId="6">
    <w:nsid w:val="9ACCCABB"/>
    <w:multiLevelType w:val="multilevel"/>
    <w:tmpl w:val="9ACCCABB"/>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9F34EB68"/>
    <w:multiLevelType w:val="singleLevel"/>
    <w:tmpl w:val="9F34EB68"/>
    <w:lvl w:ilvl="0" w:tentative="0">
      <w:start w:val="1"/>
      <w:numFmt w:val="decimal"/>
      <w:suff w:val="nothing"/>
      <w:lvlText w:val="（%1）"/>
      <w:lvlJc w:val="left"/>
    </w:lvl>
  </w:abstractNum>
  <w:abstractNum w:abstractNumId="8">
    <w:nsid w:val="9FFD85EE"/>
    <w:multiLevelType w:val="singleLevel"/>
    <w:tmpl w:val="9FFD85EE"/>
    <w:lvl w:ilvl="0" w:tentative="0">
      <w:start w:val="1"/>
      <w:numFmt w:val="decimal"/>
      <w:suff w:val="nothing"/>
      <w:lvlText w:val="（%1）"/>
      <w:lvlJc w:val="left"/>
    </w:lvl>
  </w:abstractNum>
  <w:abstractNum w:abstractNumId="9">
    <w:nsid w:val="A3A4DF13"/>
    <w:multiLevelType w:val="singleLevel"/>
    <w:tmpl w:val="A3A4DF13"/>
    <w:lvl w:ilvl="0" w:tentative="0">
      <w:start w:val="1"/>
      <w:numFmt w:val="decimal"/>
      <w:suff w:val="nothing"/>
      <w:lvlText w:val="（%1）"/>
      <w:lvlJc w:val="left"/>
    </w:lvl>
  </w:abstractNum>
  <w:abstractNum w:abstractNumId="10">
    <w:nsid w:val="A7893350"/>
    <w:multiLevelType w:val="singleLevel"/>
    <w:tmpl w:val="A7893350"/>
    <w:lvl w:ilvl="0" w:tentative="0">
      <w:start w:val="1"/>
      <w:numFmt w:val="decimal"/>
      <w:suff w:val="nothing"/>
      <w:lvlText w:val="（%1）"/>
      <w:lvlJc w:val="left"/>
    </w:lvl>
  </w:abstractNum>
  <w:abstractNum w:abstractNumId="11">
    <w:nsid w:val="A8A5F899"/>
    <w:multiLevelType w:val="singleLevel"/>
    <w:tmpl w:val="A8A5F899"/>
    <w:lvl w:ilvl="0" w:tentative="0">
      <w:start w:val="1"/>
      <w:numFmt w:val="decimal"/>
      <w:suff w:val="nothing"/>
      <w:lvlText w:val="%1、"/>
      <w:lvlJc w:val="left"/>
    </w:lvl>
  </w:abstractNum>
  <w:abstractNum w:abstractNumId="12">
    <w:nsid w:val="B2A13D35"/>
    <w:multiLevelType w:val="singleLevel"/>
    <w:tmpl w:val="B2A13D35"/>
    <w:lvl w:ilvl="0" w:tentative="0">
      <w:start w:val="2"/>
      <w:numFmt w:val="decimal"/>
      <w:suff w:val="nothing"/>
      <w:lvlText w:val="%1、"/>
      <w:lvlJc w:val="left"/>
    </w:lvl>
  </w:abstractNum>
  <w:abstractNum w:abstractNumId="13">
    <w:nsid w:val="BEAE388B"/>
    <w:multiLevelType w:val="singleLevel"/>
    <w:tmpl w:val="BEAE388B"/>
    <w:lvl w:ilvl="0" w:tentative="0">
      <w:start w:val="3"/>
      <w:numFmt w:val="decimal"/>
      <w:suff w:val="nothing"/>
      <w:lvlText w:val="%1）"/>
      <w:lvlJc w:val="left"/>
    </w:lvl>
  </w:abstractNum>
  <w:abstractNum w:abstractNumId="14">
    <w:nsid w:val="C11D7FC7"/>
    <w:multiLevelType w:val="singleLevel"/>
    <w:tmpl w:val="C11D7FC7"/>
    <w:lvl w:ilvl="0" w:tentative="0">
      <w:start w:val="1"/>
      <w:numFmt w:val="decimal"/>
      <w:suff w:val="nothing"/>
      <w:lvlText w:val="（%1）"/>
      <w:lvlJc w:val="left"/>
    </w:lvl>
  </w:abstractNum>
  <w:abstractNum w:abstractNumId="15">
    <w:nsid w:val="CCABD731"/>
    <w:multiLevelType w:val="singleLevel"/>
    <w:tmpl w:val="CCABD731"/>
    <w:lvl w:ilvl="0" w:tentative="0">
      <w:start w:val="1"/>
      <w:numFmt w:val="decimal"/>
      <w:suff w:val="nothing"/>
      <w:lvlText w:val="（%1）"/>
      <w:lvlJc w:val="left"/>
    </w:lvl>
  </w:abstractNum>
  <w:abstractNum w:abstractNumId="16">
    <w:nsid w:val="CFC81DE3"/>
    <w:multiLevelType w:val="singleLevel"/>
    <w:tmpl w:val="CFC81DE3"/>
    <w:lvl w:ilvl="0" w:tentative="0">
      <w:start w:val="1"/>
      <w:numFmt w:val="decimal"/>
      <w:suff w:val="nothing"/>
      <w:lvlText w:val="（%1）"/>
      <w:lvlJc w:val="left"/>
    </w:lvl>
  </w:abstractNum>
  <w:abstractNum w:abstractNumId="17">
    <w:nsid w:val="DC62511B"/>
    <w:multiLevelType w:val="singleLevel"/>
    <w:tmpl w:val="DC62511B"/>
    <w:lvl w:ilvl="0" w:tentative="0">
      <w:start w:val="1"/>
      <w:numFmt w:val="decimal"/>
      <w:suff w:val="nothing"/>
      <w:lvlText w:val="（%1）"/>
      <w:lvlJc w:val="left"/>
    </w:lvl>
  </w:abstractNum>
  <w:abstractNum w:abstractNumId="18">
    <w:nsid w:val="DDE0F472"/>
    <w:multiLevelType w:val="singleLevel"/>
    <w:tmpl w:val="DDE0F472"/>
    <w:lvl w:ilvl="0" w:tentative="0">
      <w:start w:val="1"/>
      <w:numFmt w:val="decimal"/>
      <w:suff w:val="nothing"/>
      <w:lvlText w:val="（%1）"/>
      <w:lvlJc w:val="left"/>
    </w:lvl>
  </w:abstractNum>
  <w:abstractNum w:abstractNumId="19">
    <w:nsid w:val="DEDE3F5B"/>
    <w:multiLevelType w:val="singleLevel"/>
    <w:tmpl w:val="DEDE3F5B"/>
    <w:lvl w:ilvl="0" w:tentative="0">
      <w:start w:val="1"/>
      <w:numFmt w:val="decimal"/>
      <w:suff w:val="nothing"/>
      <w:lvlText w:val="（%1）"/>
      <w:lvlJc w:val="left"/>
    </w:lvl>
  </w:abstractNum>
  <w:abstractNum w:abstractNumId="20">
    <w:nsid w:val="E0C183FD"/>
    <w:multiLevelType w:val="singleLevel"/>
    <w:tmpl w:val="E0C183FD"/>
    <w:lvl w:ilvl="0" w:tentative="0">
      <w:start w:val="1"/>
      <w:numFmt w:val="decimal"/>
      <w:suff w:val="nothing"/>
      <w:lvlText w:val="（%1）"/>
      <w:lvlJc w:val="left"/>
    </w:lvl>
  </w:abstractNum>
  <w:abstractNum w:abstractNumId="21">
    <w:nsid w:val="E12AF667"/>
    <w:multiLevelType w:val="singleLevel"/>
    <w:tmpl w:val="E12AF667"/>
    <w:lvl w:ilvl="0" w:tentative="0">
      <w:start w:val="6"/>
      <w:numFmt w:val="decimal"/>
      <w:suff w:val="nothing"/>
      <w:lvlText w:val="（%1）"/>
      <w:lvlJc w:val="left"/>
    </w:lvl>
  </w:abstractNum>
  <w:abstractNum w:abstractNumId="22">
    <w:nsid w:val="E7833993"/>
    <w:multiLevelType w:val="singleLevel"/>
    <w:tmpl w:val="E7833993"/>
    <w:lvl w:ilvl="0" w:tentative="0">
      <w:start w:val="1"/>
      <w:numFmt w:val="decimal"/>
      <w:suff w:val="nothing"/>
      <w:lvlText w:val="（%1）"/>
      <w:lvlJc w:val="left"/>
    </w:lvl>
  </w:abstractNum>
  <w:abstractNum w:abstractNumId="23">
    <w:nsid w:val="EA21BC46"/>
    <w:multiLevelType w:val="singleLevel"/>
    <w:tmpl w:val="EA21BC46"/>
    <w:lvl w:ilvl="0" w:tentative="0">
      <w:start w:val="1"/>
      <w:numFmt w:val="decimal"/>
      <w:suff w:val="nothing"/>
      <w:lvlText w:val="（%1）"/>
      <w:lvlJc w:val="left"/>
    </w:lvl>
  </w:abstractNum>
  <w:abstractNum w:abstractNumId="24">
    <w:nsid w:val="03D2B96D"/>
    <w:multiLevelType w:val="singleLevel"/>
    <w:tmpl w:val="03D2B96D"/>
    <w:lvl w:ilvl="0" w:tentative="0">
      <w:start w:val="1"/>
      <w:numFmt w:val="decimal"/>
      <w:suff w:val="nothing"/>
      <w:lvlText w:val="（%1）"/>
      <w:lvlJc w:val="left"/>
    </w:lvl>
  </w:abstractNum>
  <w:abstractNum w:abstractNumId="25">
    <w:nsid w:val="040FC09B"/>
    <w:multiLevelType w:val="singleLevel"/>
    <w:tmpl w:val="040FC09B"/>
    <w:lvl w:ilvl="0" w:tentative="0">
      <w:start w:val="1"/>
      <w:numFmt w:val="decimal"/>
      <w:suff w:val="nothing"/>
      <w:lvlText w:val="（%1）"/>
      <w:lvlJc w:val="left"/>
    </w:lvl>
  </w:abstractNum>
  <w:abstractNum w:abstractNumId="26">
    <w:nsid w:val="0A5DAB46"/>
    <w:multiLevelType w:val="singleLevel"/>
    <w:tmpl w:val="0A5DAB46"/>
    <w:lvl w:ilvl="0" w:tentative="0">
      <w:start w:val="4"/>
      <w:numFmt w:val="chineseCounting"/>
      <w:suff w:val="space"/>
      <w:lvlText w:val="第%1章"/>
      <w:lvlJc w:val="left"/>
      <w:rPr>
        <w:rFonts w:hint="eastAsia"/>
      </w:rPr>
    </w:lvl>
  </w:abstractNum>
  <w:abstractNum w:abstractNumId="27">
    <w:nsid w:val="0EBE42E2"/>
    <w:multiLevelType w:val="singleLevel"/>
    <w:tmpl w:val="0EBE42E2"/>
    <w:lvl w:ilvl="0" w:tentative="0">
      <w:start w:val="1"/>
      <w:numFmt w:val="decimal"/>
      <w:suff w:val="nothing"/>
      <w:lvlText w:val="（%1）"/>
      <w:lvlJc w:val="left"/>
    </w:lvl>
  </w:abstractNum>
  <w:abstractNum w:abstractNumId="28">
    <w:nsid w:val="0EC8EAB6"/>
    <w:multiLevelType w:val="singleLevel"/>
    <w:tmpl w:val="0EC8EAB6"/>
    <w:lvl w:ilvl="0" w:tentative="0">
      <w:start w:val="1"/>
      <w:numFmt w:val="decimal"/>
      <w:lvlText w:val="%1."/>
      <w:lvlJc w:val="left"/>
      <w:pPr>
        <w:tabs>
          <w:tab w:val="left" w:pos="312"/>
        </w:tabs>
      </w:pPr>
    </w:lvl>
  </w:abstractNum>
  <w:abstractNum w:abstractNumId="29">
    <w:nsid w:val="11C310C0"/>
    <w:multiLevelType w:val="multilevel"/>
    <w:tmpl w:val="11C310C0"/>
    <w:lvl w:ilvl="0" w:tentative="0">
      <w:start w:val="1"/>
      <w:numFmt w:val="decimal"/>
      <w:lvlText w:val="（%1）"/>
      <w:lvlJc w:val="left"/>
      <w:pPr>
        <w:ind w:left="735" w:hanging="42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30">
    <w:nsid w:val="132CAC4F"/>
    <w:multiLevelType w:val="singleLevel"/>
    <w:tmpl w:val="132CAC4F"/>
    <w:lvl w:ilvl="0" w:tentative="0">
      <w:start w:val="1"/>
      <w:numFmt w:val="chineseCounting"/>
      <w:suff w:val="space"/>
      <w:lvlText w:val="第%1节"/>
      <w:lvlJc w:val="left"/>
      <w:rPr>
        <w:rFonts w:hint="eastAsia"/>
      </w:rPr>
    </w:lvl>
  </w:abstractNum>
  <w:abstractNum w:abstractNumId="31">
    <w:nsid w:val="2680A425"/>
    <w:multiLevelType w:val="singleLevel"/>
    <w:tmpl w:val="2680A425"/>
    <w:lvl w:ilvl="0" w:tentative="0">
      <w:start w:val="1"/>
      <w:numFmt w:val="decimal"/>
      <w:suff w:val="nothing"/>
      <w:lvlText w:val="（%1）"/>
      <w:lvlJc w:val="left"/>
    </w:lvl>
  </w:abstractNum>
  <w:abstractNum w:abstractNumId="32">
    <w:nsid w:val="2D4502E4"/>
    <w:multiLevelType w:val="singleLevel"/>
    <w:tmpl w:val="2D4502E4"/>
    <w:lvl w:ilvl="0" w:tentative="0">
      <w:start w:val="1"/>
      <w:numFmt w:val="decimal"/>
      <w:suff w:val="nothing"/>
      <w:lvlText w:val="（%1）"/>
      <w:lvlJc w:val="left"/>
    </w:lvl>
  </w:abstractNum>
  <w:abstractNum w:abstractNumId="33">
    <w:nsid w:val="2E0EF778"/>
    <w:multiLevelType w:val="singleLevel"/>
    <w:tmpl w:val="2E0EF778"/>
    <w:lvl w:ilvl="0" w:tentative="0">
      <w:start w:val="1"/>
      <w:numFmt w:val="decimal"/>
      <w:suff w:val="nothing"/>
      <w:lvlText w:val="（%1）"/>
      <w:lvlJc w:val="left"/>
    </w:lvl>
  </w:abstractNum>
  <w:abstractNum w:abstractNumId="34">
    <w:nsid w:val="355A62C2"/>
    <w:multiLevelType w:val="singleLevel"/>
    <w:tmpl w:val="355A62C2"/>
    <w:lvl w:ilvl="0" w:tentative="0">
      <w:start w:val="1"/>
      <w:numFmt w:val="decimal"/>
      <w:suff w:val="nothing"/>
      <w:lvlText w:val="（%1）"/>
      <w:lvlJc w:val="left"/>
    </w:lvl>
  </w:abstractNum>
  <w:abstractNum w:abstractNumId="35">
    <w:nsid w:val="37B5B4DD"/>
    <w:multiLevelType w:val="singleLevel"/>
    <w:tmpl w:val="37B5B4DD"/>
    <w:lvl w:ilvl="0" w:tentative="0">
      <w:start w:val="1"/>
      <w:numFmt w:val="decimal"/>
      <w:suff w:val="nothing"/>
      <w:lvlText w:val="（%1）"/>
      <w:lvlJc w:val="left"/>
    </w:lvl>
  </w:abstractNum>
  <w:abstractNum w:abstractNumId="36">
    <w:nsid w:val="39717CD8"/>
    <w:multiLevelType w:val="singleLevel"/>
    <w:tmpl w:val="39717CD8"/>
    <w:lvl w:ilvl="0" w:tentative="0">
      <w:start w:val="1"/>
      <w:numFmt w:val="decimal"/>
      <w:suff w:val="nothing"/>
      <w:lvlText w:val="（%1）"/>
      <w:lvlJc w:val="left"/>
    </w:lvl>
  </w:abstractNum>
  <w:abstractNum w:abstractNumId="37">
    <w:nsid w:val="3D556CE6"/>
    <w:multiLevelType w:val="singleLevel"/>
    <w:tmpl w:val="3D556CE6"/>
    <w:lvl w:ilvl="0" w:tentative="0">
      <w:start w:val="1"/>
      <w:numFmt w:val="decimal"/>
      <w:suff w:val="nothing"/>
      <w:lvlText w:val="（%1）"/>
      <w:lvlJc w:val="left"/>
    </w:lvl>
  </w:abstractNum>
  <w:abstractNum w:abstractNumId="38">
    <w:nsid w:val="3EBAFC99"/>
    <w:multiLevelType w:val="singleLevel"/>
    <w:tmpl w:val="3EBAFC99"/>
    <w:lvl w:ilvl="0" w:tentative="0">
      <w:start w:val="1"/>
      <w:numFmt w:val="decimal"/>
      <w:suff w:val="nothing"/>
      <w:lvlText w:val="（%1）"/>
      <w:lvlJc w:val="left"/>
    </w:lvl>
  </w:abstractNum>
  <w:abstractNum w:abstractNumId="39">
    <w:nsid w:val="427C52BA"/>
    <w:multiLevelType w:val="singleLevel"/>
    <w:tmpl w:val="427C52BA"/>
    <w:lvl w:ilvl="0" w:tentative="0">
      <w:start w:val="1"/>
      <w:numFmt w:val="decimal"/>
      <w:suff w:val="nothing"/>
      <w:lvlText w:val="（%1）"/>
      <w:lvlJc w:val="left"/>
    </w:lvl>
  </w:abstractNum>
  <w:abstractNum w:abstractNumId="40">
    <w:nsid w:val="433130BD"/>
    <w:multiLevelType w:val="singleLevel"/>
    <w:tmpl w:val="433130BD"/>
    <w:lvl w:ilvl="0" w:tentative="0">
      <w:start w:val="1"/>
      <w:numFmt w:val="decimal"/>
      <w:lvlText w:val="%1."/>
      <w:lvlJc w:val="left"/>
      <w:pPr>
        <w:tabs>
          <w:tab w:val="left" w:pos="312"/>
        </w:tabs>
      </w:pPr>
    </w:lvl>
  </w:abstractNum>
  <w:abstractNum w:abstractNumId="41">
    <w:nsid w:val="43A6DCE6"/>
    <w:multiLevelType w:val="singleLevel"/>
    <w:tmpl w:val="43A6DCE6"/>
    <w:lvl w:ilvl="0" w:tentative="0">
      <w:start w:val="1"/>
      <w:numFmt w:val="decimal"/>
      <w:suff w:val="nothing"/>
      <w:lvlText w:val="（%1）"/>
      <w:lvlJc w:val="left"/>
    </w:lvl>
  </w:abstractNum>
  <w:abstractNum w:abstractNumId="42">
    <w:nsid w:val="444C74B6"/>
    <w:multiLevelType w:val="singleLevel"/>
    <w:tmpl w:val="444C74B6"/>
    <w:lvl w:ilvl="0" w:tentative="0">
      <w:start w:val="1"/>
      <w:numFmt w:val="decimal"/>
      <w:suff w:val="nothing"/>
      <w:lvlText w:val="（%1）"/>
      <w:lvlJc w:val="left"/>
    </w:lvl>
  </w:abstractNum>
  <w:abstractNum w:abstractNumId="43">
    <w:nsid w:val="4AFFFBE8"/>
    <w:multiLevelType w:val="singleLevel"/>
    <w:tmpl w:val="4AFFFBE8"/>
    <w:lvl w:ilvl="0" w:tentative="0">
      <w:start w:val="1"/>
      <w:numFmt w:val="decimal"/>
      <w:suff w:val="space"/>
      <w:lvlText w:val="%1."/>
      <w:lvlJc w:val="left"/>
    </w:lvl>
  </w:abstractNum>
  <w:abstractNum w:abstractNumId="44">
    <w:nsid w:val="4D6FBD5B"/>
    <w:multiLevelType w:val="singleLevel"/>
    <w:tmpl w:val="4D6FBD5B"/>
    <w:lvl w:ilvl="0" w:tentative="0">
      <w:start w:val="1"/>
      <w:numFmt w:val="decimal"/>
      <w:suff w:val="space"/>
      <w:lvlText w:val="(%1)"/>
      <w:lvlJc w:val="left"/>
    </w:lvl>
  </w:abstractNum>
  <w:abstractNum w:abstractNumId="45">
    <w:nsid w:val="662AB898"/>
    <w:multiLevelType w:val="singleLevel"/>
    <w:tmpl w:val="662AB898"/>
    <w:lvl w:ilvl="0" w:tentative="0">
      <w:start w:val="1"/>
      <w:numFmt w:val="decimal"/>
      <w:suff w:val="nothing"/>
      <w:lvlText w:val="（%1）"/>
      <w:lvlJc w:val="left"/>
    </w:lvl>
  </w:abstractNum>
  <w:abstractNum w:abstractNumId="46">
    <w:nsid w:val="66BC0DE5"/>
    <w:multiLevelType w:val="singleLevel"/>
    <w:tmpl w:val="66BC0DE5"/>
    <w:lvl w:ilvl="0" w:tentative="0">
      <w:start w:val="1"/>
      <w:numFmt w:val="decimal"/>
      <w:suff w:val="nothing"/>
      <w:lvlText w:val="（%1）"/>
      <w:lvlJc w:val="left"/>
    </w:lvl>
  </w:abstractNum>
  <w:abstractNum w:abstractNumId="47">
    <w:nsid w:val="67CC5AF4"/>
    <w:multiLevelType w:val="singleLevel"/>
    <w:tmpl w:val="67CC5AF4"/>
    <w:lvl w:ilvl="0" w:tentative="0">
      <w:start w:val="1"/>
      <w:numFmt w:val="decimal"/>
      <w:suff w:val="nothing"/>
      <w:lvlText w:val="（%1）"/>
      <w:lvlJc w:val="left"/>
    </w:lvl>
  </w:abstractNum>
  <w:abstractNum w:abstractNumId="48">
    <w:nsid w:val="727E7D09"/>
    <w:multiLevelType w:val="singleLevel"/>
    <w:tmpl w:val="727E7D09"/>
    <w:lvl w:ilvl="0" w:tentative="0">
      <w:start w:val="1"/>
      <w:numFmt w:val="decimal"/>
      <w:suff w:val="nothing"/>
      <w:lvlText w:val="（%1）"/>
      <w:lvlJc w:val="left"/>
    </w:lvl>
  </w:abstractNum>
  <w:abstractNum w:abstractNumId="49">
    <w:nsid w:val="7DA27FC3"/>
    <w:multiLevelType w:val="multilevel"/>
    <w:tmpl w:val="7DA27FC3"/>
    <w:lvl w:ilvl="0" w:tentative="0">
      <w:start w:val="1"/>
      <w:numFmt w:val="decimal"/>
      <w:lvlText w:val="（%1）"/>
      <w:lvlJc w:val="left"/>
      <w:pPr>
        <w:ind w:left="735" w:hanging="42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50">
    <w:nsid w:val="7E386290"/>
    <w:multiLevelType w:val="singleLevel"/>
    <w:tmpl w:val="7E386290"/>
    <w:lvl w:ilvl="0" w:tentative="0">
      <w:start w:val="1"/>
      <w:numFmt w:val="decimal"/>
      <w:suff w:val="nothing"/>
      <w:lvlText w:val="（%1）"/>
      <w:lvlJc w:val="left"/>
    </w:lvl>
  </w:abstractNum>
  <w:abstractNum w:abstractNumId="51">
    <w:nsid w:val="7F18CCC5"/>
    <w:multiLevelType w:val="singleLevel"/>
    <w:tmpl w:val="7F18CCC5"/>
    <w:lvl w:ilvl="0" w:tentative="0">
      <w:start w:val="1"/>
      <w:numFmt w:val="decimal"/>
      <w:suff w:val="nothing"/>
      <w:lvlText w:val="（%1）"/>
      <w:lvlJc w:val="left"/>
    </w:lvl>
  </w:abstractNum>
  <w:num w:numId="1">
    <w:abstractNumId w:val="43"/>
  </w:num>
  <w:num w:numId="2">
    <w:abstractNumId w:val="21"/>
  </w:num>
  <w:num w:numId="3">
    <w:abstractNumId w:val="29"/>
  </w:num>
  <w:num w:numId="4">
    <w:abstractNumId w:val="49"/>
  </w:num>
  <w:num w:numId="5">
    <w:abstractNumId w:val="6"/>
  </w:num>
  <w:num w:numId="6">
    <w:abstractNumId w:val="44"/>
  </w:num>
  <w:num w:numId="7">
    <w:abstractNumId w:val="28"/>
  </w:num>
  <w:num w:numId="8">
    <w:abstractNumId w:val="40"/>
  </w:num>
  <w:num w:numId="9">
    <w:abstractNumId w:val="50"/>
  </w:num>
  <w:num w:numId="10">
    <w:abstractNumId w:val="26"/>
  </w:num>
  <w:num w:numId="11">
    <w:abstractNumId w:val="30"/>
  </w:num>
  <w:num w:numId="12">
    <w:abstractNumId w:val="2"/>
  </w:num>
  <w:num w:numId="13">
    <w:abstractNumId w:val="10"/>
  </w:num>
  <w:num w:numId="14">
    <w:abstractNumId w:val="37"/>
  </w:num>
  <w:num w:numId="15">
    <w:abstractNumId w:val="18"/>
  </w:num>
  <w:num w:numId="16">
    <w:abstractNumId w:val="41"/>
  </w:num>
  <w:num w:numId="17">
    <w:abstractNumId w:val="17"/>
  </w:num>
  <w:num w:numId="18">
    <w:abstractNumId w:val="34"/>
  </w:num>
  <w:num w:numId="19">
    <w:abstractNumId w:val="36"/>
  </w:num>
  <w:num w:numId="20">
    <w:abstractNumId w:val="1"/>
  </w:num>
  <w:num w:numId="21">
    <w:abstractNumId w:val="20"/>
  </w:num>
  <w:num w:numId="22">
    <w:abstractNumId w:val="46"/>
  </w:num>
  <w:num w:numId="23">
    <w:abstractNumId w:val="23"/>
  </w:num>
  <w:num w:numId="24">
    <w:abstractNumId w:val="31"/>
  </w:num>
  <w:num w:numId="25">
    <w:abstractNumId w:val="42"/>
  </w:num>
  <w:num w:numId="26">
    <w:abstractNumId w:val="51"/>
  </w:num>
  <w:num w:numId="27">
    <w:abstractNumId w:val="25"/>
  </w:num>
  <w:num w:numId="28">
    <w:abstractNumId w:val="22"/>
  </w:num>
  <w:num w:numId="29">
    <w:abstractNumId w:val="27"/>
  </w:num>
  <w:num w:numId="30">
    <w:abstractNumId w:val="48"/>
  </w:num>
  <w:num w:numId="31">
    <w:abstractNumId w:val="8"/>
  </w:num>
  <w:num w:numId="32">
    <w:abstractNumId w:val="35"/>
  </w:num>
  <w:num w:numId="33">
    <w:abstractNumId w:val="5"/>
  </w:num>
  <w:num w:numId="34">
    <w:abstractNumId w:val="15"/>
  </w:num>
  <w:num w:numId="35">
    <w:abstractNumId w:val="0"/>
  </w:num>
  <w:num w:numId="36">
    <w:abstractNumId w:val="3"/>
  </w:num>
  <w:num w:numId="37">
    <w:abstractNumId w:val="9"/>
  </w:num>
  <w:num w:numId="38">
    <w:abstractNumId w:val="38"/>
  </w:num>
  <w:num w:numId="39">
    <w:abstractNumId w:val="19"/>
  </w:num>
  <w:num w:numId="40">
    <w:abstractNumId w:val="13"/>
  </w:num>
  <w:num w:numId="41">
    <w:abstractNumId w:val="7"/>
  </w:num>
  <w:num w:numId="42">
    <w:abstractNumId w:val="47"/>
  </w:num>
  <w:num w:numId="43">
    <w:abstractNumId w:val="4"/>
  </w:num>
  <w:num w:numId="44">
    <w:abstractNumId w:val="33"/>
  </w:num>
  <w:num w:numId="45">
    <w:abstractNumId w:val="32"/>
  </w:num>
  <w:num w:numId="46">
    <w:abstractNumId w:val="45"/>
  </w:num>
  <w:num w:numId="47">
    <w:abstractNumId w:val="16"/>
  </w:num>
  <w:num w:numId="48">
    <w:abstractNumId w:val="24"/>
  </w:num>
  <w:num w:numId="49">
    <w:abstractNumId w:val="39"/>
  </w:num>
  <w:num w:numId="50">
    <w:abstractNumId w:val="14"/>
  </w:num>
  <w:num w:numId="51">
    <w:abstractNumId w:val="12"/>
  </w:num>
  <w:num w:numId="52">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icago">
    <w15:presenceInfo w15:providerId="None" w15:userId="Chicag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hideSpellingErrors/>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Y2I0ZTZhZmY1NzdkNWJiNGEyMjdkYmU5N2RhNGMifQ=="/>
  </w:docVars>
  <w:rsids>
    <w:rsidRoot w:val="00172A27"/>
    <w:rsid w:val="00073BDE"/>
    <w:rsid w:val="00172A27"/>
    <w:rsid w:val="001B7E0A"/>
    <w:rsid w:val="001E08E5"/>
    <w:rsid w:val="00201342"/>
    <w:rsid w:val="00365F13"/>
    <w:rsid w:val="004D57BE"/>
    <w:rsid w:val="00621466"/>
    <w:rsid w:val="0071154F"/>
    <w:rsid w:val="00934775"/>
    <w:rsid w:val="009E619E"/>
    <w:rsid w:val="00A93469"/>
    <w:rsid w:val="00C201C8"/>
    <w:rsid w:val="00D21963"/>
    <w:rsid w:val="00DF68E0"/>
    <w:rsid w:val="00E1707F"/>
    <w:rsid w:val="00FB6D00"/>
    <w:rsid w:val="014666C5"/>
    <w:rsid w:val="01594748"/>
    <w:rsid w:val="01612EDB"/>
    <w:rsid w:val="01A4627A"/>
    <w:rsid w:val="01C17F70"/>
    <w:rsid w:val="01EA181F"/>
    <w:rsid w:val="01F6365D"/>
    <w:rsid w:val="02810978"/>
    <w:rsid w:val="028D32BB"/>
    <w:rsid w:val="02E50AA8"/>
    <w:rsid w:val="03084734"/>
    <w:rsid w:val="03234164"/>
    <w:rsid w:val="03827B74"/>
    <w:rsid w:val="039E341F"/>
    <w:rsid w:val="03CB7744"/>
    <w:rsid w:val="03DE304E"/>
    <w:rsid w:val="046528F1"/>
    <w:rsid w:val="048803B9"/>
    <w:rsid w:val="050D0BEF"/>
    <w:rsid w:val="0518586B"/>
    <w:rsid w:val="05694C30"/>
    <w:rsid w:val="060B6023"/>
    <w:rsid w:val="06363EE3"/>
    <w:rsid w:val="06612C9D"/>
    <w:rsid w:val="069C29A2"/>
    <w:rsid w:val="06C54BC8"/>
    <w:rsid w:val="071C4619"/>
    <w:rsid w:val="07283837"/>
    <w:rsid w:val="072F2C30"/>
    <w:rsid w:val="084154DE"/>
    <w:rsid w:val="085563DD"/>
    <w:rsid w:val="08597FF8"/>
    <w:rsid w:val="0885444C"/>
    <w:rsid w:val="08B43490"/>
    <w:rsid w:val="08FD33DC"/>
    <w:rsid w:val="09152CE2"/>
    <w:rsid w:val="0996504B"/>
    <w:rsid w:val="09EB0316"/>
    <w:rsid w:val="09FF598E"/>
    <w:rsid w:val="0A275B8E"/>
    <w:rsid w:val="0A336FBD"/>
    <w:rsid w:val="0A691417"/>
    <w:rsid w:val="0A843284"/>
    <w:rsid w:val="0ADE466E"/>
    <w:rsid w:val="0AF60C87"/>
    <w:rsid w:val="0B1A0FCF"/>
    <w:rsid w:val="0B377B1A"/>
    <w:rsid w:val="0B7817B9"/>
    <w:rsid w:val="0B7A6066"/>
    <w:rsid w:val="0B837303"/>
    <w:rsid w:val="0B982CC5"/>
    <w:rsid w:val="0BD604DF"/>
    <w:rsid w:val="0C47147C"/>
    <w:rsid w:val="0C4B23E5"/>
    <w:rsid w:val="0C834577"/>
    <w:rsid w:val="0CA5652F"/>
    <w:rsid w:val="0CAC1F63"/>
    <w:rsid w:val="0D1C5698"/>
    <w:rsid w:val="0D1F459C"/>
    <w:rsid w:val="0D3F66DB"/>
    <w:rsid w:val="0D5B2FB6"/>
    <w:rsid w:val="0D7129E8"/>
    <w:rsid w:val="0DD662D0"/>
    <w:rsid w:val="0E0220F6"/>
    <w:rsid w:val="0E125691"/>
    <w:rsid w:val="0E7A7852"/>
    <w:rsid w:val="0E943D89"/>
    <w:rsid w:val="0EE03FE7"/>
    <w:rsid w:val="0EEC6744"/>
    <w:rsid w:val="0EF11B52"/>
    <w:rsid w:val="0F975119"/>
    <w:rsid w:val="0FE6540B"/>
    <w:rsid w:val="10291AB8"/>
    <w:rsid w:val="10492DAB"/>
    <w:rsid w:val="107C0D19"/>
    <w:rsid w:val="109C56C1"/>
    <w:rsid w:val="10C60104"/>
    <w:rsid w:val="11730E05"/>
    <w:rsid w:val="11866E8E"/>
    <w:rsid w:val="11975230"/>
    <w:rsid w:val="11A44723"/>
    <w:rsid w:val="11EA3FF1"/>
    <w:rsid w:val="120A6E42"/>
    <w:rsid w:val="12615C84"/>
    <w:rsid w:val="127C19B4"/>
    <w:rsid w:val="12890B90"/>
    <w:rsid w:val="12903A5F"/>
    <w:rsid w:val="12932A46"/>
    <w:rsid w:val="139C7DF8"/>
    <w:rsid w:val="13E02B99"/>
    <w:rsid w:val="13E50804"/>
    <w:rsid w:val="140457E7"/>
    <w:rsid w:val="140A5299"/>
    <w:rsid w:val="14484F0A"/>
    <w:rsid w:val="14D36E79"/>
    <w:rsid w:val="15784F11"/>
    <w:rsid w:val="15F35ED3"/>
    <w:rsid w:val="15F632D3"/>
    <w:rsid w:val="15F92A09"/>
    <w:rsid w:val="161C31AE"/>
    <w:rsid w:val="16497820"/>
    <w:rsid w:val="16C5204E"/>
    <w:rsid w:val="16D021C1"/>
    <w:rsid w:val="16DD58DC"/>
    <w:rsid w:val="17127A9B"/>
    <w:rsid w:val="171E6291"/>
    <w:rsid w:val="17313823"/>
    <w:rsid w:val="173B7AD6"/>
    <w:rsid w:val="17660122"/>
    <w:rsid w:val="179D54F0"/>
    <w:rsid w:val="18681247"/>
    <w:rsid w:val="18753975"/>
    <w:rsid w:val="18956596"/>
    <w:rsid w:val="18B70946"/>
    <w:rsid w:val="19017282"/>
    <w:rsid w:val="198D5A0A"/>
    <w:rsid w:val="19F808D8"/>
    <w:rsid w:val="1A290400"/>
    <w:rsid w:val="1A7036FF"/>
    <w:rsid w:val="1A9E3B75"/>
    <w:rsid w:val="1AC608CC"/>
    <w:rsid w:val="1AE86D4E"/>
    <w:rsid w:val="1B02448F"/>
    <w:rsid w:val="1B234863"/>
    <w:rsid w:val="1B375630"/>
    <w:rsid w:val="1B844742"/>
    <w:rsid w:val="1B895B26"/>
    <w:rsid w:val="1BA609D8"/>
    <w:rsid w:val="1BD52ECA"/>
    <w:rsid w:val="1BDA5D93"/>
    <w:rsid w:val="1BF319C6"/>
    <w:rsid w:val="1C0C4620"/>
    <w:rsid w:val="1C3A7A40"/>
    <w:rsid w:val="1C5A50D6"/>
    <w:rsid w:val="1C730D0F"/>
    <w:rsid w:val="1CA911C3"/>
    <w:rsid w:val="1CE5622D"/>
    <w:rsid w:val="1CF05453"/>
    <w:rsid w:val="1D0429B4"/>
    <w:rsid w:val="1D183CB3"/>
    <w:rsid w:val="1D5D5A73"/>
    <w:rsid w:val="1D8A70A3"/>
    <w:rsid w:val="1DEC5649"/>
    <w:rsid w:val="1E13574F"/>
    <w:rsid w:val="1E754BCD"/>
    <w:rsid w:val="1E7B3D6B"/>
    <w:rsid w:val="1F5B6CCF"/>
    <w:rsid w:val="1FC32644"/>
    <w:rsid w:val="200E64F7"/>
    <w:rsid w:val="200F0414"/>
    <w:rsid w:val="201A4DBC"/>
    <w:rsid w:val="20256BDE"/>
    <w:rsid w:val="204D75E2"/>
    <w:rsid w:val="20B27B50"/>
    <w:rsid w:val="20EC3F80"/>
    <w:rsid w:val="211E0396"/>
    <w:rsid w:val="21232245"/>
    <w:rsid w:val="214D178A"/>
    <w:rsid w:val="216E3D0B"/>
    <w:rsid w:val="21BC24CA"/>
    <w:rsid w:val="21CC60BB"/>
    <w:rsid w:val="21CE265A"/>
    <w:rsid w:val="2205623C"/>
    <w:rsid w:val="22341B00"/>
    <w:rsid w:val="22490E2E"/>
    <w:rsid w:val="232F6559"/>
    <w:rsid w:val="233025BC"/>
    <w:rsid w:val="23670F8F"/>
    <w:rsid w:val="237C1B82"/>
    <w:rsid w:val="239F11E6"/>
    <w:rsid w:val="240B6D90"/>
    <w:rsid w:val="2423610C"/>
    <w:rsid w:val="246F6D3F"/>
    <w:rsid w:val="249D31D3"/>
    <w:rsid w:val="24C432B9"/>
    <w:rsid w:val="24ED3C91"/>
    <w:rsid w:val="25382489"/>
    <w:rsid w:val="256A5C1A"/>
    <w:rsid w:val="25906066"/>
    <w:rsid w:val="262607A6"/>
    <w:rsid w:val="26810224"/>
    <w:rsid w:val="2682699A"/>
    <w:rsid w:val="26C26FDC"/>
    <w:rsid w:val="26EB54E7"/>
    <w:rsid w:val="272A5824"/>
    <w:rsid w:val="272B77B6"/>
    <w:rsid w:val="27466A6E"/>
    <w:rsid w:val="274679DD"/>
    <w:rsid w:val="27534038"/>
    <w:rsid w:val="27A3096B"/>
    <w:rsid w:val="27C91D00"/>
    <w:rsid w:val="27EC35F7"/>
    <w:rsid w:val="286D59EB"/>
    <w:rsid w:val="287B709F"/>
    <w:rsid w:val="28A76938"/>
    <w:rsid w:val="28F83A1F"/>
    <w:rsid w:val="2927168B"/>
    <w:rsid w:val="29BD7A29"/>
    <w:rsid w:val="29EC748A"/>
    <w:rsid w:val="2A8C7596"/>
    <w:rsid w:val="2B0B03F9"/>
    <w:rsid w:val="2B1C49D2"/>
    <w:rsid w:val="2B1F410E"/>
    <w:rsid w:val="2B2230DE"/>
    <w:rsid w:val="2C0D6326"/>
    <w:rsid w:val="2C8F3ED4"/>
    <w:rsid w:val="2CB61AF3"/>
    <w:rsid w:val="2CB7248F"/>
    <w:rsid w:val="2CF25E95"/>
    <w:rsid w:val="2D351EC1"/>
    <w:rsid w:val="2DA06BF7"/>
    <w:rsid w:val="2DC61516"/>
    <w:rsid w:val="2DC75BC6"/>
    <w:rsid w:val="2DF806F8"/>
    <w:rsid w:val="2E6B1925"/>
    <w:rsid w:val="2E8B7B04"/>
    <w:rsid w:val="2E94166C"/>
    <w:rsid w:val="2E9B1B64"/>
    <w:rsid w:val="2EC171C6"/>
    <w:rsid w:val="2EDA5040"/>
    <w:rsid w:val="2F254CDC"/>
    <w:rsid w:val="2F36137E"/>
    <w:rsid w:val="2F935EF0"/>
    <w:rsid w:val="2FA7754E"/>
    <w:rsid w:val="2FAC1E56"/>
    <w:rsid w:val="2FAD4B05"/>
    <w:rsid w:val="2FAE74F1"/>
    <w:rsid w:val="2FBF3B5B"/>
    <w:rsid w:val="3004484F"/>
    <w:rsid w:val="30097581"/>
    <w:rsid w:val="301B50A4"/>
    <w:rsid w:val="304E37B0"/>
    <w:rsid w:val="30557FAA"/>
    <w:rsid w:val="309609C2"/>
    <w:rsid w:val="31045CB1"/>
    <w:rsid w:val="313A6244"/>
    <w:rsid w:val="31531CD0"/>
    <w:rsid w:val="3159476E"/>
    <w:rsid w:val="315B2092"/>
    <w:rsid w:val="31C82673"/>
    <w:rsid w:val="31CA4C5E"/>
    <w:rsid w:val="322E6F38"/>
    <w:rsid w:val="32847A67"/>
    <w:rsid w:val="32C97A3C"/>
    <w:rsid w:val="32CF3861"/>
    <w:rsid w:val="32D828B7"/>
    <w:rsid w:val="33461432"/>
    <w:rsid w:val="337A4750"/>
    <w:rsid w:val="339B5279"/>
    <w:rsid w:val="33B86253"/>
    <w:rsid w:val="33BD0685"/>
    <w:rsid w:val="33D518BD"/>
    <w:rsid w:val="341D6FBA"/>
    <w:rsid w:val="345D5D81"/>
    <w:rsid w:val="34AD7485"/>
    <w:rsid w:val="35713ADD"/>
    <w:rsid w:val="359C6607"/>
    <w:rsid w:val="35A043A1"/>
    <w:rsid w:val="35D03352"/>
    <w:rsid w:val="36295DB7"/>
    <w:rsid w:val="363717AF"/>
    <w:rsid w:val="36A350A6"/>
    <w:rsid w:val="36B246F6"/>
    <w:rsid w:val="36F243E3"/>
    <w:rsid w:val="36F776FB"/>
    <w:rsid w:val="375B15ED"/>
    <w:rsid w:val="385779DC"/>
    <w:rsid w:val="38594CC0"/>
    <w:rsid w:val="38C3256F"/>
    <w:rsid w:val="38C63D37"/>
    <w:rsid w:val="3917335D"/>
    <w:rsid w:val="39CE577A"/>
    <w:rsid w:val="39E43F51"/>
    <w:rsid w:val="39F82229"/>
    <w:rsid w:val="3A5613CD"/>
    <w:rsid w:val="3A7F3464"/>
    <w:rsid w:val="3AE116B3"/>
    <w:rsid w:val="3AE457FB"/>
    <w:rsid w:val="3B024640"/>
    <w:rsid w:val="3B0A7CD4"/>
    <w:rsid w:val="3B0E405A"/>
    <w:rsid w:val="3B4C2808"/>
    <w:rsid w:val="3BA64FD0"/>
    <w:rsid w:val="3BE63E7B"/>
    <w:rsid w:val="3C3907B6"/>
    <w:rsid w:val="3C8850E1"/>
    <w:rsid w:val="3C9628C6"/>
    <w:rsid w:val="3CB35CA7"/>
    <w:rsid w:val="3CD6661B"/>
    <w:rsid w:val="3CE81A31"/>
    <w:rsid w:val="3CF7540C"/>
    <w:rsid w:val="3CFB2793"/>
    <w:rsid w:val="3D0B0F78"/>
    <w:rsid w:val="3D577A9F"/>
    <w:rsid w:val="3D721089"/>
    <w:rsid w:val="3D7630FC"/>
    <w:rsid w:val="3DCA6B17"/>
    <w:rsid w:val="3DD66391"/>
    <w:rsid w:val="3DF2576E"/>
    <w:rsid w:val="3E1B4511"/>
    <w:rsid w:val="3E2B4A0C"/>
    <w:rsid w:val="3E3A034D"/>
    <w:rsid w:val="3E3C0E04"/>
    <w:rsid w:val="3E40748F"/>
    <w:rsid w:val="3E44329A"/>
    <w:rsid w:val="3E760BC9"/>
    <w:rsid w:val="3E8D2BDF"/>
    <w:rsid w:val="3F070F75"/>
    <w:rsid w:val="3F0A3B20"/>
    <w:rsid w:val="3F331F7D"/>
    <w:rsid w:val="3F890276"/>
    <w:rsid w:val="3FA55408"/>
    <w:rsid w:val="400332ED"/>
    <w:rsid w:val="400F4D36"/>
    <w:rsid w:val="40275DA0"/>
    <w:rsid w:val="4031772D"/>
    <w:rsid w:val="40503157"/>
    <w:rsid w:val="40F34953"/>
    <w:rsid w:val="413D4350"/>
    <w:rsid w:val="41506730"/>
    <w:rsid w:val="417C19B5"/>
    <w:rsid w:val="4239006E"/>
    <w:rsid w:val="42FC04F1"/>
    <w:rsid w:val="43064176"/>
    <w:rsid w:val="43110331"/>
    <w:rsid w:val="434164D5"/>
    <w:rsid w:val="435B306E"/>
    <w:rsid w:val="435E5815"/>
    <w:rsid w:val="43BF691B"/>
    <w:rsid w:val="43C961EC"/>
    <w:rsid w:val="43EA5618"/>
    <w:rsid w:val="442B6727"/>
    <w:rsid w:val="4470245E"/>
    <w:rsid w:val="44852A63"/>
    <w:rsid w:val="44987935"/>
    <w:rsid w:val="44C84788"/>
    <w:rsid w:val="44E50933"/>
    <w:rsid w:val="44F20B11"/>
    <w:rsid w:val="4508436D"/>
    <w:rsid w:val="453611F9"/>
    <w:rsid w:val="45A102AA"/>
    <w:rsid w:val="45B3534F"/>
    <w:rsid w:val="45BB0941"/>
    <w:rsid w:val="45BF3A89"/>
    <w:rsid w:val="45C63538"/>
    <w:rsid w:val="45D45DF9"/>
    <w:rsid w:val="45E144FD"/>
    <w:rsid w:val="45F8625B"/>
    <w:rsid w:val="470B4B11"/>
    <w:rsid w:val="47CE3206"/>
    <w:rsid w:val="47D3314B"/>
    <w:rsid w:val="48515D51"/>
    <w:rsid w:val="48544668"/>
    <w:rsid w:val="485A3018"/>
    <w:rsid w:val="48664DDB"/>
    <w:rsid w:val="48760DBD"/>
    <w:rsid w:val="48A27AAA"/>
    <w:rsid w:val="48B32F68"/>
    <w:rsid w:val="48B51403"/>
    <w:rsid w:val="48E20C00"/>
    <w:rsid w:val="48F16C79"/>
    <w:rsid w:val="49122723"/>
    <w:rsid w:val="496C2A3E"/>
    <w:rsid w:val="49AE3AC5"/>
    <w:rsid w:val="4A2E014D"/>
    <w:rsid w:val="4A3917B7"/>
    <w:rsid w:val="4A4B42B7"/>
    <w:rsid w:val="4A567DEB"/>
    <w:rsid w:val="4A5A7694"/>
    <w:rsid w:val="4AF83DE1"/>
    <w:rsid w:val="4B766BF9"/>
    <w:rsid w:val="4C7764CB"/>
    <w:rsid w:val="4CB60A85"/>
    <w:rsid w:val="4CC326F5"/>
    <w:rsid w:val="4CDA3D96"/>
    <w:rsid w:val="4CE97C09"/>
    <w:rsid w:val="4DC15A47"/>
    <w:rsid w:val="4E087EAE"/>
    <w:rsid w:val="4E1F2995"/>
    <w:rsid w:val="4E5361CC"/>
    <w:rsid w:val="4EBD443E"/>
    <w:rsid w:val="4EC463A1"/>
    <w:rsid w:val="4F036F4B"/>
    <w:rsid w:val="4F654F96"/>
    <w:rsid w:val="4F973140"/>
    <w:rsid w:val="4FC61199"/>
    <w:rsid w:val="4FF35ABE"/>
    <w:rsid w:val="502A72AC"/>
    <w:rsid w:val="50340705"/>
    <w:rsid w:val="503B1901"/>
    <w:rsid w:val="504161F6"/>
    <w:rsid w:val="50564D09"/>
    <w:rsid w:val="506A19D7"/>
    <w:rsid w:val="507C78A0"/>
    <w:rsid w:val="5099694A"/>
    <w:rsid w:val="50B15E60"/>
    <w:rsid w:val="50DB3A16"/>
    <w:rsid w:val="50EB46AB"/>
    <w:rsid w:val="516013AC"/>
    <w:rsid w:val="51601B90"/>
    <w:rsid w:val="516D5663"/>
    <w:rsid w:val="5190205E"/>
    <w:rsid w:val="51F811E7"/>
    <w:rsid w:val="520F3EDC"/>
    <w:rsid w:val="526043B6"/>
    <w:rsid w:val="527E763A"/>
    <w:rsid w:val="528B58E1"/>
    <w:rsid w:val="529D0015"/>
    <w:rsid w:val="530E4959"/>
    <w:rsid w:val="537B6C44"/>
    <w:rsid w:val="53B10425"/>
    <w:rsid w:val="53B52794"/>
    <w:rsid w:val="53BF4FBF"/>
    <w:rsid w:val="53D83FF7"/>
    <w:rsid w:val="54193167"/>
    <w:rsid w:val="54303245"/>
    <w:rsid w:val="54420145"/>
    <w:rsid w:val="555D3276"/>
    <w:rsid w:val="558444ED"/>
    <w:rsid w:val="55A33795"/>
    <w:rsid w:val="561A6B31"/>
    <w:rsid w:val="5624773C"/>
    <w:rsid w:val="563B0D0C"/>
    <w:rsid w:val="567C141C"/>
    <w:rsid w:val="5685766F"/>
    <w:rsid w:val="569D078B"/>
    <w:rsid w:val="571222B5"/>
    <w:rsid w:val="571B196A"/>
    <w:rsid w:val="57353998"/>
    <w:rsid w:val="5738668D"/>
    <w:rsid w:val="57E25675"/>
    <w:rsid w:val="57E43BC3"/>
    <w:rsid w:val="582B59BB"/>
    <w:rsid w:val="583A5A51"/>
    <w:rsid w:val="58455770"/>
    <w:rsid w:val="58E867A4"/>
    <w:rsid w:val="59292B67"/>
    <w:rsid w:val="5986297B"/>
    <w:rsid w:val="59E51F25"/>
    <w:rsid w:val="59F36430"/>
    <w:rsid w:val="5A1923F3"/>
    <w:rsid w:val="5A424B20"/>
    <w:rsid w:val="5AB574CE"/>
    <w:rsid w:val="5ADF3332"/>
    <w:rsid w:val="5B620360"/>
    <w:rsid w:val="5B636832"/>
    <w:rsid w:val="5BE50005"/>
    <w:rsid w:val="5BFC3D4F"/>
    <w:rsid w:val="5C930683"/>
    <w:rsid w:val="5C955480"/>
    <w:rsid w:val="5D9A5F6B"/>
    <w:rsid w:val="5DD34B1A"/>
    <w:rsid w:val="5E1E4502"/>
    <w:rsid w:val="5F3E169D"/>
    <w:rsid w:val="5F3E27D6"/>
    <w:rsid w:val="5F4C1D25"/>
    <w:rsid w:val="5F822705"/>
    <w:rsid w:val="5F8F2AD9"/>
    <w:rsid w:val="5FD736CE"/>
    <w:rsid w:val="600133C5"/>
    <w:rsid w:val="603E538B"/>
    <w:rsid w:val="60401B96"/>
    <w:rsid w:val="605B7E34"/>
    <w:rsid w:val="60625F9C"/>
    <w:rsid w:val="60656DF2"/>
    <w:rsid w:val="60BC0667"/>
    <w:rsid w:val="60F92028"/>
    <w:rsid w:val="61376FC0"/>
    <w:rsid w:val="61477C1D"/>
    <w:rsid w:val="618F1660"/>
    <w:rsid w:val="61A52179"/>
    <w:rsid w:val="61C44981"/>
    <w:rsid w:val="61D35696"/>
    <w:rsid w:val="61D76816"/>
    <w:rsid w:val="625036CC"/>
    <w:rsid w:val="62597579"/>
    <w:rsid w:val="629052B6"/>
    <w:rsid w:val="62E55F8D"/>
    <w:rsid w:val="62F85523"/>
    <w:rsid w:val="635E2668"/>
    <w:rsid w:val="636B2EFA"/>
    <w:rsid w:val="63992513"/>
    <w:rsid w:val="63A36C3E"/>
    <w:rsid w:val="63AD015F"/>
    <w:rsid w:val="63B048A0"/>
    <w:rsid w:val="63F74427"/>
    <w:rsid w:val="647B20B6"/>
    <w:rsid w:val="6494532D"/>
    <w:rsid w:val="64DA7297"/>
    <w:rsid w:val="64F37B3E"/>
    <w:rsid w:val="650F1FB8"/>
    <w:rsid w:val="656B37D8"/>
    <w:rsid w:val="659A16CA"/>
    <w:rsid w:val="65A426B4"/>
    <w:rsid w:val="65A958B7"/>
    <w:rsid w:val="65C45C11"/>
    <w:rsid w:val="65CC2DDD"/>
    <w:rsid w:val="66314BF2"/>
    <w:rsid w:val="66330E15"/>
    <w:rsid w:val="664F19D8"/>
    <w:rsid w:val="6692603B"/>
    <w:rsid w:val="66AC7169"/>
    <w:rsid w:val="66CA4AA2"/>
    <w:rsid w:val="66E06CA6"/>
    <w:rsid w:val="672A369D"/>
    <w:rsid w:val="67960E00"/>
    <w:rsid w:val="67DB3C66"/>
    <w:rsid w:val="67DE387B"/>
    <w:rsid w:val="67EA757E"/>
    <w:rsid w:val="680C0495"/>
    <w:rsid w:val="68135635"/>
    <w:rsid w:val="68344A90"/>
    <w:rsid w:val="68AD267F"/>
    <w:rsid w:val="68C90A5B"/>
    <w:rsid w:val="68FB0522"/>
    <w:rsid w:val="69740697"/>
    <w:rsid w:val="6992105F"/>
    <w:rsid w:val="69B17E97"/>
    <w:rsid w:val="69F543AE"/>
    <w:rsid w:val="6A09775F"/>
    <w:rsid w:val="6A272A09"/>
    <w:rsid w:val="6A31098C"/>
    <w:rsid w:val="6A7403D0"/>
    <w:rsid w:val="6B9871BA"/>
    <w:rsid w:val="6BE46FA6"/>
    <w:rsid w:val="6BFE6D4A"/>
    <w:rsid w:val="6C1E0B80"/>
    <w:rsid w:val="6C292B8B"/>
    <w:rsid w:val="6C41615A"/>
    <w:rsid w:val="6C69121A"/>
    <w:rsid w:val="6CB147AE"/>
    <w:rsid w:val="6D007A87"/>
    <w:rsid w:val="6D15081B"/>
    <w:rsid w:val="6D2E5476"/>
    <w:rsid w:val="6D333407"/>
    <w:rsid w:val="6D472272"/>
    <w:rsid w:val="6D4F2B28"/>
    <w:rsid w:val="6DA3293A"/>
    <w:rsid w:val="6DBC5C94"/>
    <w:rsid w:val="6DED59C7"/>
    <w:rsid w:val="6DF7045E"/>
    <w:rsid w:val="6E28698A"/>
    <w:rsid w:val="6E6856F7"/>
    <w:rsid w:val="6ED039E8"/>
    <w:rsid w:val="6ED138C3"/>
    <w:rsid w:val="6ED67FC1"/>
    <w:rsid w:val="6EF34333"/>
    <w:rsid w:val="6F224902"/>
    <w:rsid w:val="6F836F22"/>
    <w:rsid w:val="6F9131C4"/>
    <w:rsid w:val="6FA55D9E"/>
    <w:rsid w:val="6FF70D9A"/>
    <w:rsid w:val="6FFD2C4F"/>
    <w:rsid w:val="6FFE5F86"/>
    <w:rsid w:val="700C26AA"/>
    <w:rsid w:val="701501B6"/>
    <w:rsid w:val="7030738F"/>
    <w:rsid w:val="705441E8"/>
    <w:rsid w:val="70E5475E"/>
    <w:rsid w:val="70E66C09"/>
    <w:rsid w:val="70F70446"/>
    <w:rsid w:val="718756A2"/>
    <w:rsid w:val="71C5220C"/>
    <w:rsid w:val="71F7448B"/>
    <w:rsid w:val="720B41FA"/>
    <w:rsid w:val="720C508C"/>
    <w:rsid w:val="7233239F"/>
    <w:rsid w:val="726B7B77"/>
    <w:rsid w:val="726C2F61"/>
    <w:rsid w:val="72A273E5"/>
    <w:rsid w:val="72B14ABC"/>
    <w:rsid w:val="72E735DD"/>
    <w:rsid w:val="731B7334"/>
    <w:rsid w:val="735F4A4A"/>
    <w:rsid w:val="73750F0E"/>
    <w:rsid w:val="738308E9"/>
    <w:rsid w:val="73D278CD"/>
    <w:rsid w:val="73D47361"/>
    <w:rsid w:val="7407457F"/>
    <w:rsid w:val="74260CDA"/>
    <w:rsid w:val="74357ECE"/>
    <w:rsid w:val="746343EA"/>
    <w:rsid w:val="74A27FEB"/>
    <w:rsid w:val="74F0086A"/>
    <w:rsid w:val="751B3469"/>
    <w:rsid w:val="75572AF7"/>
    <w:rsid w:val="75692B46"/>
    <w:rsid w:val="75794C91"/>
    <w:rsid w:val="7591272E"/>
    <w:rsid w:val="759A53ED"/>
    <w:rsid w:val="76884109"/>
    <w:rsid w:val="76C956E8"/>
    <w:rsid w:val="76CA41AC"/>
    <w:rsid w:val="77786B29"/>
    <w:rsid w:val="7793066E"/>
    <w:rsid w:val="7893556F"/>
    <w:rsid w:val="78952426"/>
    <w:rsid w:val="789C158E"/>
    <w:rsid w:val="791F1E8B"/>
    <w:rsid w:val="79793753"/>
    <w:rsid w:val="797C75D1"/>
    <w:rsid w:val="7A3D26DD"/>
    <w:rsid w:val="7A4F7E56"/>
    <w:rsid w:val="7A8D37DD"/>
    <w:rsid w:val="7AE856B5"/>
    <w:rsid w:val="7B4D42B5"/>
    <w:rsid w:val="7B574DF4"/>
    <w:rsid w:val="7BA834D0"/>
    <w:rsid w:val="7D1D2F0B"/>
    <w:rsid w:val="7DA47326"/>
    <w:rsid w:val="7DC91269"/>
    <w:rsid w:val="7E5B6B29"/>
    <w:rsid w:val="7EB868CE"/>
    <w:rsid w:val="7EC5483D"/>
    <w:rsid w:val="7ECE6BA5"/>
    <w:rsid w:val="7F182BA8"/>
    <w:rsid w:val="7F5036C5"/>
    <w:rsid w:val="7F711634"/>
    <w:rsid w:val="7F7B3232"/>
    <w:rsid w:val="7F914E9C"/>
    <w:rsid w:val="7FAE5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line="360" w:lineRule="auto"/>
    </w:pPr>
    <w:rPr>
      <w:rFonts w:eastAsia="宋体" w:asciiTheme="minorHAnsi" w:hAnsiTheme="minorHAnsi" w:cstheme="minorBidi"/>
      <w:kern w:val="2"/>
      <w:sz w:val="22"/>
      <w:szCs w:val="24"/>
      <w:lang w:val="en-US" w:eastAsia="zh-CN" w:bidi="ar-SA"/>
    </w:rPr>
  </w:style>
  <w:style w:type="paragraph" w:styleId="3">
    <w:name w:val="heading 1"/>
    <w:basedOn w:val="1"/>
    <w:next w:val="1"/>
    <w:link w:val="27"/>
    <w:qFormat/>
    <w:uiPriority w:val="0"/>
    <w:pPr>
      <w:keepNext/>
      <w:keepLines/>
      <w:spacing w:before="340" w:after="330" w:line="576" w:lineRule="auto"/>
      <w:jc w:val="center"/>
      <w:outlineLvl w:val="0"/>
    </w:pPr>
    <w:rPr>
      <w:b/>
      <w:kern w:val="44"/>
      <w:sz w:val="44"/>
    </w:rPr>
  </w:style>
  <w:style w:type="paragraph" w:styleId="4">
    <w:name w:val="heading 2"/>
    <w:basedOn w:val="1"/>
    <w:next w:val="1"/>
    <w:link w:val="25"/>
    <w:unhideWhenUsed/>
    <w:qFormat/>
    <w:uiPriority w:val="0"/>
    <w:pPr>
      <w:keepNext/>
      <w:keepLines/>
      <w:spacing w:before="260" w:after="260"/>
      <w:jc w:val="center"/>
      <w:outlineLvl w:val="1"/>
    </w:pPr>
    <w:rPr>
      <w:rFonts w:ascii="Arial" w:hAnsi="Arial"/>
      <w:b/>
      <w:sz w:val="44"/>
    </w:rPr>
  </w:style>
  <w:style w:type="paragraph" w:styleId="5">
    <w:name w:val="heading 3"/>
    <w:basedOn w:val="1"/>
    <w:next w:val="1"/>
    <w:link w:val="22"/>
    <w:unhideWhenUsed/>
    <w:qFormat/>
    <w:uiPriority w:val="0"/>
    <w:pPr>
      <w:keepNext/>
      <w:keepLines/>
      <w:spacing w:before="260" w:after="260"/>
      <w:outlineLvl w:val="2"/>
    </w:pPr>
    <w:rPr>
      <w:b/>
      <w:sz w:val="32"/>
    </w:rPr>
  </w:style>
  <w:style w:type="paragraph" w:styleId="6">
    <w:name w:val="heading 4"/>
    <w:basedOn w:val="1"/>
    <w:next w:val="1"/>
    <w:link w:val="23"/>
    <w:qFormat/>
    <w:uiPriority w:val="1"/>
    <w:pPr>
      <w:outlineLvl w:val="3"/>
    </w:pPr>
    <w:rPr>
      <w:rFonts w:ascii="宋体" w:hAnsi="宋体"/>
      <w:sz w:val="30"/>
      <w:szCs w:val="32"/>
    </w:rPr>
  </w:style>
  <w:style w:type="paragraph" w:styleId="7">
    <w:name w:val="heading 5"/>
    <w:basedOn w:val="1"/>
    <w:next w:val="1"/>
    <w:link w:val="24"/>
    <w:qFormat/>
    <w:uiPriority w:val="1"/>
    <w:pPr>
      <w:ind w:left="237"/>
      <w:jc w:val="center"/>
      <w:outlineLvl w:val="4"/>
    </w:pPr>
    <w:rPr>
      <w:rFonts w:ascii="宋体" w:hAnsi="宋体"/>
      <w:b/>
      <w:sz w:val="30"/>
      <w:szCs w:val="28"/>
    </w:rPr>
  </w:style>
  <w:style w:type="paragraph" w:styleId="8">
    <w:name w:val="heading 6"/>
    <w:basedOn w:val="1"/>
    <w:next w:val="1"/>
    <w:link w:val="26"/>
    <w:unhideWhenUsed/>
    <w:qFormat/>
    <w:uiPriority w:val="0"/>
    <w:pPr>
      <w:keepNext/>
      <w:keepLines/>
      <w:spacing w:before="240" w:after="64" w:line="317" w:lineRule="auto"/>
      <w:outlineLvl w:val="5"/>
    </w:pPr>
    <w:rPr>
      <w:rFonts w:ascii="Arial" w:hAnsi="Arial" w:eastAsia="黑体"/>
      <w:b/>
      <w:sz w:val="24"/>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Body Text"/>
    <w:basedOn w:val="1"/>
    <w:link w:val="21"/>
    <w:qFormat/>
    <w:uiPriority w:val="0"/>
    <w:pPr>
      <w:ind w:left="520"/>
    </w:pPr>
    <w:rPr>
      <w:rFonts w:ascii="宋体" w:hAnsi="宋体"/>
      <w:szCs w:val="21"/>
    </w:rPr>
  </w:style>
  <w:style w:type="paragraph" w:styleId="9">
    <w:name w:val="annotation text"/>
    <w:basedOn w:val="1"/>
    <w:link w:val="30"/>
    <w:qFormat/>
    <w:uiPriority w:val="0"/>
  </w:style>
  <w:style w:type="paragraph" w:styleId="10">
    <w:name w:val="Balloon Text"/>
    <w:basedOn w:val="1"/>
    <w:link w:val="28"/>
    <w:qFormat/>
    <w:uiPriority w:val="0"/>
    <w:pPr>
      <w:spacing w:line="240" w:lineRule="auto"/>
    </w:pPr>
    <w:rPr>
      <w:sz w:val="18"/>
      <w:szCs w:val="18"/>
    </w:rPr>
  </w:style>
  <w:style w:type="paragraph" w:styleId="11">
    <w:name w:val="footer"/>
    <w:basedOn w:val="1"/>
    <w:qFormat/>
    <w:uiPriority w:val="0"/>
    <w:pPr>
      <w:tabs>
        <w:tab w:val="center" w:pos="4153"/>
        <w:tab w:val="right" w:pos="8306"/>
      </w:tabs>
      <w:snapToGrid w:val="0"/>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3">
    <w:name w:val="toc 1"/>
    <w:basedOn w:val="1"/>
    <w:next w:val="1"/>
    <w:qFormat/>
    <w:uiPriority w:val="0"/>
    <w:rPr>
      <w:sz w:val="36"/>
    </w:rPr>
  </w:style>
  <w:style w:type="paragraph" w:styleId="14">
    <w:name w:val="toc 2"/>
    <w:basedOn w:val="1"/>
    <w:next w:val="1"/>
    <w:qFormat/>
    <w:uiPriority w:val="0"/>
    <w:pPr>
      <w:ind w:left="420" w:leftChars="200"/>
    </w:pPr>
    <w:rPr>
      <w:sz w:val="32"/>
    </w:rPr>
  </w:style>
  <w:style w:type="table" w:styleId="16">
    <w:name w:val="Table Grid"/>
    <w:basedOn w:val="15"/>
    <w:qFormat/>
    <w:uiPriority w:val="37"/>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annotation reference"/>
    <w:basedOn w:val="17"/>
    <w:qFormat/>
    <w:uiPriority w:val="0"/>
    <w:rPr>
      <w:sz w:val="21"/>
      <w:szCs w:val="21"/>
    </w:rPr>
  </w:style>
  <w:style w:type="paragraph" w:customStyle="1" w:styleId="19">
    <w:name w:val="封面"/>
    <w:basedOn w:val="1"/>
    <w:qFormat/>
    <w:uiPriority w:val="0"/>
    <w:pPr>
      <w:jc w:val="center"/>
    </w:pPr>
    <w:rPr>
      <w:sz w:val="28"/>
    </w:rPr>
  </w:style>
  <w:style w:type="table" w:customStyle="1" w:styleId="20">
    <w:name w:val="Table Normal"/>
    <w:semiHidden/>
    <w:unhideWhenUsed/>
    <w:qFormat/>
    <w:uiPriority w:val="2"/>
    <w:tblPr>
      <w:tblCellMar>
        <w:top w:w="0" w:type="dxa"/>
        <w:left w:w="0" w:type="dxa"/>
        <w:bottom w:w="0" w:type="dxa"/>
        <w:right w:w="0" w:type="dxa"/>
      </w:tblCellMar>
    </w:tblPr>
  </w:style>
  <w:style w:type="character" w:customStyle="1" w:styleId="21">
    <w:name w:val="正文文本 Char"/>
    <w:link w:val="2"/>
    <w:qFormat/>
    <w:uiPriority w:val="0"/>
    <w:rPr>
      <w:rFonts w:ascii="宋体" w:hAnsi="宋体"/>
      <w:sz w:val="22"/>
      <w:szCs w:val="21"/>
    </w:rPr>
  </w:style>
  <w:style w:type="character" w:customStyle="1" w:styleId="22">
    <w:name w:val="标题 3 Char"/>
    <w:link w:val="5"/>
    <w:qFormat/>
    <w:uiPriority w:val="0"/>
    <w:rPr>
      <w:b/>
      <w:sz w:val="32"/>
    </w:rPr>
  </w:style>
  <w:style w:type="character" w:customStyle="1" w:styleId="23">
    <w:name w:val="标题 4 Char"/>
    <w:link w:val="6"/>
    <w:qFormat/>
    <w:uiPriority w:val="1"/>
    <w:rPr>
      <w:rFonts w:ascii="宋体" w:hAnsi="宋体"/>
      <w:sz w:val="30"/>
      <w:szCs w:val="32"/>
    </w:rPr>
  </w:style>
  <w:style w:type="character" w:customStyle="1" w:styleId="24">
    <w:name w:val="标题 5 Char"/>
    <w:link w:val="7"/>
    <w:qFormat/>
    <w:uiPriority w:val="1"/>
    <w:rPr>
      <w:rFonts w:ascii="宋体" w:hAnsi="宋体"/>
      <w:b/>
      <w:sz w:val="30"/>
      <w:szCs w:val="28"/>
    </w:rPr>
  </w:style>
  <w:style w:type="character" w:customStyle="1" w:styleId="25">
    <w:name w:val="标题 2 Char"/>
    <w:link w:val="4"/>
    <w:qFormat/>
    <w:uiPriority w:val="0"/>
    <w:rPr>
      <w:rFonts w:ascii="Arial" w:hAnsi="Arial" w:eastAsia="宋体"/>
      <w:b/>
      <w:sz w:val="44"/>
    </w:rPr>
  </w:style>
  <w:style w:type="character" w:customStyle="1" w:styleId="26">
    <w:name w:val="标题 6 Char"/>
    <w:link w:val="8"/>
    <w:qFormat/>
    <w:uiPriority w:val="0"/>
    <w:rPr>
      <w:rFonts w:ascii="Arial" w:hAnsi="Arial" w:eastAsia="黑体"/>
      <w:b/>
      <w:sz w:val="24"/>
    </w:rPr>
  </w:style>
  <w:style w:type="character" w:customStyle="1" w:styleId="27">
    <w:name w:val="标题 1 Char"/>
    <w:link w:val="3"/>
    <w:qFormat/>
    <w:uiPriority w:val="0"/>
    <w:rPr>
      <w:b/>
      <w:kern w:val="44"/>
      <w:sz w:val="44"/>
    </w:rPr>
  </w:style>
  <w:style w:type="character" w:customStyle="1" w:styleId="28">
    <w:name w:val="批注框文本 Char"/>
    <w:basedOn w:val="17"/>
    <w:link w:val="10"/>
    <w:uiPriority w:val="0"/>
    <w:rPr>
      <w:rFonts w:eastAsia="宋体"/>
      <w:kern w:val="2"/>
      <w:sz w:val="18"/>
      <w:szCs w:val="18"/>
    </w:rPr>
  </w:style>
  <w:style w:type="paragraph" w:customStyle="1" w:styleId="29">
    <w:name w:val="Table Paragraph"/>
    <w:basedOn w:val="1"/>
    <w:qFormat/>
    <w:uiPriority w:val="1"/>
    <w:rPr>
      <w:rFonts w:ascii="Calibri" w:hAnsi="Calibri"/>
      <w:kern w:val="0"/>
      <w:szCs w:val="22"/>
      <w:lang w:eastAsia="en-US"/>
    </w:rPr>
  </w:style>
  <w:style w:type="character" w:customStyle="1" w:styleId="30">
    <w:name w:val="批注文字 Char"/>
    <w:basedOn w:val="17"/>
    <w:link w:val="9"/>
    <w:uiPriority w:val="0"/>
    <w:rPr>
      <w:rFonts w:eastAsia="宋体"/>
      <w:kern w:val="2"/>
      <w:sz w:val="2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2" Type="http://schemas.microsoft.com/office/2011/relationships/people" Target="people.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theme" Target="theme/theme1.xml"/><Relationship Id="rId26" Type="http://schemas.openxmlformats.org/officeDocument/2006/relationships/footer" Target="footer16.xml"/><Relationship Id="rId25" Type="http://schemas.openxmlformats.org/officeDocument/2006/relationships/footer" Target="footer15.xml"/><Relationship Id="rId24" Type="http://schemas.openxmlformats.org/officeDocument/2006/relationships/footer" Target="footer14.xml"/><Relationship Id="rId23" Type="http://schemas.openxmlformats.org/officeDocument/2006/relationships/footer" Target="footer13.xml"/><Relationship Id="rId22" Type="http://schemas.openxmlformats.org/officeDocument/2006/relationships/header" Target="header6.xml"/><Relationship Id="rId21" Type="http://schemas.openxmlformats.org/officeDocument/2006/relationships/header" Target="header5.xml"/><Relationship Id="rId20" Type="http://schemas.openxmlformats.org/officeDocument/2006/relationships/header" Target="header4.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header" Target="header3.xml"/><Relationship Id="rId15" Type="http://schemas.openxmlformats.org/officeDocument/2006/relationships/header" Target="header2.xml"/><Relationship Id="rId14" Type="http://schemas.openxmlformats.org/officeDocument/2006/relationships/header" Target="header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6D6F56-6623-44F1-B56C-B3D3CF76AFAD}">
  <ds:schemaRefs/>
</ds:datastoreItem>
</file>

<file path=docProps/app.xml><?xml version="1.0" encoding="utf-8"?>
<Properties xmlns="http://schemas.openxmlformats.org/officeDocument/2006/extended-properties" xmlns:vt="http://schemas.openxmlformats.org/officeDocument/2006/docPropsVTypes">
  <Template>Normal</Template>
  <Pages>152</Pages>
  <Words>92299</Words>
  <Characters>97068</Characters>
  <Lines>762</Lines>
  <Paragraphs>214</Paragraphs>
  <TotalTime>31</TotalTime>
  <ScaleCrop>false</ScaleCrop>
  <LinksUpToDate>false</LinksUpToDate>
  <CharactersWithSpaces>102515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2021-06-07T08:16:00Z</dcterms:created>
  <dc:creator>     Mask</dc:creator>
  <cp:lastModifiedBy>Chicago</cp:lastModifiedBy>
  <dcterms:modified xsi:type="dcterms:W3CDTF">2022-06-26T21:46:28Z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DED612AD88EA4CA1BDFCCB74967A0CCB</vt:lpwstr>
  </property>
</Properties>
</file>