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Theme="minorEastAsia" w:hAnsiTheme="minorEastAsia"/>
        </w:rPr>
      </w:pPr>
    </w:p>
    <w:p>
      <w:pPr>
        <w:pStyle w:val="19"/>
        <w:rPr>
          <w:u w:val="single"/>
        </w:rPr>
      </w:pPr>
      <w:r>
        <w:rPr>
          <w:rFonts w:hint="eastAsia"/>
          <w:u w:val="single"/>
        </w:rPr>
        <w:t xml:space="preserve">                 </w:t>
      </w:r>
      <w:r>
        <w:rPr>
          <w:rFonts w:hint="eastAsia"/>
        </w:rPr>
        <w:t>（项目名称）采购</w:t>
      </w:r>
      <w:r>
        <w:rPr>
          <w:rFonts w:hint="eastAsia"/>
          <w:u w:val="single"/>
        </w:rPr>
        <w:t xml:space="preserve">   </w:t>
      </w:r>
      <w:r>
        <w:rPr>
          <w:rFonts w:hint="eastAsia"/>
        </w:rPr>
        <w:t>标段</w:t>
      </w:r>
    </w:p>
    <w:p>
      <w:pPr>
        <w:pStyle w:val="19"/>
        <w:rPr>
          <w:u w:val="single"/>
        </w:rPr>
      </w:pPr>
    </w:p>
    <w:p>
      <w:pPr>
        <w:pStyle w:val="19"/>
      </w:pPr>
      <w:r>
        <w:rPr>
          <w:rFonts w:hint="eastAsia"/>
        </w:rPr>
        <w:br w:type="textWrapping"/>
      </w:r>
    </w:p>
    <w:p>
      <w:pPr>
        <w:pStyle w:val="19"/>
        <w:rPr>
          <w:sz w:val="44"/>
          <w:szCs w:val="44"/>
        </w:rPr>
      </w:pPr>
      <w:r>
        <w:rPr>
          <w:rFonts w:hint="eastAsia"/>
          <w:sz w:val="44"/>
          <w:szCs w:val="44"/>
        </w:rPr>
        <w:t>招标文件</w:t>
      </w:r>
    </w:p>
    <w:p>
      <w:pPr>
        <w:pStyle w:val="19"/>
      </w:pPr>
    </w:p>
    <w:p>
      <w:pPr>
        <w:pStyle w:val="19"/>
      </w:pPr>
    </w:p>
    <w:p>
      <w:pPr>
        <w:pStyle w:val="19"/>
      </w:pPr>
      <w:r>
        <w:t>招标人：__________________________________（盖单位章）</w:t>
      </w:r>
    </w:p>
    <w:p>
      <w:pPr>
        <w:pStyle w:val="19"/>
      </w:pPr>
      <w:r>
        <w:rPr>
          <w:rFonts w:hint="eastAsia"/>
        </w:rPr>
        <w:t>□</w:t>
      </w:r>
      <w:r>
        <w:t>招标代理机构：</w:t>
      </w:r>
      <w:r>
        <w:rPr>
          <w:u w:val="single"/>
        </w:rPr>
        <w:tab/>
      </w:r>
      <w:r>
        <w:rPr>
          <w:u w:val="single"/>
        </w:rPr>
        <w:t xml:space="preserve">                </w:t>
      </w:r>
      <w:r>
        <w:rPr>
          <w:u w:val="single"/>
        </w:rPr>
        <w:tab/>
      </w:r>
      <w:r>
        <w:rPr>
          <w:rFonts w:hint="eastAsia"/>
          <w:u w:val="single"/>
        </w:rPr>
        <w:t xml:space="preserve">  </w:t>
      </w:r>
      <w:r>
        <w:rPr>
          <w:u w:val="single"/>
        </w:rPr>
        <w:t xml:space="preserve">   </w:t>
      </w:r>
      <w:r>
        <w:rPr>
          <w:u w:val="single"/>
        </w:rPr>
        <w:tab/>
      </w:r>
      <w:r>
        <w:t>（盖单位章）</w:t>
      </w:r>
    </w:p>
    <w:p>
      <w:pPr>
        <w:pStyle w:val="19"/>
      </w:pPr>
      <w:r>
        <w:t>项目负责人：________________________（盖从业人员印章）</w:t>
      </w:r>
    </w:p>
    <w:p>
      <w:pPr>
        <w:pStyle w:val="19"/>
      </w:pPr>
      <w:r>
        <w:t>招标文件编制人员：__________________（盖从业人员印章）</w:t>
      </w:r>
    </w:p>
    <w:p>
      <w:pPr>
        <w:pStyle w:val="19"/>
      </w:pPr>
    </w:p>
    <w:p>
      <w:pPr>
        <w:pStyle w:val="19"/>
      </w:pPr>
      <w:r>
        <w:rPr>
          <w:rFonts w:hint="eastAsia"/>
        </w:rPr>
        <w:t xml:space="preserve">                                        </w:t>
      </w:r>
      <w:r>
        <w:t>年</w:t>
      </w:r>
      <w:r>
        <w:rPr>
          <w:rFonts w:hint="eastAsia"/>
        </w:rPr>
        <w:t xml:space="preserve">   </w:t>
      </w:r>
      <w:r>
        <w:t>月</w:t>
      </w:r>
      <w:r>
        <w:rPr>
          <w:rFonts w:hint="eastAsia"/>
        </w:rPr>
        <w:t xml:space="preserve">   日</w:t>
      </w:r>
    </w:p>
    <w:p>
      <w:pPr>
        <w:jc w:val="center"/>
      </w:pPr>
    </w:p>
    <w:p>
      <w:pPr>
        <w:pStyle w:val="2"/>
      </w:pPr>
      <w:r>
        <w:t>注：</w:t>
      </w:r>
    </w:p>
    <w:p>
      <w:pPr>
        <w:pStyle w:val="2"/>
      </w:pPr>
      <w:r>
        <w:t>（1）实行自行招标组织形式的，项目负责人和招标文件编制人员应是招标人本单位具有编制招标文件和组织评标能力的人员，招标代理机构栏填"/"。</w:t>
      </w:r>
    </w:p>
    <w:p>
      <w:pPr>
        <w:pStyle w:val="2"/>
      </w:pPr>
      <w:r>
        <w:t>（2）实行委托招标组织形式的，项目负责人和招标文件编制人员应是招标人和招标代理机构双方签订的委托招标代理合同中约定的项目负责人和委派到本项目的主要专职技术人员。</w:t>
      </w:r>
    </w:p>
    <w:p>
      <w:pPr>
        <w:pStyle w:val="2"/>
      </w:pPr>
      <w:r>
        <w:t>（3）如未划分标段，“</w:t>
      </w:r>
      <w:r>
        <w:rPr>
          <w:rFonts w:hint="eastAsia"/>
          <w:u w:val="single"/>
        </w:rPr>
        <w:t xml:space="preserve">   </w:t>
      </w:r>
      <w:r>
        <w:t>标段”填写为“</w:t>
      </w:r>
      <w:r>
        <w:rPr>
          <w:rFonts w:hint="eastAsia"/>
          <w:u w:val="single"/>
        </w:rPr>
        <w:t xml:space="preserve"> </w:t>
      </w:r>
      <w:r>
        <w:rPr>
          <w:u w:val="single"/>
        </w:rPr>
        <w:t>/</w:t>
      </w:r>
      <w:r>
        <w:rPr>
          <w:rFonts w:hint="eastAsia"/>
          <w:u w:val="single"/>
        </w:rPr>
        <w:t xml:space="preserve"> </w:t>
      </w:r>
      <w:r>
        <w:t>标段”，如划分标段，则填写标段序号。</w:t>
      </w:r>
    </w:p>
    <w:p>
      <w:r>
        <w:br w:type="page"/>
      </w:r>
    </w:p>
    <w:sdt>
      <w:sdtPr>
        <w:rPr>
          <w:rFonts w:ascii="宋体" w:hAnsi="宋体"/>
          <w:sz w:val="32"/>
          <w:szCs w:val="32"/>
        </w:rPr>
        <w:id w:val="147457022"/>
        <w:docPartObj>
          <w:docPartGallery w:val="Table of Contents"/>
          <w:docPartUnique/>
        </w:docPartObj>
      </w:sdtPr>
      <w:sdtEndPr>
        <w:rPr>
          <w:rFonts w:asciiTheme="minorHAnsi" w:hAnsiTheme="minorHAnsi"/>
          <w:sz w:val="22"/>
          <w:szCs w:val="24"/>
        </w:rPr>
      </w:sdtEndPr>
      <w:sdtContent>
        <w:p>
          <w:pPr>
            <w:spacing w:line="240" w:lineRule="auto"/>
            <w:jc w:val="center"/>
            <w:rPr>
              <w:rFonts w:ascii="宋体" w:hAnsi="宋体"/>
              <w:sz w:val="44"/>
              <w:szCs w:val="44"/>
            </w:rPr>
          </w:pPr>
          <w:r>
            <w:rPr>
              <w:rFonts w:ascii="宋体" w:hAnsi="宋体"/>
              <w:sz w:val="44"/>
              <w:szCs w:val="44"/>
            </w:rPr>
            <w:t>目录</w:t>
          </w:r>
        </w:p>
        <w:p>
          <w:pPr>
            <w:pStyle w:val="2"/>
          </w:pPr>
        </w:p>
        <w:p>
          <w:pPr>
            <w:pStyle w:val="13"/>
            <w:tabs>
              <w:tab w:val="right" w:leader="dot" w:pos="9972"/>
            </w:tabs>
          </w:pPr>
          <w:r>
            <w:fldChar w:fldCharType="begin"/>
          </w:r>
          <w:r>
            <w:instrText xml:space="preserve">TOC \o "1-2" \h \u </w:instrText>
          </w:r>
          <w:r>
            <w:fldChar w:fldCharType="separate"/>
          </w:r>
          <w:r>
            <w:fldChar w:fldCharType="begin"/>
          </w:r>
          <w:r>
            <w:instrText xml:space="preserve"> HYPERLINK \l "_Toc3518" </w:instrText>
          </w:r>
          <w:r>
            <w:fldChar w:fldCharType="separate"/>
          </w:r>
          <w:r>
            <w:rPr>
              <w:rFonts w:hint="eastAsia"/>
            </w:rPr>
            <w:t>第一卷</w:t>
          </w:r>
          <w:r>
            <w:tab/>
          </w:r>
          <w:r>
            <w:fldChar w:fldCharType="begin"/>
          </w:r>
          <w:r>
            <w:instrText xml:space="preserve"> PAGEREF _Toc3518 \h </w:instrText>
          </w:r>
          <w:r>
            <w:fldChar w:fldCharType="separate"/>
          </w:r>
          <w:r>
            <w:t>3</w:t>
          </w:r>
          <w:r>
            <w:fldChar w:fldCharType="end"/>
          </w:r>
          <w:r>
            <w:fldChar w:fldCharType="end"/>
          </w:r>
        </w:p>
        <w:p>
          <w:pPr>
            <w:pStyle w:val="14"/>
            <w:tabs>
              <w:tab w:val="right" w:leader="dot" w:pos="9972"/>
            </w:tabs>
            <w:ind w:left="440"/>
          </w:pPr>
          <w:r>
            <w:fldChar w:fldCharType="begin"/>
          </w:r>
          <w:r>
            <w:instrText xml:space="preserve"> HYPERLINK \l "_Toc7258" </w:instrText>
          </w:r>
          <w:r>
            <w:fldChar w:fldCharType="separate"/>
          </w:r>
          <w:r>
            <w:rPr>
              <w:rFonts w:hint="eastAsia"/>
            </w:rPr>
            <w:t>第一章 招标公告（适用于公开招标）</w:t>
          </w:r>
          <w:r>
            <w:tab/>
          </w:r>
          <w:r>
            <w:fldChar w:fldCharType="begin"/>
          </w:r>
          <w:r>
            <w:instrText xml:space="preserve"> PAGEREF _Toc7258 \h </w:instrText>
          </w:r>
          <w:r>
            <w:fldChar w:fldCharType="separate"/>
          </w:r>
          <w:r>
            <w:t>4</w:t>
          </w:r>
          <w:r>
            <w:fldChar w:fldCharType="end"/>
          </w:r>
          <w:r>
            <w:fldChar w:fldCharType="end"/>
          </w:r>
        </w:p>
        <w:p>
          <w:pPr>
            <w:pStyle w:val="13"/>
            <w:tabs>
              <w:tab w:val="right" w:leader="dot" w:pos="9972"/>
            </w:tabs>
            <w:ind w:left="440" w:leftChars="200"/>
          </w:pPr>
          <w:r>
            <w:fldChar w:fldCharType="begin"/>
          </w:r>
          <w:r>
            <w:instrText xml:space="preserve"> HYPERLINK \l "_Toc28685" </w:instrText>
          </w:r>
          <w:r>
            <w:fldChar w:fldCharType="separate"/>
          </w:r>
          <w:r>
            <w:rPr>
              <w:rFonts w:hint="eastAsia"/>
              <w:sz w:val="32"/>
            </w:rPr>
            <w:t>第一章  投标邀请书（适用于邀请招标）</w:t>
          </w:r>
          <w:r>
            <w:rPr>
              <w:rFonts w:hint="eastAsia"/>
              <w:sz w:val="32"/>
            </w:rPr>
            <w:tab/>
          </w:r>
          <w:r>
            <w:rPr>
              <w:rFonts w:hint="eastAsia"/>
              <w:sz w:val="32"/>
            </w:rPr>
            <w:fldChar w:fldCharType="begin"/>
          </w:r>
          <w:r>
            <w:rPr>
              <w:rFonts w:hint="eastAsia"/>
              <w:sz w:val="32"/>
            </w:rPr>
            <w:instrText xml:space="preserve"> PAGEREF _Toc28685 \h </w:instrText>
          </w:r>
          <w:r>
            <w:rPr>
              <w:rFonts w:hint="eastAsia"/>
              <w:sz w:val="32"/>
            </w:rPr>
            <w:fldChar w:fldCharType="separate"/>
          </w:r>
          <w:r>
            <w:rPr>
              <w:rFonts w:hint="eastAsia"/>
              <w:sz w:val="32"/>
            </w:rPr>
            <w:t>9</w:t>
          </w:r>
          <w:r>
            <w:rPr>
              <w:rFonts w:hint="eastAsia"/>
              <w:sz w:val="32"/>
            </w:rPr>
            <w:fldChar w:fldCharType="end"/>
          </w:r>
          <w:r>
            <w:rPr>
              <w:rFonts w:hint="eastAsia"/>
              <w:sz w:val="32"/>
            </w:rPr>
            <w:fldChar w:fldCharType="end"/>
          </w:r>
        </w:p>
        <w:p>
          <w:pPr>
            <w:pStyle w:val="14"/>
            <w:tabs>
              <w:tab w:val="right" w:leader="dot" w:pos="9972"/>
            </w:tabs>
            <w:ind w:left="440"/>
          </w:pPr>
          <w:r>
            <w:fldChar w:fldCharType="begin"/>
          </w:r>
          <w:r>
            <w:instrText xml:space="preserve"> HYPERLINK \l "_Toc17742" </w:instrText>
          </w:r>
          <w:r>
            <w:fldChar w:fldCharType="separate"/>
          </w:r>
          <w:r>
            <w:rPr>
              <w:rFonts w:hint="eastAsia"/>
            </w:rPr>
            <w:t>第二章 投标人须知</w:t>
          </w:r>
          <w:r>
            <w:tab/>
          </w:r>
          <w:r>
            <w:fldChar w:fldCharType="begin"/>
          </w:r>
          <w:r>
            <w:instrText xml:space="preserve"> PAGEREF _Toc17742 \h </w:instrText>
          </w:r>
          <w:r>
            <w:fldChar w:fldCharType="separate"/>
          </w:r>
          <w:r>
            <w:t>13</w:t>
          </w:r>
          <w:r>
            <w:fldChar w:fldCharType="end"/>
          </w:r>
          <w:r>
            <w:fldChar w:fldCharType="end"/>
          </w:r>
        </w:p>
        <w:p>
          <w:pPr>
            <w:pStyle w:val="14"/>
            <w:tabs>
              <w:tab w:val="right" w:leader="dot" w:pos="9972"/>
            </w:tabs>
            <w:ind w:left="440"/>
          </w:pPr>
          <w:r>
            <w:fldChar w:fldCharType="begin"/>
          </w:r>
          <w:r>
            <w:instrText xml:space="preserve"> HYPERLINK \l "_Toc10154" </w:instrText>
          </w:r>
          <w:r>
            <w:fldChar w:fldCharType="separate"/>
          </w:r>
          <w:r>
            <w:rPr>
              <w:rFonts w:hint="eastAsia"/>
            </w:rPr>
            <w:t>第三章 评标办法（经评审的最低价法）</w:t>
          </w:r>
          <w:r>
            <w:tab/>
          </w:r>
          <w:r>
            <w:fldChar w:fldCharType="begin"/>
          </w:r>
          <w:r>
            <w:instrText xml:space="preserve"> PAGEREF _Toc10154 \h </w:instrText>
          </w:r>
          <w:r>
            <w:fldChar w:fldCharType="separate"/>
          </w:r>
          <w:r>
            <w:t>45</w:t>
          </w:r>
          <w:r>
            <w:fldChar w:fldCharType="end"/>
          </w:r>
          <w:r>
            <w:fldChar w:fldCharType="end"/>
          </w:r>
        </w:p>
        <w:p>
          <w:pPr>
            <w:pStyle w:val="14"/>
            <w:tabs>
              <w:tab w:val="right" w:leader="dot" w:pos="9972"/>
            </w:tabs>
            <w:ind w:left="440"/>
          </w:pPr>
          <w:r>
            <w:fldChar w:fldCharType="begin"/>
          </w:r>
          <w:r>
            <w:instrText xml:space="preserve"> HYPERLINK \l "_Toc8361" </w:instrText>
          </w:r>
          <w:r>
            <w:fldChar w:fldCharType="separate"/>
          </w:r>
          <w:r>
            <w:rPr>
              <w:rFonts w:hint="eastAsia"/>
            </w:rPr>
            <w:t>第三章 评标办法（综合评估法）</w:t>
          </w:r>
          <w:r>
            <w:tab/>
          </w:r>
          <w:r>
            <w:fldChar w:fldCharType="begin"/>
          </w:r>
          <w:r>
            <w:instrText xml:space="preserve"> PAGEREF _Toc8361 \h </w:instrText>
          </w:r>
          <w:r>
            <w:fldChar w:fldCharType="separate"/>
          </w:r>
          <w:r>
            <w:t>51</w:t>
          </w:r>
          <w:r>
            <w:fldChar w:fldCharType="end"/>
          </w:r>
          <w:r>
            <w:fldChar w:fldCharType="end"/>
          </w:r>
        </w:p>
        <w:p>
          <w:pPr>
            <w:pStyle w:val="14"/>
            <w:tabs>
              <w:tab w:val="right" w:leader="dot" w:pos="9972"/>
            </w:tabs>
            <w:ind w:left="440"/>
          </w:pPr>
          <w:r>
            <w:fldChar w:fldCharType="begin"/>
          </w:r>
          <w:r>
            <w:instrText xml:space="preserve"> HYPERLINK \l "_Toc16931" </w:instrText>
          </w:r>
          <w:r>
            <w:fldChar w:fldCharType="separate"/>
          </w:r>
          <w:r>
            <w:rPr>
              <w:rFonts w:hint="eastAsia"/>
            </w:rPr>
            <w:t>第四章 合同条款及格式</w:t>
          </w:r>
          <w:r>
            <w:tab/>
          </w:r>
          <w:r>
            <w:fldChar w:fldCharType="begin"/>
          </w:r>
          <w:r>
            <w:instrText xml:space="preserve"> PAGEREF _Toc16931 \h </w:instrText>
          </w:r>
          <w:r>
            <w:fldChar w:fldCharType="separate"/>
          </w:r>
          <w:r>
            <w:t>62</w:t>
          </w:r>
          <w:r>
            <w:fldChar w:fldCharType="end"/>
          </w:r>
          <w:r>
            <w:fldChar w:fldCharType="end"/>
          </w:r>
        </w:p>
        <w:p>
          <w:pPr>
            <w:pStyle w:val="13"/>
            <w:tabs>
              <w:tab w:val="right" w:leader="dot" w:pos="9972"/>
            </w:tabs>
          </w:pPr>
          <w:r>
            <w:fldChar w:fldCharType="begin"/>
          </w:r>
          <w:r>
            <w:instrText xml:space="preserve"> HYPERLINK \l "_Toc12869" </w:instrText>
          </w:r>
          <w:r>
            <w:fldChar w:fldCharType="separate"/>
          </w:r>
          <w:r>
            <w:rPr>
              <w:rFonts w:hint="eastAsia"/>
            </w:rPr>
            <w:t>第二卷</w:t>
          </w:r>
          <w:r>
            <w:tab/>
          </w:r>
          <w:r>
            <w:fldChar w:fldCharType="begin"/>
          </w:r>
          <w:r>
            <w:instrText xml:space="preserve"> PAGEREF _Toc12869 \h </w:instrText>
          </w:r>
          <w:r>
            <w:fldChar w:fldCharType="separate"/>
          </w:r>
          <w:r>
            <w:t>63</w:t>
          </w:r>
          <w:r>
            <w:fldChar w:fldCharType="end"/>
          </w:r>
          <w:r>
            <w:fldChar w:fldCharType="end"/>
          </w:r>
        </w:p>
        <w:p>
          <w:pPr>
            <w:pStyle w:val="14"/>
            <w:tabs>
              <w:tab w:val="right" w:leader="dot" w:pos="9972"/>
            </w:tabs>
            <w:ind w:left="440"/>
          </w:pPr>
          <w:r>
            <w:fldChar w:fldCharType="begin"/>
          </w:r>
          <w:r>
            <w:instrText xml:space="preserve"> HYPERLINK \l "_Toc13921" </w:instrText>
          </w:r>
          <w:r>
            <w:fldChar w:fldCharType="separate"/>
          </w:r>
          <w:r>
            <w:rPr>
              <w:rFonts w:hint="eastAsia"/>
            </w:rPr>
            <w:t xml:space="preserve">第五章 </w:t>
          </w:r>
          <w:r>
            <w:t>技术标准和要求</w:t>
          </w:r>
          <w:r>
            <w:tab/>
          </w:r>
          <w:r>
            <w:fldChar w:fldCharType="begin"/>
          </w:r>
          <w:r>
            <w:instrText xml:space="preserve"> PAGEREF _Toc13921 \h </w:instrText>
          </w:r>
          <w:r>
            <w:fldChar w:fldCharType="separate"/>
          </w:r>
          <w:r>
            <w:t>64</w:t>
          </w:r>
          <w:r>
            <w:fldChar w:fldCharType="end"/>
          </w:r>
          <w:r>
            <w:fldChar w:fldCharType="end"/>
          </w:r>
        </w:p>
        <w:p>
          <w:pPr>
            <w:pStyle w:val="13"/>
            <w:tabs>
              <w:tab w:val="right" w:leader="dot" w:pos="9972"/>
            </w:tabs>
          </w:pPr>
          <w:r>
            <w:fldChar w:fldCharType="begin"/>
          </w:r>
          <w:r>
            <w:instrText xml:space="preserve"> HYPERLINK \l "_Toc30195" </w:instrText>
          </w:r>
          <w:r>
            <w:fldChar w:fldCharType="separate"/>
          </w:r>
          <w:r>
            <w:rPr>
              <w:rFonts w:hint="eastAsia"/>
            </w:rPr>
            <w:t>第三卷</w:t>
          </w:r>
          <w:r>
            <w:tab/>
          </w:r>
          <w:r>
            <w:fldChar w:fldCharType="begin"/>
          </w:r>
          <w:r>
            <w:instrText xml:space="preserve"> PAGEREF _Toc30195 \h </w:instrText>
          </w:r>
          <w:r>
            <w:fldChar w:fldCharType="separate"/>
          </w:r>
          <w:r>
            <w:t>65</w:t>
          </w:r>
          <w:r>
            <w:fldChar w:fldCharType="end"/>
          </w:r>
          <w:r>
            <w:fldChar w:fldCharType="end"/>
          </w:r>
        </w:p>
        <w:p>
          <w:pPr>
            <w:pStyle w:val="14"/>
            <w:tabs>
              <w:tab w:val="right" w:leader="dot" w:pos="9972"/>
            </w:tabs>
            <w:ind w:left="440"/>
          </w:pPr>
          <w:r>
            <w:fldChar w:fldCharType="begin"/>
          </w:r>
          <w:r>
            <w:instrText xml:space="preserve"> HYPERLINK \l "_Toc14140" </w:instrText>
          </w:r>
          <w:r>
            <w:fldChar w:fldCharType="separate"/>
          </w:r>
          <w:r>
            <w:rPr>
              <w:rFonts w:hint="eastAsia"/>
            </w:rPr>
            <w:t>第六章 投标文件格式</w:t>
          </w:r>
          <w:r>
            <w:tab/>
          </w:r>
          <w:r>
            <w:fldChar w:fldCharType="begin"/>
          </w:r>
          <w:r>
            <w:instrText xml:space="preserve"> PAGEREF _Toc14140 \h </w:instrText>
          </w:r>
          <w:r>
            <w:fldChar w:fldCharType="separate"/>
          </w:r>
          <w:r>
            <w:t>66</w:t>
          </w:r>
          <w:r>
            <w:fldChar w:fldCharType="end"/>
          </w:r>
          <w:r>
            <w:fldChar w:fldCharType="end"/>
          </w:r>
        </w:p>
        <w:p>
          <w:r>
            <w:fldChar w:fldCharType="end"/>
          </w:r>
        </w:p>
      </w:sdtContent>
    </w:sdt>
    <w:p/>
    <w:p/>
    <w:p/>
    <w:p/>
    <w:p>
      <w:pPr>
        <w:pStyle w:val="3"/>
        <w:rPr>
          <w:rFonts w:asciiTheme="minorEastAsia" w:hAnsiTheme="minorEastAsia" w:eastAsiaTheme="minorEastAsia"/>
          <w:spacing w:val="2"/>
        </w:rPr>
        <w:sectPr>
          <w:footerReference r:id="rId5" w:type="default"/>
          <w:pgSz w:w="12240" w:h="15840"/>
          <w:pgMar w:top="1134" w:right="1134" w:bottom="1134" w:left="1134" w:header="0" w:footer="921" w:gutter="0"/>
          <w:cols w:space="720" w:num="1"/>
        </w:sectPr>
      </w:pPr>
      <w:bookmarkStart w:id="0" w:name="_Toc29416"/>
      <w:bookmarkStart w:id="1" w:name="_Toc1480"/>
      <w:bookmarkStart w:id="2" w:name="_Toc13978"/>
    </w:p>
    <w:bookmarkEnd w:id="0"/>
    <w:bookmarkEnd w:id="1"/>
    <w:bookmarkEnd w:id="2"/>
    <w:p>
      <w:pPr>
        <w:pStyle w:val="3"/>
      </w:pPr>
      <w:bookmarkStart w:id="3" w:name="_Toc20832"/>
    </w:p>
    <w:p>
      <w:pPr>
        <w:pStyle w:val="3"/>
      </w:pPr>
    </w:p>
    <w:p>
      <w:pPr>
        <w:pStyle w:val="3"/>
      </w:pPr>
    </w:p>
    <w:p>
      <w:pPr>
        <w:pStyle w:val="3"/>
        <w:sectPr>
          <w:footerReference r:id="rId6" w:type="default"/>
          <w:pgSz w:w="12240" w:h="15840"/>
          <w:pgMar w:top="1134" w:right="1134" w:bottom="1134" w:left="1134" w:header="0" w:footer="921" w:gutter="0"/>
          <w:cols w:space="720" w:num="1"/>
        </w:sectPr>
      </w:pPr>
      <w:bookmarkStart w:id="4" w:name="_Toc3518"/>
      <w:bookmarkStart w:id="5" w:name="_Toc1448"/>
      <w:bookmarkStart w:id="6" w:name="_Toc8280"/>
      <w:r>
        <w:rPr>
          <w:rFonts w:hint="eastAsia"/>
        </w:rPr>
        <w:t>第一卷</w:t>
      </w:r>
      <w:bookmarkEnd w:id="4"/>
      <w:bookmarkEnd w:id="5"/>
      <w:bookmarkEnd w:id="6"/>
    </w:p>
    <w:p>
      <w:pPr>
        <w:pStyle w:val="4"/>
      </w:pPr>
      <w:bookmarkStart w:id="7" w:name="_Toc7258"/>
      <w:r>
        <w:rPr>
          <w:rFonts w:hint="eastAsia"/>
        </w:rPr>
        <w:t>第一章 招标公告（适用于公开招标）</w:t>
      </w:r>
      <w:bookmarkEnd w:id="3"/>
      <w:bookmarkEnd w:id="7"/>
    </w:p>
    <w:p>
      <w:pPr>
        <w:jc w:val="center"/>
        <w:rPr>
          <w:sz w:val="28"/>
          <w:szCs w:val="28"/>
        </w:rPr>
      </w:pPr>
      <w:r>
        <w:rPr>
          <w:rFonts w:hint="eastAsia"/>
          <w:sz w:val="28"/>
          <w:szCs w:val="28"/>
          <w:u w:val="single"/>
        </w:rPr>
        <w:t xml:space="preserve"> </w:t>
      </w:r>
      <w:r>
        <w:rPr>
          <w:rFonts w:hint="eastAsia"/>
          <w:sz w:val="28"/>
          <w:szCs w:val="28"/>
          <w:u w:val="single"/>
        </w:rPr>
        <w:tab/>
      </w:r>
      <w:r>
        <w:rPr>
          <w:rFonts w:hint="eastAsia"/>
          <w:sz w:val="28"/>
          <w:szCs w:val="28"/>
          <w:u w:val="single"/>
        </w:rPr>
        <w:t xml:space="preserve">       </w:t>
      </w:r>
      <w:r>
        <w:rPr>
          <w:rFonts w:hint="eastAsia"/>
          <w:sz w:val="28"/>
          <w:szCs w:val="28"/>
        </w:rPr>
        <w:t>（项目名称）采购</w:t>
      </w:r>
      <w:r>
        <w:rPr>
          <w:rFonts w:hint="eastAsia"/>
          <w:sz w:val="28"/>
          <w:szCs w:val="28"/>
          <w:u w:val="single"/>
        </w:rPr>
        <w:t xml:space="preserve">    </w:t>
      </w:r>
      <w:r>
        <w:rPr>
          <w:rFonts w:hint="eastAsia"/>
          <w:sz w:val="28"/>
          <w:szCs w:val="28"/>
        </w:rPr>
        <w:t>标段招标公告</w:t>
      </w:r>
    </w:p>
    <w:p>
      <w:pPr>
        <w:pStyle w:val="5"/>
        <w:numPr>
          <w:ilvl w:val="0"/>
          <w:numId w:val="1"/>
        </w:numPr>
      </w:pPr>
      <w:bookmarkStart w:id="8" w:name="_Toc7151"/>
      <w:r>
        <w:rPr>
          <w:rFonts w:hint="eastAsia"/>
        </w:rPr>
        <w:t>招标条件</w:t>
      </w:r>
      <w:bookmarkEnd w:id="8"/>
    </w:p>
    <w:p>
      <w:pPr>
        <w:pStyle w:val="2"/>
        <w:rPr>
          <w:rFonts w:asciiTheme="minorEastAsia" w:hAnsiTheme="minorEastAsia"/>
        </w:rPr>
      </w:pPr>
      <w:r>
        <w:rPr>
          <w:rFonts w:hint="eastAsia" w:asciiTheme="minorEastAsia" w:hAnsiTheme="minorEastAsia"/>
        </w:rPr>
        <w:t>1.1 本招标项目</w:t>
      </w:r>
      <w:r>
        <w:rPr>
          <w:rFonts w:hint="eastAsia" w:asciiTheme="minorEastAsia" w:hAnsiTheme="minorEastAsia"/>
          <w:u w:val="single"/>
        </w:rPr>
        <w:t xml:space="preserve">           </w:t>
      </w:r>
      <w:r>
        <w:rPr>
          <w:rFonts w:hint="eastAsia" w:asciiTheme="minorEastAsia" w:hAnsiTheme="minorEastAsia"/>
        </w:rPr>
        <w:t>（项目名称）采购</w:t>
      </w:r>
      <w:r>
        <w:rPr>
          <w:rFonts w:hint="eastAsia" w:asciiTheme="minorEastAsia" w:hAnsiTheme="minorEastAsia"/>
          <w:u w:val="single"/>
        </w:rPr>
        <w:t xml:space="preserve">       </w:t>
      </w:r>
      <w:r>
        <w:rPr>
          <w:rFonts w:hint="eastAsia" w:asciiTheme="minorEastAsia" w:hAnsiTheme="minorEastAsia"/>
        </w:rPr>
        <w:t>标段已由</w:t>
      </w:r>
      <w:r>
        <w:rPr>
          <w:rFonts w:hint="eastAsia" w:asciiTheme="minorEastAsia" w:hAnsiTheme="minorEastAsia"/>
          <w:u w:val="single"/>
        </w:rPr>
        <w:t xml:space="preserve">           </w:t>
      </w:r>
      <w:r>
        <w:rPr>
          <w:rFonts w:hint="eastAsia" w:asciiTheme="minorEastAsia" w:hAnsiTheme="minorEastAsia"/>
        </w:rPr>
        <w:t>（项目审批、核准或</w:t>
      </w:r>
    </w:p>
    <w:p>
      <w:pPr>
        <w:pStyle w:val="2"/>
        <w:ind w:left="0"/>
        <w:rPr>
          <w:rFonts w:asciiTheme="minorEastAsia" w:hAnsiTheme="minorEastAsia"/>
        </w:rPr>
      </w:pPr>
      <w:r>
        <w:rPr>
          <w:rFonts w:hint="eastAsia" w:asciiTheme="minorEastAsia" w:hAnsiTheme="minorEastAsia"/>
        </w:rPr>
        <w:t>备案机关名称）以</w:t>
      </w:r>
      <w:r>
        <w:rPr>
          <w:rFonts w:hint="eastAsia" w:asciiTheme="minorEastAsia" w:hAnsiTheme="minorEastAsia"/>
          <w:u w:val="single"/>
        </w:rPr>
        <w:t xml:space="preserve">             </w:t>
      </w:r>
      <w:r>
        <w:rPr>
          <w:rFonts w:hint="eastAsia" w:asciiTheme="minorEastAsia" w:hAnsiTheme="minorEastAsia"/>
        </w:rPr>
        <w:t>（批文名称及编号）批准建设，项目业主为</w:t>
      </w:r>
      <w:r>
        <w:rPr>
          <w:rFonts w:hint="eastAsia" w:asciiTheme="minorEastAsia" w:hAnsiTheme="minorEastAsia"/>
          <w:u w:val="single"/>
        </w:rPr>
        <w:t xml:space="preserve">                </w:t>
      </w:r>
      <w:r>
        <w:rPr>
          <w:rFonts w:hint="eastAsia" w:asciiTheme="minorEastAsia" w:hAnsiTheme="minorEastAsia"/>
        </w:rPr>
        <w:t>，建设资金来自</w:t>
      </w:r>
      <w:r>
        <w:rPr>
          <w:rFonts w:hint="eastAsia" w:asciiTheme="minorEastAsia" w:hAnsiTheme="minorEastAsia"/>
          <w:u w:val="single"/>
        </w:rPr>
        <w:t xml:space="preserve">             </w:t>
      </w:r>
      <w:r>
        <w:rPr>
          <w:rFonts w:hint="eastAsia" w:asciiTheme="minorEastAsia" w:hAnsiTheme="minorEastAsia"/>
        </w:rPr>
        <w:t xml:space="preserve">（资金来源），项目出资比例为 </w:t>
      </w:r>
      <w:r>
        <w:rPr>
          <w:rFonts w:hint="eastAsia" w:asciiTheme="minorEastAsia" w:hAnsiTheme="minorEastAsia"/>
          <w:u w:val="single"/>
        </w:rPr>
        <w:t xml:space="preserve">        </w:t>
      </w:r>
      <w:r>
        <w:rPr>
          <w:rFonts w:hint="eastAsia" w:asciiTheme="minorEastAsia" w:hAnsiTheme="minorEastAsia"/>
        </w:rPr>
        <w:t xml:space="preserve"> ，招标人为</w:t>
      </w:r>
      <w:r>
        <w:rPr>
          <w:rFonts w:hint="eastAsia" w:asciiTheme="minorEastAsia" w:hAnsiTheme="minorEastAsia"/>
          <w:u w:val="single"/>
        </w:rPr>
        <w:t xml:space="preserve">          </w:t>
      </w:r>
      <w:r>
        <w:rPr>
          <w:rFonts w:hint="eastAsia" w:asciiTheme="minorEastAsia" w:hAnsiTheme="minorEastAsia"/>
        </w:rPr>
        <w:t>。项目已具备招标条件，现对该项目进行公开招标。</w:t>
      </w:r>
    </w:p>
    <w:p>
      <w:pPr>
        <w:pStyle w:val="2"/>
        <w:rPr>
          <w:rFonts w:asciiTheme="minorEastAsia" w:hAnsiTheme="minorEastAsia"/>
        </w:rPr>
      </w:pPr>
      <w:r>
        <w:rPr>
          <w:rFonts w:hint="eastAsia" w:asciiTheme="minorEastAsia" w:hAnsiTheme="minorEastAsia"/>
        </w:rPr>
        <w:t>1.2 本招标项目由</w:t>
      </w:r>
      <w:r>
        <w:rPr>
          <w:rFonts w:hint="eastAsia" w:asciiTheme="minorEastAsia" w:hAnsiTheme="minorEastAsia"/>
          <w:u w:val="single"/>
        </w:rPr>
        <w:t xml:space="preserve">           </w:t>
      </w:r>
      <w:r>
        <w:rPr>
          <w:rFonts w:hint="eastAsia" w:asciiTheme="minorEastAsia" w:hAnsiTheme="minorEastAsia"/>
        </w:rPr>
        <w:t>（核准机关名称）核准（招标事项核准文号为</w:t>
      </w:r>
      <w:r>
        <w:rPr>
          <w:rFonts w:hint="eastAsia" w:asciiTheme="minorEastAsia" w:hAnsiTheme="minorEastAsia"/>
          <w:u w:val="single"/>
        </w:rPr>
        <w:t xml:space="preserve">          </w:t>
      </w:r>
      <w:r>
        <w:rPr>
          <w:rFonts w:hint="eastAsia" w:asciiTheme="minorEastAsia" w:hAnsiTheme="minorEastAsia"/>
        </w:rPr>
        <w:t>）的招标</w:t>
      </w:r>
    </w:p>
    <w:p>
      <w:pPr>
        <w:pStyle w:val="2"/>
        <w:ind w:left="0"/>
        <w:rPr>
          <w:rFonts w:asciiTheme="minorEastAsia" w:hAnsiTheme="minorEastAsia"/>
        </w:rPr>
      </w:pPr>
      <w:r>
        <w:rPr>
          <w:rFonts w:hint="eastAsia" w:asciiTheme="minorEastAsia" w:hAnsiTheme="minorEastAsia"/>
        </w:rPr>
        <w:t>组织形式为□自行招标□委托招标。招标人选择的招标代理机构是</w:t>
      </w:r>
      <w:r>
        <w:rPr>
          <w:rFonts w:hint="eastAsia" w:asciiTheme="minorEastAsia" w:hAnsiTheme="minorEastAsia"/>
          <w:u w:val="single"/>
        </w:rPr>
        <w:tab/>
      </w:r>
      <w:r>
        <w:rPr>
          <w:rFonts w:hint="eastAsia" w:asciiTheme="minorEastAsia" w:hAnsiTheme="minorEastAsia"/>
          <w:u w:val="single"/>
        </w:rPr>
        <w:t xml:space="preserve">           </w:t>
      </w:r>
      <w:r>
        <w:rPr>
          <w:rFonts w:hint="eastAsia" w:asciiTheme="minorEastAsia" w:hAnsiTheme="minorEastAsia"/>
        </w:rPr>
        <w:t>。</w:t>
      </w:r>
    </w:p>
    <w:p>
      <w:pPr>
        <w:pStyle w:val="2"/>
      </w:pPr>
      <w:r>
        <w:rPr>
          <w:rFonts w:hint="eastAsia" w:asciiTheme="minorEastAsia" w:hAnsiTheme="minorEastAsia"/>
        </w:rPr>
        <w:t>注：若为自行招标则代理机构填"/"。</w:t>
      </w:r>
    </w:p>
    <w:p>
      <w:pPr>
        <w:pStyle w:val="5"/>
        <w:numPr>
          <w:ilvl w:val="0"/>
          <w:numId w:val="1"/>
        </w:numPr>
      </w:pPr>
      <w:r>
        <w:rPr>
          <w:rFonts w:hint="eastAsia"/>
        </w:rPr>
        <w:t>项目概况与招标范围</w:t>
      </w:r>
    </w:p>
    <w:p>
      <w:pPr>
        <w:pStyle w:val="2"/>
        <w:rPr>
          <w:u w:val="single"/>
        </w:rPr>
      </w:pPr>
      <w:r>
        <w:rPr>
          <w:rFonts w:hint="eastAsia"/>
        </w:rPr>
        <w:t>2.1 采购内容及规模：</w:t>
      </w:r>
      <w:r>
        <w:rPr>
          <w:rFonts w:hint="eastAsia"/>
          <w:u w:val="single"/>
        </w:rPr>
        <w:t xml:space="preserve">                                   </w:t>
      </w:r>
    </w:p>
    <w:p>
      <w:pPr>
        <w:pStyle w:val="2"/>
        <w:rPr>
          <w:u w:val="single"/>
        </w:rPr>
      </w:pPr>
      <w:r>
        <w:rPr>
          <w:rFonts w:hint="eastAsia"/>
        </w:rPr>
        <w:t>2.2 招标范围：</w:t>
      </w:r>
      <w:r>
        <w:rPr>
          <w:rFonts w:hint="eastAsia"/>
          <w:u w:val="single"/>
        </w:rPr>
        <w:t xml:space="preserve">                                         </w:t>
      </w:r>
    </w:p>
    <w:p>
      <w:pPr>
        <w:pStyle w:val="2"/>
        <w:rPr>
          <w:u w:val="single"/>
        </w:rPr>
      </w:pPr>
      <w:r>
        <w:rPr>
          <w:rFonts w:hint="eastAsia"/>
        </w:rPr>
        <w:t>2.3 供货周期：</w:t>
      </w:r>
      <w:r>
        <w:rPr>
          <w:rFonts w:hint="eastAsia"/>
          <w:u w:val="single"/>
        </w:rPr>
        <w:t xml:space="preserve">                                         </w:t>
      </w:r>
    </w:p>
    <w:p>
      <w:pPr>
        <w:pStyle w:val="2"/>
        <w:rPr>
          <w:u w:val="single"/>
        </w:rPr>
      </w:pPr>
      <w:r>
        <w:rPr>
          <w:rFonts w:hint="eastAsia"/>
        </w:rPr>
        <w:t>2.4 交货地点：</w:t>
      </w:r>
      <w:r>
        <w:rPr>
          <w:rFonts w:hint="eastAsia"/>
          <w:u w:val="single"/>
        </w:rPr>
        <w:t xml:space="preserve">                                         </w:t>
      </w:r>
    </w:p>
    <w:p>
      <w:pPr>
        <w:pStyle w:val="2"/>
        <w:rPr>
          <w:u w:val="single"/>
        </w:rPr>
      </w:pPr>
      <w:r>
        <w:rPr>
          <w:rFonts w:hint="eastAsia"/>
        </w:rPr>
        <w:t>2.5 质量目标：</w:t>
      </w:r>
      <w:r>
        <w:rPr>
          <w:rFonts w:hint="eastAsia"/>
          <w:u w:val="single"/>
        </w:rPr>
        <w:t xml:space="preserve">                                         </w:t>
      </w:r>
    </w:p>
    <w:p>
      <w:pPr>
        <w:pStyle w:val="2"/>
      </w:pPr>
      <w:r>
        <w:rPr>
          <w:rFonts w:hint="eastAsia"/>
        </w:rPr>
        <w:t>2.6 标段划分：</w:t>
      </w:r>
      <w:r>
        <w:rPr>
          <w:rFonts w:hint="eastAsia"/>
          <w:u w:val="single"/>
        </w:rPr>
        <w:t xml:space="preserve">                                         </w:t>
      </w:r>
    </w:p>
    <w:p>
      <w:pPr>
        <w:pStyle w:val="2"/>
      </w:pPr>
      <w:r>
        <w:rPr>
          <w:rFonts w:hint="eastAsia"/>
        </w:rPr>
        <w:t xml:space="preserve"> 注：说明本次招标项目的交货地点、规模、供货周期、招标范围、质量标准、标段划分(如果有)</w:t>
      </w:r>
    </w:p>
    <w:p>
      <w:pPr>
        <w:pStyle w:val="2"/>
        <w:ind w:left="0"/>
      </w:pPr>
      <w:r>
        <w:rPr>
          <w:rFonts w:hint="eastAsia"/>
        </w:rPr>
        <w:t>等。</w:t>
      </w:r>
    </w:p>
    <w:p>
      <w:pPr>
        <w:pStyle w:val="5"/>
        <w:numPr>
          <w:ilvl w:val="0"/>
          <w:numId w:val="1"/>
        </w:numPr>
      </w:pPr>
      <w:r>
        <w:rPr>
          <w:rFonts w:hint="eastAsia"/>
        </w:rPr>
        <w:t>投标人资格要求</w:t>
      </w:r>
    </w:p>
    <w:p>
      <w:pPr>
        <w:pStyle w:val="2"/>
      </w:pPr>
      <w:r>
        <w:rPr>
          <w:rFonts w:hint="eastAsia"/>
        </w:rPr>
        <w:t>3.1 本次招标要求投标人：</w:t>
      </w:r>
    </w:p>
    <w:p>
      <w:pPr>
        <w:pStyle w:val="2"/>
      </w:pPr>
      <w:r>
        <w:rPr>
          <w:rFonts w:hint="eastAsia"/>
        </w:rPr>
        <w:t>3.1.1 依法设立、具有独立承担民事责任的能力；</w:t>
      </w:r>
    </w:p>
    <w:p>
      <w:pPr>
        <w:pStyle w:val="2"/>
      </w:pPr>
      <w:r>
        <w:rPr>
          <w:rFonts w:hint="eastAsia"/>
        </w:rPr>
        <w:t>3.1.2 须为</w:t>
      </w:r>
    </w:p>
    <w:p>
      <w:pPr>
        <w:pStyle w:val="2"/>
        <w:ind w:left="0" w:firstLine="1320" w:firstLineChars="600"/>
      </w:pPr>
      <w:r>
        <w:rPr>
          <w:rFonts w:hint="eastAsia"/>
        </w:rPr>
        <w:t>具有○</w:t>
      </w:r>
      <w:r>
        <w:rPr>
          <w:rFonts w:hint="eastAsia"/>
          <w:u w:val="single"/>
        </w:rPr>
        <w:t>生产</w:t>
      </w:r>
      <w:r>
        <w:rPr>
          <w:rFonts w:hint="eastAsia"/>
        </w:rPr>
        <w:t>○</w:t>
      </w:r>
      <w:r>
        <w:rPr>
          <w:rFonts w:hint="eastAsia"/>
          <w:u w:val="single"/>
        </w:rPr>
        <w:t>销售</w:t>
      </w:r>
      <w:r>
        <w:rPr>
          <w:rFonts w:hint="eastAsia"/>
        </w:rPr>
        <w:t>本标段招标项目标的物的资格及能力；</w:t>
      </w:r>
    </w:p>
    <w:p>
      <w:pPr>
        <w:pStyle w:val="2"/>
        <w:ind w:firstLine="880" w:firstLineChars="400"/>
      </w:pPr>
      <w:r>
        <w:rPr>
          <w:rFonts w:hint="eastAsia"/>
        </w:rPr>
        <w:t>□其他：</w:t>
      </w:r>
      <w:r>
        <w:rPr>
          <w:rFonts w:hint="eastAsia"/>
          <w:u w:val="single"/>
        </w:rPr>
        <w:t xml:space="preserve">                  </w:t>
      </w:r>
      <w:r>
        <w:rPr>
          <w:rFonts w:hint="eastAsia"/>
        </w:rPr>
        <w:t>；</w:t>
      </w:r>
    </w:p>
    <w:p>
      <w:pPr>
        <w:pStyle w:val="2"/>
      </w:pPr>
      <w:r>
        <w:rPr>
          <w:rFonts w:hint="eastAsia"/>
        </w:rPr>
        <w:t>3.1.3 财务要求：</w:t>
      </w:r>
    </w:p>
    <w:p>
      <w:pPr>
        <w:pStyle w:val="2"/>
        <w:ind w:firstLine="880" w:firstLineChars="400"/>
      </w:pPr>
      <w:r>
        <w:rPr>
          <w:rFonts w:hint="eastAsia"/>
        </w:rPr>
        <w:t>○不提供；</w:t>
      </w:r>
    </w:p>
    <w:p>
      <w:pPr>
        <w:pStyle w:val="2"/>
        <w:ind w:firstLine="880" w:firstLineChars="400"/>
      </w:pPr>
      <w:r>
        <w:rPr>
          <w:rFonts w:hint="eastAsia"/>
        </w:rPr>
        <w:t>○近3年或成立至今（成立不足3年的）无亏损。</w:t>
      </w:r>
    </w:p>
    <w:p>
      <w:pPr>
        <w:pStyle w:val="2"/>
      </w:pPr>
      <w:r>
        <w:rPr>
          <w:rFonts w:hint="eastAsia"/>
        </w:rPr>
        <w:t>3.1.4 类似业绩要求</w:t>
      </w:r>
    </w:p>
    <w:p>
      <w:pPr>
        <w:pStyle w:val="2"/>
        <w:ind w:firstLine="880" w:firstLineChars="400"/>
      </w:pPr>
      <w:r>
        <w:rPr>
          <w:rFonts w:hint="eastAsia"/>
        </w:rPr>
        <w:t>○</w:t>
      </w:r>
      <w:r>
        <w:rPr>
          <w:rFonts w:hint="eastAsia"/>
          <w:u w:val="single"/>
        </w:rPr>
        <w:t>不提供</w:t>
      </w:r>
      <w:r>
        <w:rPr>
          <w:rFonts w:hint="eastAsia"/>
        </w:rPr>
        <w:t>；</w:t>
      </w:r>
    </w:p>
    <w:p>
      <w:pPr>
        <w:pStyle w:val="2"/>
        <w:ind w:firstLine="880" w:firstLineChars="400"/>
      </w:pPr>
      <w:r>
        <w:rPr>
          <w:rFonts w:hint="eastAsia"/>
        </w:rPr>
        <w:t>○近</w:t>
      </w:r>
      <w:r>
        <w:rPr>
          <w:rFonts w:hint="eastAsia"/>
          <w:u w:val="single"/>
        </w:rPr>
        <w:t>3</w:t>
      </w:r>
      <w:r>
        <w:rPr>
          <w:rFonts w:hint="eastAsia"/>
        </w:rPr>
        <w:t>年 □已完成□已完成或正在实施/生产或新承接的项目共不少于</w:t>
      </w:r>
      <w:r>
        <w:rPr>
          <w:rFonts w:hint="eastAsia"/>
          <w:u w:val="single"/>
        </w:rPr>
        <w:t xml:space="preserve">    </w:t>
      </w:r>
      <w:r>
        <w:rPr>
          <w:rFonts w:hint="eastAsia"/>
        </w:rPr>
        <w:t>个（1至3个）</w:t>
      </w:r>
    </w:p>
    <w:p>
      <w:pPr>
        <w:pStyle w:val="2"/>
        <w:ind w:left="0"/>
      </w:pPr>
      <w:r>
        <w:rPr>
          <w:rFonts w:hint="eastAsia"/>
        </w:rPr>
        <w:t>类似业绩。</w:t>
      </w:r>
    </w:p>
    <w:p>
      <w:pPr>
        <w:pStyle w:val="2"/>
      </w:pPr>
      <w:r>
        <w:rPr>
          <w:rFonts w:hint="eastAsia"/>
        </w:rPr>
        <w:t>类似业绩是指:</w:t>
      </w:r>
      <w:r>
        <w:rPr>
          <w:rFonts w:hint="eastAsia"/>
          <w:u w:val="single"/>
        </w:rPr>
        <w:t xml:space="preserve">                              </w:t>
      </w:r>
      <w:r>
        <w:rPr>
          <w:rFonts w:hint="eastAsia"/>
        </w:rPr>
        <w:t>；</w:t>
      </w:r>
    </w:p>
    <w:p>
      <w:pPr>
        <w:pStyle w:val="2"/>
      </w:pPr>
      <w:r>
        <w:rPr>
          <w:rFonts w:hint="eastAsia"/>
        </w:rPr>
        <w:t>3.2 其他要求：</w:t>
      </w:r>
    </w:p>
    <w:p>
      <w:pPr>
        <w:pStyle w:val="2"/>
      </w:pPr>
      <w:r>
        <w:rPr>
          <w:rFonts w:hint="eastAsia"/>
        </w:rPr>
        <w:t>3.2.1 本次招标○接受○不接受代理商投标。</w:t>
      </w:r>
    </w:p>
    <w:p>
      <w:pPr>
        <w:pStyle w:val="2"/>
      </w:pPr>
      <w:r>
        <w:rPr>
          <w:rFonts w:hint="eastAsia"/>
        </w:rPr>
        <w:t>如接受代理商投标，</w:t>
      </w:r>
      <w:r>
        <w:rPr>
          <w:rFonts w:hint="eastAsia"/>
          <w:u w:val="single"/>
        </w:rPr>
        <w:t xml:space="preserve">              </w:t>
      </w:r>
      <w:r>
        <w:rPr>
          <w:rFonts w:hint="eastAsia"/>
        </w:rPr>
        <w:t>；（注：一个制造商对同一品牌同一型号的货物，仅能委托一</w:t>
      </w:r>
    </w:p>
    <w:p>
      <w:pPr>
        <w:pStyle w:val="2"/>
        <w:ind w:left="0"/>
      </w:pPr>
      <w:r>
        <w:rPr>
          <w:rFonts w:hint="eastAsia"/>
        </w:rPr>
        <w:t>个代理商参加投标）</w:t>
      </w:r>
    </w:p>
    <w:p>
      <w:pPr>
        <w:pStyle w:val="2"/>
      </w:pPr>
      <w:r>
        <w:rPr>
          <w:rFonts w:hint="eastAsia"/>
        </w:rPr>
        <w:t>3.2 本次招标○接受○不接受联合体投标。</w:t>
      </w:r>
    </w:p>
    <w:p>
      <w:pPr>
        <w:pStyle w:val="2"/>
      </w:pPr>
      <w:r>
        <w:rPr>
          <w:rFonts w:hint="eastAsia"/>
        </w:rPr>
        <w:t>□联合体投标的，应满足下列要求：须具有</w:t>
      </w:r>
      <w:r>
        <w:rPr>
          <w:rFonts w:hint="eastAsia"/>
          <w:u w:val="single"/>
        </w:rPr>
        <w:t xml:space="preserve">         </w:t>
      </w:r>
      <w:r>
        <w:rPr>
          <w:rFonts w:hint="eastAsia"/>
        </w:rPr>
        <w:t>资格条件的单位作为联合体牵头人。联合体</w:t>
      </w:r>
    </w:p>
    <w:p>
      <w:pPr>
        <w:pStyle w:val="2"/>
        <w:ind w:left="0"/>
      </w:pPr>
      <w:r>
        <w:rPr>
          <w:rFonts w:hint="eastAsia"/>
        </w:rPr>
        <w:t>成员（含联合体牵头人）家数须不超过</w:t>
      </w:r>
      <w:r>
        <w:rPr>
          <w:rFonts w:hint="eastAsia"/>
          <w:u w:val="single"/>
        </w:rPr>
        <w:t xml:space="preserve">   </w:t>
      </w:r>
      <w:r>
        <w:rPr>
          <w:rFonts w:hint="eastAsia"/>
        </w:rPr>
        <w:t>家。联合体需符合有关联合体投标的规定和要求，并提交了联合体协议，明确联合体牵头人和各方权利义务。</w:t>
      </w:r>
    </w:p>
    <w:p>
      <w:pPr>
        <w:pStyle w:val="2"/>
      </w:pPr>
      <w:r>
        <w:rPr>
          <w:rFonts w:hint="eastAsia"/>
        </w:rPr>
        <w:t>3.3 各投标人均可就上述</w:t>
      </w:r>
      <w:r>
        <w:rPr>
          <w:rFonts w:hint="eastAsia"/>
          <w:u w:val="single"/>
        </w:rPr>
        <w:t xml:space="preserve">    </w:t>
      </w:r>
      <w:r>
        <w:rPr>
          <w:rFonts w:hint="eastAsia"/>
        </w:rPr>
        <w:t>（具体数量）个标段投标，可中标的标段数量为</w:t>
      </w:r>
      <w:r>
        <w:rPr>
          <w:rFonts w:hint="eastAsia"/>
          <w:u w:val="single"/>
        </w:rPr>
        <w:t xml:space="preserve">   </w:t>
      </w:r>
      <w:r>
        <w:rPr>
          <w:rFonts w:hint="eastAsia"/>
        </w:rPr>
        <w:t>（具体数量）个。</w:t>
      </w:r>
    </w:p>
    <w:p>
      <w:pPr>
        <w:pStyle w:val="2"/>
      </w:pPr>
      <w:r>
        <w:rPr>
          <w:rFonts w:hint="eastAsia"/>
        </w:rPr>
        <w:t>□如投标人同时在两个及两个以上标段中排名第一时，选择中标标段的原则为：</w:t>
      </w:r>
      <w:r>
        <w:rPr>
          <w:rFonts w:hint="eastAsia"/>
          <w:u w:val="single"/>
        </w:rPr>
        <w:t xml:space="preserve">               </w:t>
      </w:r>
      <w:r>
        <w:rPr>
          <w:rFonts w:hint="eastAsia"/>
        </w:rPr>
        <w:t xml:space="preserve"> 。</w:t>
      </w:r>
    </w:p>
    <w:p>
      <w:pPr>
        <w:pStyle w:val="5"/>
        <w:numPr>
          <w:ilvl w:val="0"/>
          <w:numId w:val="1"/>
        </w:numPr>
      </w:pPr>
      <w:r>
        <w:rPr>
          <w:rFonts w:hint="eastAsia"/>
        </w:rPr>
        <w:t>招标文件的获取</w:t>
      </w:r>
    </w:p>
    <w:p>
      <w:pPr>
        <w:pStyle w:val="2"/>
        <w:ind w:left="0" w:firstLine="440" w:firstLineChars="200"/>
      </w:pPr>
      <w:r>
        <w:rPr>
          <w:rFonts w:hint="eastAsia"/>
        </w:rPr>
        <w:t>4.1 凡有意参加投标者，请于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日起，在成都市公共资源电子交易云平台(www.cdggzy.com）（以下简称“电子交易云平台”）免费下载招标资料（招标文件及相关资料），获得“拟投标项目回执”。</w:t>
      </w:r>
    </w:p>
    <w:p>
      <w:pPr>
        <w:pStyle w:val="2"/>
        <w:ind w:left="0" w:firstLine="440" w:firstLineChars="200"/>
      </w:pPr>
      <w:r>
        <w:rPr>
          <w:rFonts w:hint="eastAsia"/>
        </w:rPr>
        <w:t>4.2 招标人不提供邮购招标文件服务。</w:t>
      </w:r>
    </w:p>
    <w:p>
      <w:pPr>
        <w:pStyle w:val="5"/>
        <w:numPr>
          <w:ilvl w:val="0"/>
          <w:numId w:val="1"/>
        </w:numPr>
      </w:pPr>
      <w:r>
        <w:rPr>
          <w:rFonts w:hint="eastAsia"/>
        </w:rPr>
        <w:t>投标文件的递交</w:t>
      </w:r>
    </w:p>
    <w:p>
      <w:pPr>
        <w:pStyle w:val="25"/>
        <w:spacing w:before="201"/>
        <w:ind w:left="420" w:firstLine="0" w:firstLineChars="0"/>
        <w:rPr>
          <w:rFonts w:ascii="宋体" w:hAnsi="宋体" w:cs="宋体"/>
          <w:spacing w:val="-37"/>
          <w:szCs w:val="21"/>
        </w:rPr>
      </w:pPr>
      <w:r>
        <w:rPr>
          <w:rFonts w:hint="eastAsia" w:ascii="宋体" w:hAnsi="宋体"/>
          <w:szCs w:val="21"/>
        </w:rPr>
        <w:t>○（现场开标）</w:t>
      </w:r>
      <w:r>
        <w:rPr>
          <w:rFonts w:ascii="宋体" w:hAnsi="宋体" w:cs="宋体"/>
          <w:szCs w:val="21"/>
        </w:rPr>
        <w:t>5.1 投标文件递交的截止时间（投标截止时间，下同）为</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r>
        <w:rPr>
          <w:rFonts w:ascii="宋体" w:hAnsi="宋体" w:cs="宋体"/>
          <w:szCs w:val="21"/>
        </w:rPr>
        <w:t>，地点为</w:t>
      </w:r>
      <w:r>
        <w:rPr>
          <w:rFonts w:hint="eastAsia" w:ascii="宋体" w:hAnsi="宋体"/>
          <w:szCs w:val="21"/>
        </w:rPr>
        <w:t>○</w:t>
      </w:r>
      <w:r>
        <w:rPr>
          <w:rFonts w:ascii="宋体" w:hAnsi="宋体" w:cs="宋体"/>
          <w:szCs w:val="21"/>
          <w:u w:val="single" w:color="000000"/>
        </w:rPr>
        <w:t>成都市公共资源交易服务中心本项目开标室（成都市天府大道北段</w:t>
      </w:r>
      <w:r>
        <w:rPr>
          <w:rFonts w:ascii="宋体" w:hAnsi="宋体" w:cs="宋体"/>
          <w:spacing w:val="-29"/>
          <w:szCs w:val="21"/>
          <w:u w:val="single" w:color="000000"/>
        </w:rPr>
        <w:t xml:space="preserve"> </w:t>
      </w:r>
      <w:r>
        <w:rPr>
          <w:rFonts w:ascii="宋体" w:hAnsi="宋体" w:cs="宋体"/>
          <w:szCs w:val="21"/>
          <w:u w:val="single" w:color="000000"/>
        </w:rPr>
        <w:t>966</w:t>
      </w:r>
      <w:r>
        <w:rPr>
          <w:rFonts w:ascii="宋体" w:hAnsi="宋体" w:cs="宋体"/>
          <w:spacing w:val="-29"/>
          <w:szCs w:val="21"/>
          <w:u w:val="single" w:color="000000"/>
        </w:rPr>
        <w:t xml:space="preserve"> </w:t>
      </w:r>
      <w:r>
        <w:rPr>
          <w:rFonts w:ascii="宋体" w:hAnsi="宋体" w:cs="宋体"/>
          <w:szCs w:val="21"/>
          <w:u w:val="single" w:color="000000"/>
        </w:rPr>
        <w:t>号天府国际金融中心</w:t>
      </w:r>
      <w:r>
        <w:rPr>
          <w:rFonts w:ascii="宋体" w:hAnsi="宋体" w:cs="宋体"/>
          <w:spacing w:val="-26"/>
          <w:szCs w:val="21"/>
          <w:u w:val="single" w:color="000000"/>
        </w:rPr>
        <w:t xml:space="preserve"> </w:t>
      </w:r>
      <w:r>
        <w:rPr>
          <w:rFonts w:ascii="宋体" w:hAnsi="宋体" w:cs="宋体"/>
          <w:szCs w:val="21"/>
          <w:u w:val="single" w:color="000000"/>
        </w:rPr>
        <w:t>7</w:t>
      </w:r>
      <w:r>
        <w:rPr>
          <w:rFonts w:ascii="宋体" w:hAnsi="宋体" w:cs="宋体"/>
          <w:spacing w:val="-31"/>
          <w:szCs w:val="21"/>
          <w:u w:val="single" w:color="000000"/>
        </w:rPr>
        <w:t xml:space="preserve"> </w:t>
      </w:r>
      <w:r>
        <w:rPr>
          <w:rFonts w:ascii="宋体" w:hAnsi="宋体" w:cs="宋体"/>
          <w:szCs w:val="21"/>
          <w:u w:val="single" w:color="000000"/>
        </w:rPr>
        <w:t>号</w:t>
      </w:r>
      <w:r>
        <w:rPr>
          <w:rFonts w:ascii="宋体" w:hAnsi="宋体" w:cs="宋体"/>
          <w:spacing w:val="-37"/>
          <w:szCs w:val="21"/>
          <w:u w:val="single" w:color="000000"/>
        </w:rPr>
        <w:t>楼）</w:t>
      </w:r>
      <w:r>
        <w:rPr>
          <w:rFonts w:ascii="宋体" w:hAnsi="宋体" w:cs="宋体"/>
          <w:spacing w:val="-37"/>
          <w:szCs w:val="21"/>
        </w:rPr>
        <w:t>。</w:t>
      </w:r>
      <w:r>
        <w:rPr>
          <w:rFonts w:hint="eastAsia" w:ascii="宋体" w:hAnsi="宋体"/>
          <w:szCs w:val="21"/>
        </w:rPr>
        <w:t>○</w:t>
      </w:r>
      <w:r>
        <w:rPr>
          <w:rFonts w:hint="eastAsia" w:ascii="宋体" w:hAnsi="宋体" w:cs="宋体"/>
          <w:sz w:val="21"/>
          <w:szCs w:val="21"/>
        </w:rPr>
        <w:t>分中心</w:t>
      </w:r>
      <w:r>
        <w:rPr>
          <w:rFonts w:hint="eastAsia" w:ascii="宋体" w:hAnsi="宋体" w:cs="宋体"/>
          <w:sz w:val="21"/>
          <w:szCs w:val="21"/>
          <w:u w:val="single"/>
        </w:rPr>
        <w:t xml:space="preserve">                           </w:t>
      </w:r>
      <w:r>
        <w:rPr>
          <w:rFonts w:hint="eastAsia" w:ascii="宋体" w:hAnsi="宋体" w:cs="宋体"/>
          <w:sz w:val="21"/>
          <w:szCs w:val="21"/>
        </w:rPr>
        <w:t>。</w:t>
      </w:r>
    </w:p>
    <w:p>
      <w:pPr>
        <w:pStyle w:val="25"/>
        <w:ind w:firstLine="849" w:firstLineChars="386"/>
        <w:rPr>
          <w:rFonts w:ascii="宋体" w:hAnsi="宋体"/>
        </w:rPr>
      </w:pPr>
      <w:r>
        <w:rPr>
          <w:rFonts w:hint="eastAsia" w:ascii="宋体" w:hAnsi="宋体"/>
        </w:rPr>
        <w:t>5</w:t>
      </w:r>
      <w:r>
        <w:rPr>
          <w:rFonts w:ascii="宋体" w:hAnsi="宋体"/>
        </w:rPr>
        <w:t>.2</w:t>
      </w:r>
      <w:r>
        <w:rPr>
          <w:rFonts w:hint="eastAsia" w:ascii="宋体" w:hAnsi="宋体"/>
        </w:rPr>
        <w:t>投标人应通过互联网使用</w:t>
      </w:r>
      <w:r>
        <w:rPr>
          <w:rFonts w:ascii="宋体" w:hAnsi="宋体"/>
        </w:rPr>
        <w:t>CA</w:t>
      </w:r>
      <w:r>
        <w:rPr>
          <w:rFonts w:hint="eastAsia" w:ascii="宋体" w:hAnsi="宋体"/>
        </w:rPr>
        <w:t>数字证书登录成都市公共资源交易云平台（</w:t>
      </w:r>
      <w:r>
        <w:rPr>
          <w:rFonts w:ascii="宋体" w:hAnsi="宋体"/>
        </w:rPr>
        <w:t>www.cdggzy.com</w:t>
      </w:r>
      <w:r>
        <w:rPr>
          <w:rFonts w:hint="eastAsia" w:ascii="宋体" w:hAnsi="宋体"/>
        </w:rPr>
        <w:t>），将加密的投标文件上传至对应项目，并保存系统返回的上传成功回执。</w:t>
      </w:r>
    </w:p>
    <w:p>
      <w:pPr>
        <w:rPr>
          <w:rFonts w:ascii="宋体" w:hAnsi="宋体"/>
          <w:szCs w:val="21"/>
        </w:rPr>
      </w:pPr>
      <w:r>
        <w:rPr>
          <w:rFonts w:hint="eastAsia" w:ascii="宋体" w:hAnsi="宋体"/>
          <w:szCs w:val="21"/>
        </w:rPr>
        <w:t>○（不见面开标）</w:t>
      </w:r>
      <w:r>
        <w:rPr>
          <w:rFonts w:ascii="宋体" w:hAnsi="宋体"/>
          <w:szCs w:val="21"/>
        </w:rPr>
        <w:t>5.</w:t>
      </w:r>
      <w:r>
        <w:rPr>
          <w:rFonts w:hint="eastAsia" w:ascii="宋体" w:hAnsi="宋体"/>
          <w:szCs w:val="21"/>
        </w:rPr>
        <w:t>1</w:t>
      </w:r>
      <w:r>
        <w:rPr>
          <w:rFonts w:ascii="宋体" w:hAnsi="宋体"/>
          <w:szCs w:val="21"/>
        </w:rPr>
        <w:t xml:space="preserve"> </w:t>
      </w:r>
      <w:r>
        <w:rPr>
          <w:rFonts w:hint="eastAsia" w:ascii="宋体" w:hAnsi="宋体"/>
          <w:szCs w:val="21"/>
        </w:rPr>
        <w:t>投标文件递交的截止时间（投标截止时间，下同）为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分，招标人或其委托代理机构，以及已在投标截止时间前按规定上传投标文件的投标人，均应在开标当日投标截止时间前登录不见面开标系统（网址：</w:t>
      </w:r>
      <w:r>
        <w:rPr>
          <w:rFonts w:ascii="宋体" w:hAnsi="宋体"/>
          <w:szCs w:val="21"/>
        </w:rPr>
        <w:t>www.cdggzy.com</w:t>
      </w:r>
      <w:r>
        <w:rPr>
          <w:rFonts w:hint="eastAsia" w:ascii="宋体" w:hAnsi="宋体"/>
          <w:szCs w:val="21"/>
        </w:rPr>
        <w:t>），录入相关人员姓名、电话等基本信息。投标人未按时登录不见面开标系统，错过开标解密时间的，由投标人自行承担不利后果。</w:t>
      </w:r>
    </w:p>
    <w:p>
      <w:pPr>
        <w:ind w:firstLine="849" w:firstLineChars="386"/>
        <w:rPr>
          <w:rFonts w:ascii="宋体" w:hAnsi="宋体"/>
        </w:rPr>
      </w:pPr>
      <w:r>
        <w:rPr>
          <w:rFonts w:ascii="宋体" w:hAnsi="宋体"/>
          <w:szCs w:val="21"/>
        </w:rPr>
        <w:t xml:space="preserve">5.2 </w:t>
      </w:r>
      <w:r>
        <w:rPr>
          <w:rFonts w:hint="eastAsia" w:ascii="宋体" w:hAnsi="宋体"/>
          <w:szCs w:val="21"/>
        </w:rPr>
        <w:t>投标人应在解密开始后30分钟内在线完成投标文件解密。投标文件未能在规定时间内成功解密的，视为投标人未在规定时间内提交投标文件，由投标人自行承担责任。不见面开标项目不接受投标人现场递交光盘等形式的投标文件，不接受投标人现场解密投标文件。</w:t>
      </w:r>
    </w:p>
    <w:p>
      <w:pPr>
        <w:ind w:firstLine="849" w:firstLineChars="386"/>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 </w:t>
      </w:r>
      <w:r>
        <w:rPr>
          <w:rFonts w:hint="eastAsia" w:ascii="宋体" w:hAnsi="宋体"/>
        </w:rPr>
        <w:t>投标人应充分考虑上传文件的不可预见因素，未在投标截止时间前完成上传的，在投标截止时间后将无法上传。</w:t>
      </w:r>
    </w:p>
    <w:p>
      <w:pPr>
        <w:pStyle w:val="5"/>
        <w:numPr>
          <w:ilvl w:val="0"/>
          <w:numId w:val="1"/>
        </w:numPr>
      </w:pPr>
      <w:r>
        <w:rPr>
          <w:rFonts w:hint="eastAsia"/>
        </w:rPr>
        <w:t>发布公告的媒介</w:t>
      </w:r>
    </w:p>
    <w:p>
      <w:pPr>
        <w:pStyle w:val="2"/>
        <w:ind w:left="0" w:firstLine="440" w:firstLineChars="200"/>
      </w:pPr>
      <w:r>
        <w:rPr>
          <w:rFonts w:hint="eastAsia"/>
        </w:rPr>
        <w:t>本次招标公告在</w:t>
      </w:r>
      <w:r>
        <w:rPr>
          <w:rFonts w:hint="eastAsia"/>
          <w:u w:val="single"/>
        </w:rPr>
        <w:t>全国公共资源交易平台（四川省）、成都市公共资源交易服务中心（网址：http://ggzyjy.sc.gov.cn、www.cdggzy.com）</w:t>
      </w:r>
      <w:r>
        <w:rPr>
          <w:rFonts w:hint="eastAsia"/>
        </w:rPr>
        <w:t>上发布。</w:t>
      </w:r>
    </w:p>
    <w:p>
      <w:pPr>
        <w:pStyle w:val="5"/>
        <w:numPr>
          <w:ilvl w:val="0"/>
          <w:numId w:val="1"/>
        </w:numPr>
      </w:pPr>
      <w:r>
        <w:rPr>
          <w:rFonts w:hint="eastAsia"/>
        </w:rPr>
        <w:t>联系方式</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招 标</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招标代理机构：</w:t>
      </w:r>
      <w:r>
        <w:rPr>
          <w:rFonts w:cs="Times New Roman" w:asciiTheme="minorEastAsia" w:hAnsiTheme="minorEastAsia" w:eastAsiaTheme="minorEastAsia"/>
          <w:u w:val="single" w:color="000000"/>
        </w:rPr>
        <w:tab/>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地   </w:t>
      </w:r>
      <w:r>
        <w:rPr>
          <w:rFonts w:asciiTheme="minorEastAsia" w:hAnsiTheme="minorEastAsia" w:eastAsiaTheme="minorEastAsia"/>
          <w:spacing w:val="3"/>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ab/>
      </w:r>
      <w:r>
        <w:rPr>
          <w:rFonts w:asciiTheme="minorEastAsia" w:hAnsiTheme="minorEastAsia" w:eastAsiaTheme="minorEastAsia"/>
        </w:rPr>
        <w:t xml:space="preserve">地   </w:t>
      </w:r>
      <w:r>
        <w:rPr>
          <w:rFonts w:asciiTheme="minorEastAsia" w:hAnsiTheme="minorEastAsia" w:eastAsiaTheme="minorEastAsia"/>
          <w:spacing w:val="5"/>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邮   </w:t>
      </w:r>
      <w:r>
        <w:rPr>
          <w:rFonts w:asciiTheme="minorEastAsia" w:hAnsiTheme="minorEastAsia" w:eastAsiaTheme="minorEastAsia"/>
          <w:spacing w:val="3"/>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ab/>
      </w:r>
      <w:r>
        <w:rPr>
          <w:rFonts w:asciiTheme="minorEastAsia" w:hAnsiTheme="minorEastAsia" w:eastAsiaTheme="minorEastAsia"/>
        </w:rPr>
        <w:t xml:space="preserve">邮   </w:t>
      </w:r>
      <w:r>
        <w:rPr>
          <w:rFonts w:asciiTheme="minorEastAsia" w:hAnsiTheme="minorEastAsia" w:eastAsiaTheme="minorEastAsia"/>
          <w:spacing w:val="5"/>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联 系</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联 系</w:t>
      </w:r>
      <w:r>
        <w:rPr>
          <w:rFonts w:asciiTheme="minorEastAsia" w:hAnsiTheme="minorEastAsia" w:eastAsiaTheme="minorEastAsia"/>
          <w:spacing w:val="4"/>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sz w:val="20"/>
          <w:szCs w:val="20"/>
        </w:rPr>
      </w:pPr>
      <w:r>
        <w:rPr>
          <w:rFonts w:asciiTheme="minorEastAsia" w:hAnsiTheme="minorEastAsia" w:eastAsiaTheme="minorEastAsia"/>
        </w:rPr>
        <w:t xml:space="preserve">电   </w:t>
      </w:r>
      <w:r>
        <w:rPr>
          <w:rFonts w:asciiTheme="minorEastAsia" w:hAnsiTheme="minorEastAsia" w:eastAsiaTheme="minorEastAsia"/>
          <w:spacing w:val="3"/>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ab/>
      </w:r>
      <w:r>
        <w:rPr>
          <w:rFonts w:asciiTheme="minorEastAsia" w:hAnsiTheme="minorEastAsia" w:eastAsiaTheme="minorEastAsia"/>
        </w:rPr>
        <w:t xml:space="preserve">电   </w:t>
      </w:r>
      <w:r>
        <w:rPr>
          <w:rFonts w:asciiTheme="minorEastAsia" w:hAnsiTheme="minorEastAsia" w:eastAsiaTheme="minorEastAsia"/>
          <w:spacing w:val="5"/>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5880"/>
          <w:tab w:val="left" w:pos="6826"/>
          <w:tab w:val="left" w:pos="7769"/>
        </w:tabs>
        <w:spacing w:before="198"/>
        <w:ind w:left="5146" w:right="113"/>
      </w:pP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asciiTheme="minorEastAsia" w:hAnsiTheme="minorEastAsia" w:eastAsiaTheme="minorEastAsia"/>
        </w:rPr>
        <w:t>年</w:t>
      </w:r>
      <w:r>
        <w:rPr>
          <w:rFonts w:cs="Times New Roman" w:asciiTheme="minorEastAsia" w:hAnsiTheme="minorEastAsia" w:eastAsiaTheme="minorEastAsia"/>
          <w:u w:val="single" w:color="000000"/>
        </w:rPr>
        <w:tab/>
      </w:r>
      <w:r>
        <w:rPr>
          <w:rFonts w:asciiTheme="minorEastAsia" w:hAnsiTheme="minorEastAsia" w:eastAsiaTheme="minorEastAsia"/>
          <w:spacing w:val="-3"/>
        </w:rPr>
        <w:t>月</w:t>
      </w:r>
      <w:r>
        <w:rPr>
          <w:rFonts w:cs="Times New Roman" w:asciiTheme="minorEastAsia" w:hAnsiTheme="minorEastAsia" w:eastAsiaTheme="minorEastAsia"/>
          <w:spacing w:val="-3"/>
          <w:u w:val="single" w:color="000000"/>
        </w:rPr>
        <w:tab/>
      </w:r>
      <w:r>
        <w:rPr>
          <w:rFonts w:asciiTheme="minorEastAsia" w:hAnsiTheme="minorEastAsia" w:eastAsiaTheme="minorEastAsia"/>
        </w:rPr>
        <w:t>日</w:t>
      </w:r>
    </w:p>
    <w:p>
      <w:pPr>
        <w:pStyle w:val="2"/>
      </w:pPr>
      <w:r>
        <w:rPr>
          <w:rFonts w:hint="eastAsia"/>
        </w:rPr>
        <w:t xml:space="preserve">注：  </w:t>
      </w:r>
    </w:p>
    <w:p>
      <w:pPr>
        <w:pStyle w:val="2"/>
      </w:pPr>
      <w:r>
        <w:rPr>
          <w:rFonts w:hint="eastAsia"/>
        </w:rPr>
        <w:t>（1）项目名称、工程名称约定为项目审批名称（以立项批复或可行性研究报告批复为准）。</w:t>
      </w:r>
    </w:p>
    <w:p>
      <w:pPr>
        <w:pStyle w:val="2"/>
      </w:pPr>
      <w:r>
        <w:rPr>
          <w:rFonts w:hint="eastAsia"/>
        </w:rPr>
        <w:t>（2）如未划分标段，“标段”填写为“ / 标段”，如划分标段，则填写标段序号</w:t>
      </w:r>
    </w:p>
    <w:p>
      <w:pPr>
        <w:pStyle w:val="2"/>
      </w:pPr>
      <w:r>
        <w:rPr>
          <w:rFonts w:hint="eastAsia"/>
        </w:rPr>
        <w:t>（3）“项目概况及招标范围”应明确本次招标的详细范围和内容；</w:t>
      </w:r>
    </w:p>
    <w:p>
      <w:pPr>
        <w:pStyle w:val="2"/>
      </w:pPr>
      <w:r>
        <w:rPr>
          <w:rFonts w:hint="eastAsia"/>
        </w:rPr>
        <w:t>（4）如划分为两个及以上标段，应分别明确各标段的的具体内容、划分情况以及招标控制价。</w:t>
      </w:r>
    </w:p>
    <w:p>
      <w:pPr>
        <w:pStyle w:val="2"/>
      </w:pPr>
      <w:r>
        <w:rPr>
          <w:rFonts w:hint="eastAsia"/>
        </w:rPr>
        <w:t>（5）招标人对投标人的资质要求，应是国家对投标人资质的强制性规定。不是国家规定的必须具备的资质，不得作为参加投标的条件，但园林绿化工程除外。</w:t>
      </w:r>
    </w:p>
    <w:p>
      <w:pPr>
        <w:pStyle w:val="2"/>
      </w:pPr>
      <w:r>
        <w:rPr>
          <w:rFonts w:hint="eastAsia"/>
        </w:rPr>
        <w:t>（6）招标人设置的类似工程业绩指标仅限于工程规模、应用类型、施工工艺 等方面，且应符合本次工程招标的内容。类似工程业绩中设置的投资额、面积、 长度等规模性量化指标不得高于本次招标工程相应指标。类似工程业绩的时限不少于3年；类似工程业绩个数不得超过 3 个。</w:t>
      </w:r>
    </w:p>
    <w:p>
      <w:pPr>
        <w:pStyle w:val="2"/>
      </w:pPr>
      <w:r>
        <w:rPr>
          <w:rFonts w:hint="eastAsia"/>
        </w:rPr>
        <w:t>（7）招标人要求投标人须具备的资质一个项目（标段）为一个，因特殊情况需要两个以上资质的，应允许（接受）投标人组成联合体投标，且不得限制联合 体成员数量小于资质类别数量。两个以上同一资质不同资质等级的单位实行联合共同承包的，联合体资质应符合法律法规的规定，并按照联合体协议约定的职责分工予以认定。</w:t>
      </w:r>
    </w:p>
    <w:p>
      <w:pPr>
        <w:sectPr>
          <w:footerReference r:id="rId7" w:type="default"/>
          <w:pgSz w:w="12240" w:h="15840"/>
          <w:pgMar w:top="1134" w:right="1134" w:bottom="1134" w:left="1134" w:header="0" w:footer="921" w:gutter="0"/>
          <w:cols w:space="720" w:num="1"/>
        </w:sectPr>
      </w:pPr>
      <w:r>
        <w:rPr>
          <w:rFonts w:hint="eastAsia"/>
        </w:rPr>
        <w:br w:type="page"/>
      </w:r>
    </w:p>
    <w:p>
      <w:pPr>
        <w:pStyle w:val="3"/>
        <w:spacing w:line="360" w:lineRule="auto"/>
        <w:rPr>
          <w:rFonts w:ascii="黑体" w:hAnsi="黑体"/>
        </w:rPr>
      </w:pPr>
      <w:bookmarkStart w:id="9" w:name="_Toc28685"/>
      <w:r>
        <w:rPr>
          <w:rFonts w:ascii="黑体" w:hAnsi="黑体"/>
        </w:rPr>
        <w:t xml:space="preserve">第一章  </w:t>
      </w:r>
      <w:r>
        <w:rPr>
          <w:rFonts w:hint="eastAsia" w:ascii="黑体" w:hAnsi="黑体"/>
        </w:rPr>
        <w:t>投标邀请书</w:t>
      </w:r>
      <w:r>
        <w:rPr>
          <w:rFonts w:hint="eastAsia" w:ascii="宋体" w:hAnsi="宋体"/>
        </w:rPr>
        <w:t>（适用于邀请招标）</w:t>
      </w:r>
      <w:bookmarkEnd w:id="9"/>
    </w:p>
    <w:p>
      <w:pPr>
        <w:jc w:val="center"/>
        <w:rPr>
          <w:sz w:val="28"/>
          <w:szCs w:val="28"/>
        </w:rPr>
      </w:pPr>
      <w:r>
        <w:rPr>
          <w:rFonts w:hint="eastAsia"/>
          <w:sz w:val="28"/>
          <w:szCs w:val="28"/>
          <w:u w:val="single"/>
        </w:rPr>
        <w:t xml:space="preserve"> </w:t>
      </w:r>
      <w:r>
        <w:rPr>
          <w:rFonts w:hint="eastAsia"/>
          <w:sz w:val="28"/>
          <w:szCs w:val="28"/>
          <w:u w:val="single"/>
        </w:rPr>
        <w:tab/>
      </w:r>
      <w:r>
        <w:rPr>
          <w:rFonts w:hint="eastAsia"/>
          <w:sz w:val="28"/>
          <w:szCs w:val="28"/>
          <w:u w:val="single"/>
        </w:rPr>
        <w:t xml:space="preserve">       </w:t>
      </w:r>
      <w:r>
        <w:rPr>
          <w:rFonts w:hint="eastAsia"/>
          <w:sz w:val="28"/>
          <w:szCs w:val="28"/>
        </w:rPr>
        <w:t>（项目名称）采购</w:t>
      </w:r>
      <w:r>
        <w:rPr>
          <w:rFonts w:hint="eastAsia"/>
          <w:sz w:val="28"/>
          <w:szCs w:val="28"/>
          <w:u w:val="single"/>
        </w:rPr>
        <w:t xml:space="preserve">    </w:t>
      </w:r>
      <w:r>
        <w:rPr>
          <w:rFonts w:hint="eastAsia"/>
          <w:sz w:val="28"/>
          <w:szCs w:val="28"/>
        </w:rPr>
        <w:t>标段招标公告</w:t>
      </w:r>
    </w:p>
    <w:p>
      <w:pPr>
        <w:jc w:val="center"/>
        <w:rPr>
          <w:sz w:val="28"/>
          <w:szCs w:val="28"/>
        </w:rPr>
      </w:pPr>
      <w:r>
        <w:rPr>
          <w:rFonts w:hint="eastAsia"/>
          <w:sz w:val="28"/>
          <w:szCs w:val="28"/>
        </w:rPr>
        <w:t>投标邀请书</w:t>
      </w:r>
    </w:p>
    <w:p>
      <w:pPr>
        <w:tabs>
          <w:tab w:val="left" w:pos="7140"/>
        </w:tabs>
        <w:rPr>
          <w:rFonts w:ascii="宋体" w:hAnsi="宋体" w:cs="Courier New"/>
          <w:b/>
          <w:szCs w:val="21"/>
          <w:u w:val="single"/>
        </w:rPr>
      </w:pPr>
    </w:p>
    <w:p>
      <w:pPr>
        <w:tabs>
          <w:tab w:val="left" w:pos="7140"/>
        </w:tabs>
        <w:rPr>
          <w:rFonts w:ascii="宋体" w:hAnsi="宋体" w:cs="Courier New"/>
          <w:b/>
          <w:szCs w:val="21"/>
        </w:rPr>
      </w:pPr>
      <w:r>
        <w:rPr>
          <w:rFonts w:ascii="宋体" w:hAnsi="宋体" w:cs="Courier New"/>
          <w:b/>
          <w:szCs w:val="21"/>
          <w:u w:val="single"/>
        </w:rPr>
        <w:t xml:space="preserve">                               </w:t>
      </w:r>
      <w:r>
        <w:rPr>
          <w:rFonts w:hint="eastAsia" w:ascii="宋体" w:hAnsi="宋体" w:cs="Courier New"/>
          <w:b/>
          <w:szCs w:val="21"/>
        </w:rPr>
        <w:t>（被邀请单位名称）：</w:t>
      </w:r>
    </w:p>
    <w:p>
      <w:pPr>
        <w:rPr>
          <w:b/>
          <w:szCs w:val="21"/>
        </w:rPr>
      </w:pPr>
      <w:r>
        <w:rPr>
          <w:b/>
          <w:szCs w:val="21"/>
        </w:rPr>
        <w:t>1．招标条件</w:t>
      </w:r>
    </w:p>
    <w:p>
      <w:pPr>
        <w:ind w:firstLine="360"/>
        <w:rPr>
          <w:rFonts w:ascii="宋体" w:hAnsi="宋体"/>
          <w:b/>
          <w:szCs w:val="21"/>
          <w:u w:val="single"/>
        </w:rPr>
      </w:pPr>
      <w:r>
        <w:rPr>
          <w:rFonts w:hint="eastAsia" w:ascii="宋体" w:hAnsi="宋体"/>
          <w:szCs w:val="21"/>
        </w:rPr>
        <w:t>1.1本招标项目</w:t>
      </w:r>
      <w:r>
        <w:rPr>
          <w:rFonts w:hint="eastAsia" w:ascii="宋体" w:hAnsi="宋体"/>
          <w:b/>
          <w:szCs w:val="21"/>
          <w:u w:val="single"/>
        </w:rPr>
        <w:t xml:space="preserve">         </w:t>
      </w:r>
      <w:r>
        <w:rPr>
          <w:rFonts w:ascii="宋体" w:hAnsi="宋体"/>
          <w:b/>
          <w:szCs w:val="21"/>
          <w:u w:val="single"/>
        </w:rPr>
        <w:t xml:space="preserve"> </w:t>
      </w:r>
      <w:r>
        <w:rPr>
          <w:rFonts w:hint="eastAsia" w:ascii="宋体" w:hAnsi="宋体"/>
          <w:b/>
          <w:szCs w:val="21"/>
          <w:u w:val="single"/>
        </w:rPr>
        <w:t xml:space="preserve">     </w:t>
      </w:r>
      <w:r>
        <w:rPr>
          <w:rFonts w:hint="eastAsia" w:ascii="宋体" w:hAnsi="宋体"/>
          <w:szCs w:val="21"/>
        </w:rPr>
        <w:t>（项目名称）采购</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标段己由</w:t>
      </w:r>
      <w:r>
        <w:rPr>
          <w:rFonts w:hint="eastAsia" w:ascii="宋体" w:hAnsi="宋体"/>
          <w:b/>
          <w:szCs w:val="21"/>
          <w:u w:val="single"/>
        </w:rPr>
        <w:t xml:space="preserve">        </w:t>
      </w:r>
      <w:r>
        <w:rPr>
          <w:rFonts w:hint="eastAsia" w:ascii="宋体" w:hAnsi="宋体"/>
          <w:szCs w:val="21"/>
        </w:rPr>
        <w:t>（项目审批、核准或备案机关名称）以</w:t>
      </w:r>
      <w:r>
        <w:rPr>
          <w:rFonts w:hint="eastAsia" w:ascii="宋体" w:hAnsi="宋体"/>
          <w:b/>
          <w:szCs w:val="21"/>
          <w:u w:val="single"/>
        </w:rPr>
        <w:t xml:space="preserve">         </w:t>
      </w:r>
      <w:r>
        <w:rPr>
          <w:rFonts w:hint="eastAsia" w:ascii="宋体" w:hAnsi="宋体"/>
          <w:szCs w:val="21"/>
        </w:rPr>
        <w:t>（批文名称及编号）批准建设，项目业主为</w:t>
      </w:r>
      <w:r>
        <w:rPr>
          <w:rFonts w:hint="eastAsia" w:ascii="宋体" w:hAnsi="宋体"/>
          <w:b/>
          <w:szCs w:val="21"/>
          <w:u w:val="single"/>
        </w:rPr>
        <w:t xml:space="preserve">            </w:t>
      </w:r>
      <w:r>
        <w:rPr>
          <w:rFonts w:ascii="宋体" w:hAnsi="宋体"/>
          <w:b/>
          <w:szCs w:val="21"/>
          <w:u w:val="single"/>
        </w:rPr>
        <w:t xml:space="preserve">      </w:t>
      </w:r>
      <w:r>
        <w:rPr>
          <w:rFonts w:hint="eastAsia" w:ascii="宋体" w:hAnsi="宋体"/>
          <w:b/>
          <w:szCs w:val="21"/>
          <w:u w:val="single"/>
        </w:rPr>
        <w:t xml:space="preserve">       </w:t>
      </w:r>
      <w:r>
        <w:rPr>
          <w:rFonts w:hint="eastAsia" w:ascii="宋体" w:hAnsi="宋体"/>
          <w:szCs w:val="21"/>
        </w:rPr>
        <w:t>，建设资金来自</w:t>
      </w:r>
      <w:r>
        <w:rPr>
          <w:rFonts w:hint="eastAsia" w:ascii="宋体" w:hAnsi="宋体"/>
          <w:b/>
          <w:szCs w:val="21"/>
          <w:u w:val="single"/>
        </w:rPr>
        <w:t xml:space="preserve">         </w:t>
      </w:r>
      <w:r>
        <w:rPr>
          <w:rFonts w:hint="eastAsia" w:ascii="宋体" w:hAnsi="宋体"/>
          <w:szCs w:val="21"/>
        </w:rPr>
        <w:t>（资金来源），项目出资比例为</w:t>
      </w:r>
      <w:r>
        <w:rPr>
          <w:rFonts w:hint="eastAsia" w:ascii="宋体" w:hAnsi="宋体"/>
          <w:b/>
          <w:szCs w:val="21"/>
          <w:u w:val="single"/>
        </w:rPr>
        <w:t xml:space="preserve">      </w:t>
      </w:r>
      <w:r>
        <w:rPr>
          <w:rFonts w:hint="eastAsia" w:ascii="宋体" w:hAnsi="宋体"/>
          <w:szCs w:val="21"/>
          <w:u w:val="single"/>
        </w:rPr>
        <w:t xml:space="preserve"> </w:t>
      </w:r>
      <w:r>
        <w:rPr>
          <w:rFonts w:hint="eastAsia" w:ascii="宋体" w:hAnsi="宋体"/>
          <w:szCs w:val="21"/>
        </w:rPr>
        <w:t>，招标人为</w:t>
      </w:r>
      <w:r>
        <w:rPr>
          <w:rFonts w:hint="eastAsia" w:ascii="宋体" w:hAnsi="宋体"/>
          <w:b/>
          <w:szCs w:val="21"/>
          <w:u w:val="single"/>
        </w:rPr>
        <w:t xml:space="preserve">          </w:t>
      </w:r>
      <w:r>
        <w:rPr>
          <w:rFonts w:hint="eastAsia" w:ascii="宋体" w:hAnsi="宋体"/>
          <w:szCs w:val="21"/>
        </w:rPr>
        <w:t>。</w:t>
      </w:r>
      <w:r>
        <w:rPr>
          <w:rFonts w:ascii="宋体" w:hAnsi="宋体"/>
        </w:rPr>
        <w:t>项目已具备招标条件，现进行</w:t>
      </w:r>
      <w:r>
        <w:rPr>
          <w:rFonts w:hint="eastAsia" w:ascii="宋体" w:hAnsi="宋体"/>
        </w:rPr>
        <w:t>邀请</w:t>
      </w:r>
      <w:r>
        <w:rPr>
          <w:rFonts w:ascii="宋体" w:hAnsi="宋体"/>
        </w:rPr>
        <w:t>招标</w:t>
      </w:r>
      <w:r>
        <w:rPr>
          <w:rFonts w:hint="eastAsia" w:ascii="宋体" w:hAnsi="宋体"/>
          <w:szCs w:val="21"/>
        </w:rPr>
        <w:t>。</w:t>
      </w:r>
    </w:p>
    <w:p>
      <w:pPr>
        <w:ind w:firstLine="374" w:firstLineChars="170"/>
        <w:rPr>
          <w:rFonts w:ascii="宋体" w:hAnsi="宋体"/>
          <w:szCs w:val="21"/>
        </w:rPr>
      </w:pPr>
      <w:r>
        <w:rPr>
          <w:rFonts w:hint="eastAsia" w:ascii="宋体" w:hAnsi="宋体"/>
          <w:szCs w:val="21"/>
        </w:rPr>
        <w:t>1.2</w:t>
      </w:r>
      <w:r>
        <w:rPr>
          <w:rFonts w:cs="Times New Roman" w:asciiTheme="minorEastAsia" w:hAnsiTheme="minorEastAsia"/>
        </w:rPr>
        <w:t>本招标项目由</w:t>
      </w:r>
      <w:r>
        <w:rPr>
          <w:rFonts w:cs="Times New Roman" w:asciiTheme="minorEastAsia" w:hAnsiTheme="minorEastAsia"/>
          <w:u w:val="single"/>
        </w:rPr>
        <w:t xml:space="preserve">   </w:t>
      </w:r>
      <w:r>
        <w:rPr>
          <w:rFonts w:hint="eastAsia" w:cs="Times New Roman" w:asciiTheme="minorEastAsia" w:hAnsiTheme="minorEastAsia"/>
          <w:u w:val="single"/>
        </w:rPr>
        <w:t xml:space="preserve">      </w:t>
      </w:r>
      <w:r>
        <w:rPr>
          <w:rFonts w:cs="Times New Roman" w:asciiTheme="minorEastAsia" w:hAnsiTheme="minorEastAsia"/>
          <w:u w:val="single"/>
        </w:rPr>
        <w:t xml:space="preserve">  </w:t>
      </w:r>
      <w:r>
        <w:rPr>
          <w:rFonts w:cs="Times New Roman" w:asciiTheme="minorEastAsia" w:hAnsiTheme="minorEastAsia"/>
        </w:rPr>
        <w:t>（核准机关名称）核准（招标事项核准文号为</w:t>
      </w:r>
      <w:r>
        <w:rPr>
          <w:rFonts w:cs="Times New Roman" w:asciiTheme="minorEastAsia" w:hAnsiTheme="minorEastAsia"/>
          <w:u w:val="single"/>
        </w:rPr>
        <w:t xml:space="preserve">     </w:t>
      </w:r>
      <w:r>
        <w:rPr>
          <w:rFonts w:hint="eastAsia" w:cs="Times New Roman" w:asciiTheme="minorEastAsia" w:hAnsiTheme="minorEastAsia"/>
          <w:u w:val="single"/>
        </w:rPr>
        <w:t xml:space="preserve">     </w:t>
      </w:r>
      <w:r>
        <w:rPr>
          <w:rFonts w:cs="Times New Roman" w:asciiTheme="minorEastAsia" w:hAnsiTheme="minorEastAsia"/>
        </w:rPr>
        <w:t>）的招标组织形式为□自行招标□委托招标。招标人选择的招标代理机构是</w:t>
      </w:r>
      <w:r>
        <w:rPr>
          <w:rFonts w:cs="Times New Roman" w:asciiTheme="minorEastAsia" w:hAnsiTheme="minorEastAsia"/>
          <w:u w:val="single"/>
        </w:rPr>
        <w:tab/>
      </w:r>
      <w:r>
        <w:rPr>
          <w:rFonts w:hint="eastAsia" w:cs="Times New Roman" w:asciiTheme="minorEastAsia" w:hAnsiTheme="minorEastAsia"/>
          <w:u w:val="single"/>
        </w:rPr>
        <w:t xml:space="preserve">           </w:t>
      </w:r>
      <w:r>
        <w:rPr>
          <w:rFonts w:hint="eastAsia" w:cs="Times New Roman" w:asciiTheme="minorEastAsia" w:hAnsiTheme="minorEastAsia"/>
        </w:rPr>
        <w:t>。</w:t>
      </w:r>
    </w:p>
    <w:p>
      <w:pPr>
        <w:tabs>
          <w:tab w:val="left" w:pos="7140"/>
        </w:tabs>
        <w:ind w:firstLine="495"/>
        <w:rPr>
          <w:rFonts w:ascii="仿宋_GB2312" w:hAnsi="宋体" w:eastAsia="仿宋_GB2312"/>
          <w:szCs w:val="21"/>
        </w:rPr>
      </w:pPr>
      <w:r>
        <w:rPr>
          <w:rFonts w:hint="eastAsia" w:ascii="仿宋_GB2312" w:hAnsi="宋体" w:eastAsia="仿宋_GB2312"/>
          <w:szCs w:val="21"/>
        </w:rPr>
        <w:t>注：若为自行招标则代理机构填</w:t>
      </w:r>
      <w:r>
        <w:rPr>
          <w:rFonts w:ascii="仿宋_GB2312" w:hAnsi="宋体" w:eastAsia="仿宋_GB2312"/>
          <w:szCs w:val="21"/>
        </w:rPr>
        <w:t>"/"。</w:t>
      </w:r>
    </w:p>
    <w:p>
      <w:pPr>
        <w:widowControl/>
        <w:rPr>
          <w:rFonts w:ascii="宋体" w:hAnsi="宋体" w:cs="Arial"/>
          <w:kern w:val="0"/>
          <w:szCs w:val="21"/>
        </w:rPr>
      </w:pPr>
      <w:r>
        <w:rPr>
          <w:rFonts w:hint="eastAsia" w:ascii="宋体" w:hAnsi="宋体" w:cs="Arial"/>
          <w:b/>
          <w:kern w:val="0"/>
          <w:szCs w:val="21"/>
        </w:rPr>
        <w:t>2．项目概况与招标范围</w:t>
      </w:r>
    </w:p>
    <w:p>
      <w:pPr>
        <w:pStyle w:val="2"/>
        <w:tabs>
          <w:tab w:val="left" w:pos="3566"/>
        </w:tabs>
        <w:spacing w:line="350" w:lineRule="auto"/>
        <w:ind w:left="100" w:right="109" w:firstLine="419"/>
        <w:rPr>
          <w:rFonts w:asciiTheme="minorEastAsia" w:hAnsiTheme="minorEastAsia" w:eastAsiaTheme="minorEastAsia"/>
          <w:u w:val="single" w:color="000000"/>
        </w:rPr>
      </w:pPr>
      <w:r>
        <w:rPr>
          <w:rFonts w:hint="eastAsia" w:asciiTheme="minorEastAsia" w:hAnsiTheme="minorEastAsia" w:eastAsiaTheme="minorEastAsia"/>
          <w:u w:color="000000"/>
        </w:rPr>
        <w:t>2.1采购内容及规模：</w:t>
      </w:r>
      <w:r>
        <w:rPr>
          <w:rFonts w:hint="eastAsia"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asciiTheme="minorEastAsia" w:hAnsiTheme="minorEastAsia" w:eastAsiaTheme="minorEastAsia"/>
          <w:u w:color="000000"/>
        </w:rPr>
      </w:pPr>
      <w:r>
        <w:rPr>
          <w:rFonts w:hint="eastAsia" w:asciiTheme="minorEastAsia" w:hAnsiTheme="minorEastAsia" w:eastAsiaTheme="minorEastAsia"/>
          <w:u w:color="000000"/>
        </w:rPr>
        <w:t>2.2招标范围：</w:t>
      </w:r>
      <w:r>
        <w:rPr>
          <w:rFonts w:hint="eastAsia"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asciiTheme="minorEastAsia" w:hAnsiTheme="minorEastAsia" w:eastAsiaTheme="minorEastAsia"/>
          <w:u w:color="000000"/>
        </w:rPr>
      </w:pPr>
      <w:r>
        <w:rPr>
          <w:rFonts w:hint="eastAsia" w:asciiTheme="minorEastAsia" w:hAnsiTheme="minorEastAsia" w:eastAsiaTheme="minorEastAsia"/>
          <w:u w:color="000000"/>
        </w:rPr>
        <w:t>2.3供货周期：</w:t>
      </w:r>
      <w:r>
        <w:rPr>
          <w:rFonts w:hint="eastAsia"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asciiTheme="minorEastAsia" w:hAnsiTheme="minorEastAsia" w:eastAsiaTheme="minorEastAsia"/>
          <w:u w:color="000000"/>
        </w:rPr>
      </w:pPr>
      <w:r>
        <w:rPr>
          <w:rFonts w:hint="eastAsia" w:asciiTheme="minorEastAsia" w:hAnsiTheme="minorEastAsia" w:eastAsiaTheme="minorEastAsia"/>
          <w:u w:color="000000"/>
        </w:rPr>
        <w:t>2.4交货地点：</w:t>
      </w:r>
      <w:r>
        <w:rPr>
          <w:rFonts w:hint="eastAsia"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asciiTheme="minorEastAsia" w:hAnsiTheme="minorEastAsia" w:eastAsiaTheme="minorEastAsia"/>
          <w:u w:color="000000"/>
        </w:rPr>
      </w:pPr>
      <w:r>
        <w:rPr>
          <w:rFonts w:hint="eastAsia" w:asciiTheme="minorEastAsia" w:hAnsiTheme="minorEastAsia" w:eastAsiaTheme="minorEastAsia"/>
          <w:u w:color="000000"/>
        </w:rPr>
        <w:t>2.5 质量目标：</w:t>
      </w:r>
      <w:r>
        <w:rPr>
          <w:rFonts w:hint="eastAsia" w:asciiTheme="minorEastAsia" w:hAnsiTheme="minorEastAsia" w:eastAsiaTheme="minorEastAsia"/>
          <w:u w:val="single" w:color="000000"/>
        </w:rPr>
        <w:t xml:space="preserve">                                         </w:t>
      </w:r>
    </w:p>
    <w:p>
      <w:pPr>
        <w:autoSpaceDE w:val="0"/>
        <w:autoSpaceDN w:val="0"/>
        <w:adjustRightInd w:val="0"/>
        <w:ind w:right="-20" w:firstLine="550" w:firstLineChars="250"/>
        <w:rPr>
          <w:rFonts w:ascii="宋体" w:hAnsi="宋体" w:cs="MingLiU"/>
          <w:kern w:val="0"/>
          <w:sz w:val="24"/>
          <w:u w:val="single"/>
        </w:rPr>
      </w:pPr>
      <w:r>
        <w:rPr>
          <w:rFonts w:hint="eastAsia" w:asciiTheme="minorEastAsia" w:hAnsiTheme="minorEastAsia" w:eastAsiaTheme="minorEastAsia"/>
          <w:u w:color="000000"/>
        </w:rPr>
        <w:t>2.6 标段划分：</w:t>
      </w:r>
      <w:r>
        <w:rPr>
          <w:rFonts w:asciiTheme="minorEastAsia" w:hAnsiTheme="minorEastAsia" w:eastAsiaTheme="minorEastAsia"/>
          <w:u w:color="000000"/>
        </w:rPr>
        <w:t xml:space="preserve"> </w:t>
      </w:r>
      <w:r>
        <w:rPr>
          <w:rFonts w:hint="eastAsia" w:asciiTheme="minorEastAsia" w:hAnsiTheme="minorEastAsia" w:eastAsiaTheme="minorEastAsia"/>
          <w:u w:val="single" w:color="000000"/>
        </w:rPr>
        <w:t xml:space="preserve">                                        </w:t>
      </w:r>
    </w:p>
    <w:p>
      <w:pPr>
        <w:autoSpaceDE w:val="0"/>
        <w:autoSpaceDN w:val="0"/>
        <w:adjustRightInd w:val="0"/>
        <w:ind w:right="-20" w:firstLine="330" w:firstLineChars="150"/>
        <w:rPr>
          <w:rFonts w:ascii="仿宋" w:hAnsi="仿宋" w:eastAsia="仿宋"/>
        </w:rPr>
      </w:pPr>
      <w:r>
        <w:rPr>
          <w:rFonts w:hint="eastAsia" w:ascii="仿宋" w:hAnsi="仿宋" w:eastAsia="仿宋"/>
        </w:rPr>
        <w:t xml:space="preserve"> 注：说明本次招标项目的建设地点、规模、招标控制价、供货</w:t>
      </w:r>
      <w:r>
        <w:rPr>
          <w:rFonts w:ascii="仿宋" w:hAnsi="仿宋" w:eastAsia="仿宋"/>
        </w:rPr>
        <w:t>周期</w:t>
      </w:r>
      <w:r>
        <w:rPr>
          <w:rFonts w:hint="eastAsia" w:ascii="仿宋" w:hAnsi="仿宋" w:eastAsia="仿宋"/>
        </w:rPr>
        <w:t>、招标范围、质量标准、标段划分(如果有)等。</w:t>
      </w:r>
    </w:p>
    <w:p>
      <w:pPr>
        <w:widowControl/>
        <w:rPr>
          <w:rFonts w:ascii="宋体" w:hAnsi="宋体" w:cs="Arial"/>
          <w:kern w:val="0"/>
          <w:szCs w:val="21"/>
        </w:rPr>
      </w:pPr>
      <w:r>
        <w:rPr>
          <w:rFonts w:hint="eastAsia" w:ascii="宋体" w:hAnsi="宋体" w:cs="Arial"/>
          <w:b/>
          <w:kern w:val="0"/>
          <w:szCs w:val="21"/>
        </w:rPr>
        <w:t>3．投标人资格要求</w:t>
      </w:r>
    </w:p>
    <w:p>
      <w:pPr>
        <w:widowControl/>
        <w:ind w:firstLine="440" w:firstLineChars="200"/>
        <w:rPr>
          <w:rFonts w:ascii="宋体" w:hAnsi="宋体" w:cs="Arial"/>
          <w:kern w:val="0"/>
          <w:szCs w:val="21"/>
          <w:lang w:val="zh-CN"/>
        </w:rPr>
      </w:pPr>
      <w:r>
        <w:rPr>
          <w:rFonts w:hint="eastAsia" w:ascii="宋体" w:hAnsi="宋体" w:cs="Arial"/>
          <w:kern w:val="0"/>
          <w:szCs w:val="21"/>
        </w:rPr>
        <w:t>3.1本次招标要求投标人</w:t>
      </w:r>
      <w:r>
        <w:rPr>
          <w:rFonts w:hint="eastAsia" w:ascii="宋体" w:hAnsi="宋体" w:cs="Arial"/>
          <w:kern w:val="0"/>
          <w:szCs w:val="21"/>
          <w:lang w:val="zh-CN"/>
        </w:rPr>
        <w:t>：</w:t>
      </w:r>
    </w:p>
    <w:p>
      <w:pPr>
        <w:ind w:firstLine="440" w:firstLineChars="200"/>
        <w:rPr>
          <w:rFonts w:ascii="宋体" w:hAnsi="宋体"/>
          <w:szCs w:val="21"/>
        </w:rPr>
      </w:pPr>
      <w:r>
        <w:rPr>
          <w:rFonts w:hint="eastAsia" w:ascii="宋体" w:hAnsi="宋体"/>
          <w:szCs w:val="21"/>
        </w:rPr>
        <w:t>3.1.1依法设立、具有独立承担民事责任的能力；</w:t>
      </w:r>
    </w:p>
    <w:p>
      <w:pPr>
        <w:ind w:firstLine="440" w:firstLineChars="200"/>
        <w:rPr>
          <w:rFonts w:ascii="宋体" w:hAnsi="宋体"/>
          <w:szCs w:val="21"/>
        </w:rPr>
      </w:pPr>
      <w:r>
        <w:rPr>
          <w:rFonts w:hint="eastAsia" w:ascii="宋体" w:hAnsi="宋体"/>
          <w:bCs/>
          <w:szCs w:val="21"/>
        </w:rPr>
        <w:t>3.1.2 须</w:t>
      </w:r>
      <w:r>
        <w:rPr>
          <w:rFonts w:hint="eastAsia" w:ascii="宋体" w:hAnsi="宋体"/>
          <w:szCs w:val="21"/>
        </w:rPr>
        <w:t>为</w:t>
      </w:r>
    </w:p>
    <w:p>
      <w:pPr>
        <w:ind w:firstLine="1100" w:firstLineChars="500"/>
        <w:rPr>
          <w:rFonts w:ascii="宋体" w:hAnsi="宋体"/>
          <w:szCs w:val="21"/>
        </w:rPr>
      </w:pPr>
      <w:r>
        <w:rPr>
          <w:rFonts w:hint="eastAsia" w:ascii="宋体" w:hAnsi="宋体"/>
          <w:szCs w:val="21"/>
        </w:rPr>
        <w:t>具有○</w:t>
      </w:r>
      <w:r>
        <w:rPr>
          <w:rFonts w:hint="eastAsia" w:ascii="宋体" w:hAnsi="宋体"/>
          <w:szCs w:val="21"/>
          <w:u w:val="single"/>
        </w:rPr>
        <w:t>生产</w:t>
      </w:r>
      <w:r>
        <w:rPr>
          <w:rFonts w:hint="eastAsia" w:ascii="宋体" w:hAnsi="宋体"/>
          <w:szCs w:val="21"/>
        </w:rPr>
        <w:t>○</w:t>
      </w:r>
      <w:r>
        <w:rPr>
          <w:rFonts w:hint="eastAsia" w:ascii="宋体" w:hAnsi="宋体"/>
          <w:szCs w:val="21"/>
          <w:u w:val="single"/>
        </w:rPr>
        <w:t>销售</w:t>
      </w:r>
      <w:r>
        <w:rPr>
          <w:rFonts w:hint="eastAsia" w:ascii="宋体" w:hAnsi="宋体"/>
          <w:szCs w:val="21"/>
        </w:rPr>
        <w:t>本标段招标项目标的物的资格及能力；</w:t>
      </w:r>
    </w:p>
    <w:p>
      <w:pPr>
        <w:ind w:firstLine="1100" w:firstLineChars="500"/>
        <w:rPr>
          <w:rFonts w:ascii="宋体" w:hAnsi="宋体"/>
          <w:szCs w:val="21"/>
        </w:rPr>
      </w:pPr>
      <w:r>
        <w:rPr>
          <w:rFonts w:hint="eastAsia" w:ascii="宋体" w:hAnsi="宋体"/>
          <w:szCs w:val="21"/>
        </w:rPr>
        <w:t>□其他：</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w:t>
      </w:r>
    </w:p>
    <w:p>
      <w:pPr>
        <w:ind w:firstLine="440" w:firstLineChars="200"/>
        <w:rPr>
          <w:rFonts w:ascii="宋体" w:hAnsi="宋体"/>
          <w:szCs w:val="21"/>
        </w:rPr>
      </w:pPr>
      <w:r>
        <w:rPr>
          <w:rFonts w:hint="eastAsia" w:ascii="宋体" w:hAnsi="宋体"/>
          <w:szCs w:val="21"/>
        </w:rPr>
        <w:t>3.1.3</w:t>
      </w:r>
      <w:r>
        <w:rPr>
          <w:rFonts w:hint="eastAsia" w:ascii="宋体" w:hAnsi="宋体" w:cs="Courier New"/>
          <w:kern w:val="0"/>
          <w:szCs w:val="21"/>
        </w:rPr>
        <w:t>信誉要求：</w:t>
      </w:r>
      <w:r>
        <w:rPr>
          <w:rFonts w:hint="eastAsia" w:ascii="宋体" w:hAnsi="宋体"/>
          <w:szCs w:val="21"/>
        </w:rPr>
        <w:t>未处于财产被接管、冻结、破产状态，未处于四川省行政区域内有关行政处罚期间；</w:t>
      </w:r>
    </w:p>
    <w:p>
      <w:pPr>
        <w:ind w:firstLine="440" w:firstLineChars="200"/>
        <w:rPr>
          <w:rFonts w:ascii="宋体" w:hAnsi="宋体"/>
          <w:szCs w:val="21"/>
        </w:rPr>
      </w:pPr>
      <w:r>
        <w:rPr>
          <w:rFonts w:hint="eastAsia" w:ascii="宋体" w:hAnsi="宋体"/>
          <w:bCs/>
          <w:szCs w:val="21"/>
        </w:rPr>
        <w:t xml:space="preserve">3.1.4 </w:t>
      </w:r>
      <w:r>
        <w:rPr>
          <w:rFonts w:hint="eastAsia" w:ascii="宋体" w:hAnsi="宋体"/>
          <w:szCs w:val="21"/>
        </w:rPr>
        <w:t>财务要求：</w:t>
      </w:r>
    </w:p>
    <w:p>
      <w:pPr>
        <w:ind w:firstLine="440" w:firstLineChars="200"/>
        <w:rPr>
          <w:rFonts w:ascii="宋体" w:hAnsi="宋体" w:cs="宋体"/>
          <w:kern w:val="0"/>
          <w:szCs w:val="21"/>
        </w:rPr>
      </w:pPr>
      <w:r>
        <w:rPr>
          <w:rFonts w:hint="eastAsia" w:ascii="宋体" w:hAnsi="宋体"/>
          <w:szCs w:val="21"/>
          <w:u w:val="single"/>
        </w:rPr>
        <w:t>○</w:t>
      </w:r>
      <w:r>
        <w:rPr>
          <w:rFonts w:hint="eastAsia" w:ascii="宋体" w:hAnsi="宋体" w:cs="宋体"/>
          <w:kern w:val="0"/>
          <w:szCs w:val="21"/>
        </w:rPr>
        <w:t>不提供；</w:t>
      </w:r>
    </w:p>
    <w:p>
      <w:pPr>
        <w:ind w:firstLine="440" w:firstLineChars="200"/>
        <w:rPr>
          <w:rFonts w:ascii="宋体" w:hAnsi="宋体"/>
          <w:szCs w:val="21"/>
        </w:rPr>
      </w:pPr>
      <w:r>
        <w:rPr>
          <w:rFonts w:hint="eastAsia" w:ascii="宋体" w:hAnsi="宋体"/>
          <w:szCs w:val="21"/>
          <w:u w:val="single"/>
        </w:rPr>
        <w:t>○</w:t>
      </w:r>
      <w:r>
        <w:rPr>
          <w:rFonts w:hint="eastAsia" w:ascii="宋体" w:hAnsi="宋体"/>
          <w:szCs w:val="21"/>
        </w:rPr>
        <w:t>近3年或成立至今（成立不足3年的）无亏损。</w:t>
      </w:r>
    </w:p>
    <w:p>
      <w:pPr>
        <w:ind w:firstLine="440" w:firstLineChars="200"/>
        <w:rPr>
          <w:rFonts w:ascii="宋体" w:hAnsi="宋体"/>
          <w:bCs/>
          <w:szCs w:val="21"/>
        </w:rPr>
      </w:pPr>
      <w:r>
        <w:rPr>
          <w:rFonts w:hint="eastAsia" w:ascii="宋体" w:hAnsi="宋体"/>
          <w:szCs w:val="21"/>
        </w:rPr>
        <w:t>3.1.5类似业绩要求</w:t>
      </w:r>
    </w:p>
    <w:p>
      <w:pPr>
        <w:ind w:firstLine="440" w:firstLineChars="200"/>
        <w:rPr>
          <w:rFonts w:ascii="宋体" w:hAnsi="宋体" w:cs="Courier New"/>
          <w:kern w:val="0"/>
          <w:szCs w:val="21"/>
        </w:rPr>
      </w:pPr>
      <w:r>
        <w:rPr>
          <w:rFonts w:hint="eastAsia" w:ascii="宋体" w:hAnsi="宋体"/>
          <w:szCs w:val="21"/>
          <w:u w:val="single"/>
        </w:rPr>
        <w:t>○</w:t>
      </w:r>
      <w:r>
        <w:rPr>
          <w:rFonts w:hint="eastAsia" w:ascii="宋体" w:hAnsi="宋体" w:cs="宋体"/>
          <w:kern w:val="0"/>
          <w:szCs w:val="21"/>
        </w:rPr>
        <w:t>不提供；</w:t>
      </w:r>
    </w:p>
    <w:p>
      <w:pPr>
        <w:ind w:firstLine="440" w:firstLineChars="200"/>
        <w:rPr>
          <w:rFonts w:ascii="宋体" w:hAnsi="宋体"/>
          <w:szCs w:val="21"/>
        </w:rPr>
      </w:pPr>
      <w:r>
        <w:rPr>
          <w:rFonts w:hint="eastAsia" w:ascii="宋体" w:hAnsi="宋体"/>
          <w:szCs w:val="21"/>
        </w:rPr>
        <w:t>○</w:t>
      </w:r>
      <w:r>
        <w:rPr>
          <w:rFonts w:hint="eastAsia" w:hAnsi="宋体"/>
          <w:szCs w:val="21"/>
        </w:rPr>
        <w:t xml:space="preserve">近3年 </w:t>
      </w:r>
      <w:r>
        <w:rPr>
          <w:rFonts w:hint="eastAsia" w:ascii="宋体" w:hAnsi="宋体"/>
          <w:szCs w:val="21"/>
          <w:u w:val="single"/>
        </w:rPr>
        <w:t>□已完成□已完成或正在实施/生产或新承接</w:t>
      </w:r>
      <w:r>
        <w:rPr>
          <w:rFonts w:hint="eastAsia" w:ascii="宋体" w:hAnsi="宋体"/>
          <w:szCs w:val="21"/>
        </w:rPr>
        <w:t>的项目共不少于</w:t>
      </w:r>
      <w:r>
        <w:rPr>
          <w:rFonts w:hint="eastAsia" w:ascii="宋体" w:hAnsi="宋体"/>
          <w:szCs w:val="21"/>
          <w:u w:val="single"/>
        </w:rPr>
        <w:t xml:space="preserve">    </w:t>
      </w:r>
      <w:r>
        <w:rPr>
          <w:rFonts w:hint="eastAsia" w:ascii="宋体" w:hAnsi="宋体"/>
          <w:szCs w:val="21"/>
        </w:rPr>
        <w:t>个（1至3个）类似业绩。</w:t>
      </w:r>
    </w:p>
    <w:p>
      <w:pPr>
        <w:ind w:firstLine="440" w:firstLineChars="200"/>
        <w:rPr>
          <w:rFonts w:ascii="宋体" w:hAnsi="宋体"/>
          <w:szCs w:val="21"/>
        </w:rPr>
      </w:pPr>
      <w:r>
        <w:rPr>
          <w:rFonts w:hint="eastAsia" w:ascii="宋体" w:hAnsi="宋体"/>
          <w:szCs w:val="21"/>
        </w:rPr>
        <w:t xml:space="preserve">类似业绩是指: </w:t>
      </w:r>
      <w:r>
        <w:rPr>
          <w:rFonts w:hint="eastAsia" w:ascii="宋体" w:hAnsi="宋体"/>
          <w:szCs w:val="21"/>
          <w:u w:val="single"/>
        </w:rPr>
        <w:t xml:space="preserve">                             </w:t>
      </w:r>
      <w:r>
        <w:rPr>
          <w:rFonts w:hint="eastAsia" w:ascii="宋体" w:hAnsi="宋体"/>
          <w:szCs w:val="21"/>
        </w:rPr>
        <w:t>；</w:t>
      </w:r>
    </w:p>
    <w:p>
      <w:pPr>
        <w:ind w:firstLine="440" w:firstLineChars="200"/>
        <w:rPr>
          <w:rFonts w:ascii="宋体" w:hAnsi="宋体"/>
          <w:szCs w:val="21"/>
        </w:rPr>
      </w:pPr>
      <w:r>
        <w:rPr>
          <w:rFonts w:hint="eastAsia" w:ascii="宋体" w:hAnsi="宋体"/>
          <w:szCs w:val="21"/>
        </w:rPr>
        <w:t>3.2其他要求：</w:t>
      </w:r>
    </w:p>
    <w:p>
      <w:pPr>
        <w:ind w:firstLine="440" w:firstLineChars="200"/>
        <w:rPr>
          <w:rFonts w:ascii="仿宋_GB2312" w:hAnsi="宋体" w:eastAsia="仿宋_GB2312"/>
          <w:szCs w:val="21"/>
        </w:rPr>
      </w:pPr>
      <w:r>
        <w:rPr>
          <w:rFonts w:hint="eastAsia" w:ascii="宋体" w:hAnsi="宋体"/>
          <w:szCs w:val="21"/>
        </w:rPr>
        <w:t>3.2.1</w:t>
      </w:r>
      <w:r>
        <w:rPr>
          <w:rFonts w:hint="eastAsia" w:ascii="宋体" w:hAnsi="宋体" w:cs="Arial"/>
          <w:kern w:val="0"/>
          <w:szCs w:val="21"/>
          <w:lang w:val="zh-CN"/>
        </w:rPr>
        <w:t>本次招标</w:t>
      </w:r>
      <w:r>
        <w:rPr>
          <w:rFonts w:hint="eastAsia" w:ascii="宋体" w:hAnsi="宋体" w:cs="宋体"/>
          <w:kern w:val="0"/>
          <w:szCs w:val="21"/>
        </w:rPr>
        <w:t>○</w:t>
      </w:r>
      <w:r>
        <w:rPr>
          <w:rFonts w:hint="eastAsia" w:ascii="宋体" w:hAnsi="宋体" w:cs="Arial"/>
          <w:szCs w:val="21"/>
        </w:rPr>
        <w:t>接受</w:t>
      </w:r>
      <w:r>
        <w:rPr>
          <w:rFonts w:hint="eastAsia" w:ascii="宋体" w:hAnsi="宋体" w:cs="宋体"/>
          <w:kern w:val="0"/>
          <w:szCs w:val="21"/>
        </w:rPr>
        <w:t>○</w:t>
      </w:r>
      <w:r>
        <w:rPr>
          <w:rFonts w:hint="eastAsia" w:ascii="宋体" w:hAnsi="宋体" w:cs="Arial"/>
          <w:szCs w:val="21"/>
        </w:rPr>
        <w:t>不接受</w:t>
      </w:r>
      <w:r>
        <w:rPr>
          <w:rFonts w:ascii="宋体" w:hAnsi="宋体"/>
          <w:szCs w:val="21"/>
        </w:rPr>
        <w:t>代理商投标</w:t>
      </w:r>
      <w:r>
        <w:rPr>
          <w:rFonts w:hint="eastAsia" w:ascii="宋体" w:hAnsi="宋体"/>
          <w:szCs w:val="21"/>
        </w:rPr>
        <w:t>，如接受代理商投标，</w:t>
      </w:r>
      <w:r>
        <w:rPr>
          <w:rFonts w:hint="eastAsia" w:ascii="宋体" w:hAnsi="宋体"/>
          <w:szCs w:val="21"/>
          <w:u w:val="single"/>
        </w:rPr>
        <w:t xml:space="preserve">              </w:t>
      </w:r>
      <w:r>
        <w:rPr>
          <w:rFonts w:hint="eastAsia" w:ascii="宋体" w:hAnsi="宋体"/>
          <w:szCs w:val="21"/>
        </w:rPr>
        <w:t>；</w:t>
      </w:r>
      <w:r>
        <w:rPr>
          <w:rFonts w:hint="eastAsia" w:ascii="仿宋_GB2312" w:hAnsi="宋体" w:eastAsia="仿宋_GB2312"/>
          <w:szCs w:val="21"/>
        </w:rPr>
        <w:t>（注：一个制造商对同一品牌同一型号的货物，仅能委托一个代理商参加投标）</w:t>
      </w:r>
    </w:p>
    <w:p>
      <w:pPr>
        <w:ind w:firstLine="440" w:firstLineChars="200"/>
        <w:rPr>
          <w:rFonts w:ascii="宋体" w:hAnsi="宋体" w:cs="Arial"/>
          <w:kern w:val="0"/>
          <w:szCs w:val="21"/>
          <w:lang w:val="zh-CN"/>
        </w:rPr>
      </w:pPr>
      <w:r>
        <w:rPr>
          <w:rFonts w:hint="eastAsia" w:ascii="宋体" w:hAnsi="宋体" w:cs="Arial"/>
          <w:kern w:val="0"/>
          <w:szCs w:val="21"/>
          <w:lang w:val="zh-CN"/>
        </w:rPr>
        <w:t>3.</w:t>
      </w:r>
      <w:r>
        <w:rPr>
          <w:rFonts w:hint="eastAsia" w:ascii="宋体" w:hAnsi="宋体" w:cs="Arial"/>
          <w:kern w:val="0"/>
          <w:szCs w:val="21"/>
        </w:rPr>
        <w:t>2</w:t>
      </w:r>
      <w:r>
        <w:rPr>
          <w:rFonts w:hint="eastAsia" w:ascii="宋体" w:hAnsi="宋体" w:cs="Arial"/>
          <w:kern w:val="0"/>
          <w:szCs w:val="21"/>
          <w:lang w:val="zh-CN"/>
        </w:rPr>
        <w:t>本次招标</w:t>
      </w:r>
      <w:r>
        <w:rPr>
          <w:rFonts w:hint="eastAsia" w:ascii="宋体" w:hAnsi="宋体" w:cs="宋体"/>
          <w:kern w:val="0"/>
          <w:szCs w:val="21"/>
        </w:rPr>
        <w:t>○</w:t>
      </w:r>
      <w:r>
        <w:rPr>
          <w:rFonts w:hint="eastAsia" w:ascii="宋体" w:hAnsi="宋体" w:cs="Arial"/>
          <w:szCs w:val="21"/>
        </w:rPr>
        <w:t>接受</w:t>
      </w:r>
      <w:r>
        <w:rPr>
          <w:rFonts w:hint="eastAsia" w:ascii="宋体" w:hAnsi="宋体" w:cs="宋体"/>
          <w:kern w:val="0"/>
          <w:szCs w:val="21"/>
        </w:rPr>
        <w:t>○</w:t>
      </w:r>
      <w:r>
        <w:rPr>
          <w:rFonts w:hint="eastAsia" w:ascii="宋体" w:hAnsi="宋体" w:cs="Arial"/>
          <w:szCs w:val="21"/>
        </w:rPr>
        <w:t>不接受</w:t>
      </w:r>
      <w:r>
        <w:rPr>
          <w:rFonts w:hint="eastAsia" w:ascii="宋体" w:hAnsi="宋体" w:cs="Arial"/>
          <w:kern w:val="0"/>
          <w:szCs w:val="21"/>
          <w:lang w:val="zh-CN"/>
        </w:rPr>
        <w:t>联合体投标。</w:t>
      </w:r>
    </w:p>
    <w:p>
      <w:pPr>
        <w:ind w:firstLine="431" w:firstLineChars="196"/>
        <w:rPr>
          <w:szCs w:val="21"/>
        </w:rPr>
      </w:pPr>
      <w:r>
        <w:rPr>
          <w:rFonts w:hint="eastAsia" w:ascii="宋体" w:hAnsi="宋体" w:cs="宋体"/>
          <w:kern w:val="0"/>
          <w:szCs w:val="21"/>
        </w:rPr>
        <w:t>□</w:t>
      </w:r>
      <w:r>
        <w:rPr>
          <w:rFonts w:hint="eastAsia" w:ascii="宋体" w:hAnsi="宋体" w:cs="Arial"/>
          <w:szCs w:val="21"/>
        </w:rPr>
        <w:t>联合体投标的，应满足下列要求：</w:t>
      </w:r>
      <w:r>
        <w:rPr>
          <w:rFonts w:hint="eastAsia"/>
          <w:szCs w:val="21"/>
        </w:rPr>
        <w:t>须具有</w:t>
      </w:r>
      <w:r>
        <w:rPr>
          <w:szCs w:val="21"/>
          <w:u w:val="single"/>
        </w:rPr>
        <w:t xml:space="preserve">         </w:t>
      </w:r>
      <w:r>
        <w:rPr>
          <w:rFonts w:hint="eastAsia"/>
          <w:szCs w:val="21"/>
        </w:rPr>
        <w:t>资格条件的单位作为联合体牵头人。</w:t>
      </w:r>
      <w:r>
        <w:rPr>
          <w:rFonts w:hint="eastAsia" w:ascii="宋体" w:hAnsi="宋体"/>
          <w:szCs w:val="21"/>
        </w:rPr>
        <w:t>联合体成员</w:t>
      </w:r>
      <w:r>
        <w:rPr>
          <w:rFonts w:hint="eastAsia" w:ascii="宋体" w:hAnsi="宋体" w:cs="Arial"/>
          <w:szCs w:val="21"/>
        </w:rPr>
        <w:t>（含联合体牵头人）</w:t>
      </w:r>
      <w:r>
        <w:rPr>
          <w:rFonts w:hint="eastAsia" w:ascii="宋体" w:hAnsi="宋体"/>
          <w:szCs w:val="21"/>
        </w:rPr>
        <w:t>家数须不超过</w:t>
      </w:r>
      <w:r>
        <w:rPr>
          <w:rFonts w:ascii="宋体" w:hAnsi="宋体"/>
          <w:szCs w:val="21"/>
          <w:u w:val="single"/>
        </w:rPr>
        <w:t xml:space="preserve">   </w:t>
      </w:r>
      <w:r>
        <w:rPr>
          <w:rFonts w:hint="eastAsia" w:ascii="宋体" w:hAnsi="宋体"/>
          <w:szCs w:val="21"/>
        </w:rPr>
        <w:t>家。联合体需符合有关联合体投标的规定和要求，并提交了联合体协议，明确联合体牵头人和各方权利义务。</w:t>
      </w:r>
    </w:p>
    <w:p>
      <w:pPr>
        <w:ind w:firstLine="440" w:firstLineChars="200"/>
        <w:rPr>
          <w:rFonts w:ascii="宋体" w:hAnsi="宋体"/>
          <w:szCs w:val="21"/>
        </w:rPr>
      </w:pPr>
      <w:r>
        <w:rPr>
          <w:rFonts w:hint="eastAsia" w:ascii="宋体" w:hAnsi="宋体"/>
          <w:szCs w:val="21"/>
        </w:rPr>
        <w:t>3.3 各投标人均可就上述</w:t>
      </w:r>
      <w:r>
        <w:rPr>
          <w:rFonts w:hint="eastAsia" w:ascii="宋体" w:hAnsi="宋体"/>
          <w:szCs w:val="21"/>
          <w:u w:val="single"/>
        </w:rPr>
        <w:t xml:space="preserve">    </w:t>
      </w:r>
      <w:r>
        <w:rPr>
          <w:rFonts w:hint="eastAsia" w:ascii="宋体" w:hAnsi="宋体"/>
          <w:szCs w:val="21"/>
        </w:rPr>
        <w:t>（具体数量）个标段投标，可中标的标段数量为</w:t>
      </w:r>
      <w:r>
        <w:rPr>
          <w:rFonts w:hint="eastAsia" w:ascii="宋体" w:hAnsi="宋体"/>
          <w:szCs w:val="21"/>
          <w:u w:val="single"/>
        </w:rPr>
        <w:t xml:space="preserve">   </w:t>
      </w:r>
      <w:r>
        <w:rPr>
          <w:rFonts w:hint="eastAsia" w:ascii="宋体" w:hAnsi="宋体"/>
          <w:szCs w:val="21"/>
        </w:rPr>
        <w:t>（具体数量）个。</w:t>
      </w:r>
    </w:p>
    <w:p>
      <w:pPr>
        <w:ind w:left="18" w:leftChars="8" w:firstLine="435"/>
        <w:rPr>
          <w:rFonts w:ascii="宋体" w:hAnsi="宋体"/>
          <w:szCs w:val="21"/>
        </w:rPr>
      </w:pPr>
      <w:r>
        <w:rPr>
          <w:rFonts w:hint="eastAsia" w:ascii="宋体" w:hAnsi="宋体"/>
          <w:szCs w:val="21"/>
        </w:rPr>
        <w:t>□如投标人同时在两个及两个以上标段中排名第一时，选择中标标段的原则为：</w:t>
      </w:r>
      <w:r>
        <w:rPr>
          <w:rFonts w:ascii="宋体" w:hAnsi="宋体"/>
          <w:szCs w:val="21"/>
        </w:rPr>
        <w:t xml:space="preserve"> </w:t>
      </w:r>
      <w:r>
        <w:rPr>
          <w:rFonts w:ascii="宋体" w:hAnsi="宋体"/>
          <w:szCs w:val="21"/>
          <w:u w:val="single"/>
        </w:rPr>
        <w:t xml:space="preserve">                                       </w:t>
      </w:r>
      <w:r>
        <w:rPr>
          <w:rFonts w:hint="eastAsia" w:ascii="宋体" w:hAnsi="宋体" w:cs="Arial"/>
          <w:szCs w:val="21"/>
        </w:rPr>
        <w:t>。</w:t>
      </w:r>
    </w:p>
    <w:p>
      <w:pPr>
        <w:widowControl/>
        <w:rPr>
          <w:rFonts w:ascii="宋体" w:hAnsi="宋体" w:cs="Arial"/>
          <w:kern w:val="0"/>
          <w:szCs w:val="21"/>
        </w:rPr>
      </w:pPr>
      <w:r>
        <w:rPr>
          <w:rFonts w:hint="eastAsia" w:ascii="宋体" w:hAnsi="宋体" w:cs="Arial"/>
          <w:b/>
          <w:kern w:val="0"/>
          <w:szCs w:val="21"/>
        </w:rPr>
        <w:t>4．招标文件的获取</w:t>
      </w:r>
    </w:p>
    <w:p>
      <w:pPr>
        <w:ind w:firstLine="330" w:firstLineChars="150"/>
        <w:rPr>
          <w:rFonts w:ascii="宋体" w:hAnsi="宋体" w:cs="Arial"/>
          <w:kern w:val="0"/>
          <w:szCs w:val="21"/>
        </w:rPr>
      </w:pPr>
      <w:r>
        <w:rPr>
          <w:rFonts w:ascii="宋体" w:hAnsi="宋体"/>
          <w:szCs w:val="21"/>
        </w:rPr>
        <w:t>4.1</w:t>
      </w:r>
      <w:r>
        <w:rPr>
          <w:rFonts w:hint="eastAsia" w:ascii="宋体" w:hAnsi="宋体" w:cs="宋体"/>
          <w:szCs w:val="21"/>
        </w:rPr>
        <w:t>凡有意参加投标者，请于</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日起，使用CA数字证书在成都市公共资源电子交易云平台(www.cdggzy.com）（以下简称“电子交易云平台”）免费下载招标资料（招标文件及相关资料），获得“拟投标项目回执”。</w:t>
      </w:r>
      <w:r>
        <w:rPr>
          <w:rFonts w:hint="eastAsia" w:ascii="宋体" w:hAnsi="宋体" w:cs="Arial"/>
          <w:szCs w:val="21"/>
        </w:rPr>
        <w:t>4.2</w:t>
      </w:r>
      <w:r>
        <w:rPr>
          <w:rFonts w:hint="eastAsia" w:ascii="宋体" w:hAnsi="宋体" w:cs="Arial"/>
          <w:kern w:val="0"/>
          <w:szCs w:val="21"/>
        </w:rPr>
        <w:t>招标人</w:t>
      </w:r>
      <w:r>
        <w:rPr>
          <w:rFonts w:ascii="宋体" w:hAnsi="宋体" w:cs="Arial"/>
          <w:kern w:val="0"/>
          <w:szCs w:val="21"/>
          <w:u w:val="single"/>
        </w:rPr>
        <w:t>不提供</w:t>
      </w:r>
      <w:r>
        <w:rPr>
          <w:rFonts w:hint="eastAsia" w:ascii="宋体" w:hAnsi="宋体" w:cs="Arial"/>
          <w:kern w:val="0"/>
          <w:szCs w:val="21"/>
          <w:u w:val="single"/>
        </w:rPr>
        <w:t xml:space="preserve"> </w:t>
      </w:r>
      <w:r>
        <w:rPr>
          <w:rFonts w:hint="eastAsia" w:ascii="宋体" w:hAnsi="宋体" w:cs="Arial"/>
          <w:kern w:val="0"/>
          <w:szCs w:val="21"/>
        </w:rPr>
        <w:t>邮购招标文件服务。</w:t>
      </w:r>
    </w:p>
    <w:p>
      <w:pPr>
        <w:widowControl/>
        <w:ind w:firstLine="442" w:firstLineChars="200"/>
        <w:rPr>
          <w:rFonts w:ascii="宋体" w:hAnsi="宋体" w:cs="Arial"/>
          <w:kern w:val="0"/>
          <w:szCs w:val="21"/>
        </w:rPr>
      </w:pPr>
      <w:r>
        <w:rPr>
          <w:rFonts w:hint="eastAsia" w:ascii="宋体" w:hAnsi="宋体" w:cs="Arial"/>
          <w:b/>
          <w:kern w:val="0"/>
          <w:szCs w:val="21"/>
        </w:rPr>
        <w:t>5．投标文件的递交</w:t>
      </w:r>
    </w:p>
    <w:p>
      <w:pPr>
        <w:spacing w:before="201"/>
        <w:ind w:firstLine="444" w:firstLineChars="202"/>
        <w:rPr>
          <w:rFonts w:ascii="宋体" w:hAnsi="宋体" w:cs="宋体"/>
          <w:spacing w:val="-37"/>
          <w:szCs w:val="21"/>
        </w:rPr>
      </w:pPr>
      <w:r>
        <w:rPr>
          <w:rFonts w:hint="eastAsia" w:ascii="宋体" w:hAnsi="宋体"/>
          <w:szCs w:val="21"/>
        </w:rPr>
        <w:t>○（现场开标）</w:t>
      </w:r>
      <w:r>
        <w:rPr>
          <w:rFonts w:ascii="宋体" w:hAnsi="宋体" w:cs="宋体"/>
          <w:szCs w:val="21"/>
        </w:rPr>
        <w:t>5.1 投标文件递交的截止时间（投标截止时间，下同）为</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r>
        <w:rPr>
          <w:rFonts w:ascii="宋体" w:hAnsi="宋体" w:cs="宋体"/>
          <w:szCs w:val="21"/>
        </w:rPr>
        <w:t>，地点为</w:t>
      </w:r>
      <w:r>
        <w:rPr>
          <w:rFonts w:hint="eastAsia" w:ascii="宋体" w:hAnsi="宋体"/>
          <w:szCs w:val="21"/>
        </w:rPr>
        <w:t>○</w:t>
      </w:r>
      <w:r>
        <w:rPr>
          <w:rFonts w:ascii="宋体" w:hAnsi="宋体" w:cs="宋体"/>
          <w:szCs w:val="21"/>
          <w:u w:val="single" w:color="000000"/>
        </w:rPr>
        <w:t>成都市公共资源交易服务中心本项目开标室（成都市天府大道北段</w:t>
      </w:r>
      <w:r>
        <w:rPr>
          <w:rFonts w:ascii="宋体" w:hAnsi="宋体" w:cs="宋体"/>
          <w:spacing w:val="-29"/>
          <w:szCs w:val="21"/>
          <w:u w:val="single" w:color="000000"/>
        </w:rPr>
        <w:t xml:space="preserve"> </w:t>
      </w:r>
      <w:r>
        <w:rPr>
          <w:rFonts w:ascii="宋体" w:hAnsi="宋体" w:cs="宋体"/>
          <w:szCs w:val="21"/>
          <w:u w:val="single" w:color="000000"/>
        </w:rPr>
        <w:t>966</w:t>
      </w:r>
      <w:r>
        <w:rPr>
          <w:rFonts w:ascii="宋体" w:hAnsi="宋体" w:cs="宋体"/>
          <w:spacing w:val="-29"/>
          <w:szCs w:val="21"/>
          <w:u w:val="single" w:color="000000"/>
        </w:rPr>
        <w:t xml:space="preserve"> </w:t>
      </w:r>
      <w:r>
        <w:rPr>
          <w:rFonts w:ascii="宋体" w:hAnsi="宋体" w:cs="宋体"/>
          <w:szCs w:val="21"/>
          <w:u w:val="single" w:color="000000"/>
        </w:rPr>
        <w:t>号天府国际金融中心</w:t>
      </w:r>
      <w:r>
        <w:rPr>
          <w:rFonts w:ascii="宋体" w:hAnsi="宋体" w:cs="宋体"/>
          <w:spacing w:val="-26"/>
          <w:szCs w:val="21"/>
          <w:u w:val="single" w:color="000000"/>
        </w:rPr>
        <w:t xml:space="preserve"> </w:t>
      </w:r>
      <w:r>
        <w:rPr>
          <w:rFonts w:ascii="宋体" w:hAnsi="宋体" w:cs="宋体"/>
          <w:szCs w:val="21"/>
          <w:u w:val="single" w:color="000000"/>
        </w:rPr>
        <w:t>7</w:t>
      </w:r>
      <w:r>
        <w:rPr>
          <w:rFonts w:ascii="宋体" w:hAnsi="宋体" w:cs="宋体"/>
          <w:spacing w:val="-31"/>
          <w:szCs w:val="21"/>
          <w:u w:val="single" w:color="000000"/>
        </w:rPr>
        <w:t xml:space="preserve"> </w:t>
      </w:r>
      <w:r>
        <w:rPr>
          <w:rFonts w:ascii="宋体" w:hAnsi="宋体" w:cs="宋体"/>
          <w:szCs w:val="21"/>
          <w:u w:val="single" w:color="000000"/>
        </w:rPr>
        <w:t>号</w:t>
      </w:r>
      <w:r>
        <w:rPr>
          <w:rFonts w:ascii="宋体" w:hAnsi="宋体" w:cs="宋体"/>
          <w:spacing w:val="-37"/>
          <w:szCs w:val="21"/>
          <w:u w:val="single" w:color="000000"/>
        </w:rPr>
        <w:t>楼）</w:t>
      </w:r>
      <w:r>
        <w:rPr>
          <w:rFonts w:ascii="宋体" w:hAnsi="宋体" w:cs="宋体"/>
          <w:spacing w:val="-37"/>
          <w:szCs w:val="21"/>
        </w:rPr>
        <w:t>。</w:t>
      </w:r>
      <w:r>
        <w:rPr>
          <w:rFonts w:hint="eastAsia" w:ascii="宋体" w:hAnsi="宋体"/>
          <w:szCs w:val="21"/>
        </w:rPr>
        <w:t>○</w:t>
      </w:r>
      <w:r>
        <w:rPr>
          <w:rFonts w:hint="eastAsia" w:ascii="宋体" w:hAnsi="宋体" w:cs="宋体"/>
          <w:szCs w:val="21"/>
        </w:rPr>
        <w:t>分中心</w:t>
      </w:r>
      <w:r>
        <w:rPr>
          <w:rFonts w:hint="eastAsia" w:ascii="宋体" w:hAnsi="宋体" w:cs="宋体"/>
          <w:szCs w:val="21"/>
          <w:u w:val="single"/>
        </w:rPr>
        <w:t xml:space="preserve">                           </w:t>
      </w:r>
      <w:r>
        <w:rPr>
          <w:rFonts w:hint="eastAsia" w:ascii="宋体" w:hAnsi="宋体" w:cs="宋体"/>
          <w:szCs w:val="21"/>
        </w:rPr>
        <w:t>。</w:t>
      </w:r>
    </w:p>
    <w:p>
      <w:pPr>
        <w:ind w:firstLine="416"/>
        <w:rPr>
          <w:rFonts w:ascii="宋体" w:hAnsi="宋体"/>
        </w:rPr>
      </w:pPr>
      <w:r>
        <w:rPr>
          <w:rFonts w:hint="eastAsia" w:ascii="宋体" w:hAnsi="宋体"/>
        </w:rPr>
        <w:t>5</w:t>
      </w:r>
      <w:r>
        <w:rPr>
          <w:rFonts w:ascii="宋体" w:hAnsi="宋体"/>
        </w:rPr>
        <w:t>.2</w:t>
      </w:r>
      <w:r>
        <w:rPr>
          <w:rFonts w:hint="eastAsia" w:ascii="宋体" w:hAnsi="宋体"/>
        </w:rPr>
        <w:t>投标人应通过互联网使用</w:t>
      </w:r>
      <w:r>
        <w:rPr>
          <w:rFonts w:ascii="宋体" w:hAnsi="宋体"/>
        </w:rPr>
        <w:t>CA</w:t>
      </w:r>
      <w:r>
        <w:rPr>
          <w:rFonts w:hint="eastAsia" w:ascii="宋体" w:hAnsi="宋体"/>
        </w:rPr>
        <w:t>数字证书登录成都市公共资源交易云平台（</w:t>
      </w:r>
      <w:r>
        <w:rPr>
          <w:rFonts w:ascii="宋体" w:hAnsi="宋体"/>
        </w:rPr>
        <w:t>www.cdggzy.com</w:t>
      </w:r>
      <w:r>
        <w:rPr>
          <w:rFonts w:hint="eastAsia" w:ascii="宋体" w:hAnsi="宋体"/>
        </w:rPr>
        <w:t>），将加密的投标文件上传至对应项目，并保存系统返回的上传成功回执。</w:t>
      </w:r>
    </w:p>
    <w:p>
      <w:pPr>
        <w:ind w:firstLine="440" w:firstLineChars="200"/>
        <w:rPr>
          <w:rFonts w:ascii="宋体" w:hAnsi="宋体"/>
          <w:szCs w:val="21"/>
        </w:rPr>
      </w:pPr>
      <w:r>
        <w:rPr>
          <w:rFonts w:hint="eastAsia" w:ascii="宋体" w:hAnsi="宋体"/>
          <w:szCs w:val="21"/>
        </w:rPr>
        <w:t>○（不见面开标）</w:t>
      </w:r>
      <w:r>
        <w:rPr>
          <w:rFonts w:ascii="宋体" w:hAnsi="宋体"/>
          <w:szCs w:val="21"/>
        </w:rPr>
        <w:t>5.</w:t>
      </w:r>
      <w:r>
        <w:rPr>
          <w:rFonts w:hint="eastAsia" w:ascii="宋体" w:hAnsi="宋体"/>
          <w:szCs w:val="21"/>
        </w:rPr>
        <w:t>1</w:t>
      </w:r>
      <w:r>
        <w:rPr>
          <w:rFonts w:ascii="宋体" w:hAnsi="宋体"/>
          <w:szCs w:val="21"/>
        </w:rPr>
        <w:t xml:space="preserve"> </w:t>
      </w:r>
      <w:r>
        <w:rPr>
          <w:rFonts w:hint="eastAsia" w:ascii="宋体" w:hAnsi="宋体"/>
          <w:szCs w:val="21"/>
        </w:rPr>
        <w:t>投标文件递交的截止时间（投标截止时间，下同）为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分，招标人或其委托代理机构，以及已在投标截止时间前按规定上传投标文件的投标人，均应在开标当日投标截止时间前登录不见面开标系统（网址：</w:t>
      </w:r>
      <w:r>
        <w:rPr>
          <w:rFonts w:ascii="宋体" w:hAnsi="宋体"/>
          <w:szCs w:val="21"/>
        </w:rPr>
        <w:t>www.cdggzy.com</w:t>
      </w:r>
      <w:r>
        <w:rPr>
          <w:rFonts w:hint="eastAsia" w:ascii="宋体" w:hAnsi="宋体"/>
          <w:szCs w:val="21"/>
        </w:rPr>
        <w:t>），录入相关人员姓名、电话等基本信息。投标人未按时登录不见面开标系统，错过开标解密时间的，由投标人自行承担不利后果。</w:t>
      </w:r>
    </w:p>
    <w:p>
      <w:pPr>
        <w:ind w:firstLine="416"/>
        <w:rPr>
          <w:rFonts w:ascii="宋体" w:hAnsi="宋体"/>
        </w:rPr>
      </w:pPr>
      <w:r>
        <w:rPr>
          <w:rFonts w:ascii="宋体" w:hAnsi="宋体"/>
          <w:szCs w:val="21"/>
        </w:rPr>
        <w:t xml:space="preserve">5.2 </w:t>
      </w:r>
      <w:r>
        <w:rPr>
          <w:rFonts w:hint="eastAsia" w:ascii="宋体" w:hAnsi="宋体"/>
          <w:szCs w:val="21"/>
        </w:rPr>
        <w:t>投标人应在解密开始后3</w:t>
      </w:r>
      <w:r>
        <w:rPr>
          <w:rFonts w:ascii="宋体" w:hAnsi="宋体"/>
          <w:szCs w:val="21"/>
        </w:rPr>
        <w:t>0</w:t>
      </w:r>
      <w:r>
        <w:rPr>
          <w:rFonts w:hint="eastAsia" w:ascii="宋体" w:hAnsi="宋体"/>
          <w:szCs w:val="21"/>
        </w:rPr>
        <w:t>分钟内在线完成投标文件解密。投标文件未能在规定时间内成功解密的，视为投标人未在规定时间内提交投标文件，由投标人自行承担责任。不见面开标项目不接受投标人现场递交光盘等形式的投标文件，不接受投标人现场解密投标文件。</w:t>
      </w:r>
    </w:p>
    <w:p>
      <w:pPr>
        <w:ind w:firstLine="440" w:firstLineChars="200"/>
        <w:rPr>
          <w:rFonts w:ascii="宋体" w:hAnsi="宋体"/>
          <w:szCs w:val="21"/>
        </w:rPr>
      </w:pPr>
      <w:r>
        <w:rPr>
          <w:rFonts w:hint="eastAsia" w:ascii="宋体" w:hAnsi="宋体"/>
        </w:rPr>
        <w:t>5</w:t>
      </w:r>
      <w:r>
        <w:rPr>
          <w:rFonts w:ascii="宋体" w:hAnsi="宋体"/>
        </w:rPr>
        <w:t>.</w:t>
      </w:r>
      <w:r>
        <w:rPr>
          <w:rFonts w:hint="eastAsia" w:ascii="宋体" w:hAnsi="宋体"/>
        </w:rPr>
        <w:t>3</w:t>
      </w:r>
      <w:r>
        <w:rPr>
          <w:rFonts w:ascii="宋体" w:hAnsi="宋体"/>
        </w:rPr>
        <w:t xml:space="preserve"> </w:t>
      </w:r>
      <w:r>
        <w:rPr>
          <w:rFonts w:hint="eastAsia" w:ascii="宋体" w:hAnsi="宋体"/>
        </w:rPr>
        <w:t>投标人应充分考虑上传文件的不可预见因素，未在投标截止时间前完成上传的，在投标截止时间后将无法上传。</w:t>
      </w:r>
    </w:p>
    <w:p>
      <w:pPr>
        <w:widowControl/>
        <w:rPr>
          <w:rFonts w:ascii="宋体" w:hAnsi="宋体"/>
          <w:b/>
          <w:szCs w:val="21"/>
        </w:rPr>
      </w:pPr>
      <w:r>
        <w:rPr>
          <w:rFonts w:hint="eastAsia" w:ascii="宋体" w:hAnsi="宋体" w:cs="Arial"/>
          <w:b/>
          <w:kern w:val="0"/>
          <w:szCs w:val="21"/>
        </w:rPr>
        <w:t>6．</w:t>
      </w:r>
      <w:r>
        <w:rPr>
          <w:rFonts w:hint="eastAsia" w:ascii="宋体" w:hAnsi="宋体"/>
          <w:b/>
          <w:szCs w:val="21"/>
        </w:rPr>
        <w:t>联系方式</w:t>
      </w:r>
    </w:p>
    <w:p>
      <w:pPr>
        <w:topLinePunct/>
        <w:spacing w:line="400" w:lineRule="exact"/>
        <w:ind w:firstLine="440" w:firstLineChars="200"/>
        <w:rPr>
          <w:rFonts w:ascii="宋体" w:hAnsi="宋体"/>
          <w:szCs w:val="21"/>
        </w:rPr>
      </w:pPr>
      <w:r>
        <w:rPr>
          <w:rFonts w:ascii="宋体" w:hAnsi="宋体"/>
          <w:szCs w:val="21"/>
        </w:rPr>
        <w:t>招 标 人：</w:t>
      </w:r>
      <w:r>
        <w:rPr>
          <w:rFonts w:ascii="宋体" w:hAnsi="宋体"/>
          <w:szCs w:val="21"/>
          <w:u w:val="single"/>
        </w:rPr>
        <w:t xml:space="preserve">                         </w:t>
      </w:r>
      <w:r>
        <w:rPr>
          <w:rFonts w:ascii="宋体" w:hAnsi="宋体"/>
          <w:szCs w:val="21"/>
        </w:rPr>
        <w:t xml:space="preserve">         招标代理机构：</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地    址：</w:t>
      </w:r>
      <w:r>
        <w:rPr>
          <w:rFonts w:ascii="宋体" w:hAnsi="宋体"/>
          <w:szCs w:val="21"/>
          <w:u w:val="single"/>
        </w:rPr>
        <w:t xml:space="preserve">                         </w:t>
      </w:r>
      <w:r>
        <w:rPr>
          <w:rFonts w:ascii="宋体" w:hAnsi="宋体"/>
          <w:szCs w:val="21"/>
        </w:rPr>
        <w:t xml:space="preserve">  </w:t>
      </w:r>
      <w:r>
        <w:rPr>
          <w:rFonts w:ascii="宋体" w:hAnsi="宋体"/>
          <w:szCs w:val="21"/>
        </w:rPr>
        <w:tab/>
      </w:r>
      <w:r>
        <w:rPr>
          <w:rFonts w:ascii="宋体" w:hAnsi="宋体"/>
          <w:szCs w:val="21"/>
        </w:rPr>
        <w:t xml:space="preserve">    地    址：</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邮    编：</w:t>
      </w:r>
      <w:r>
        <w:rPr>
          <w:rFonts w:ascii="宋体" w:hAnsi="宋体"/>
          <w:szCs w:val="21"/>
          <w:u w:val="single"/>
        </w:rPr>
        <w:t xml:space="preserve">                         </w:t>
      </w:r>
      <w:r>
        <w:rPr>
          <w:rFonts w:ascii="宋体" w:hAnsi="宋体"/>
          <w:szCs w:val="21"/>
        </w:rPr>
        <w:t xml:space="preserve">         邮    编：</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联 系 人：</w:t>
      </w:r>
      <w:r>
        <w:rPr>
          <w:rFonts w:ascii="宋体" w:hAnsi="宋体"/>
          <w:szCs w:val="21"/>
          <w:u w:val="single"/>
        </w:rPr>
        <w:t xml:space="preserve">                         </w:t>
      </w:r>
      <w:r>
        <w:rPr>
          <w:rFonts w:ascii="宋体" w:hAnsi="宋体"/>
          <w:szCs w:val="21"/>
        </w:rPr>
        <w:t xml:space="preserve">         联 系 人：</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电    话：</w:t>
      </w:r>
      <w:r>
        <w:rPr>
          <w:rFonts w:ascii="宋体" w:hAnsi="宋体"/>
          <w:szCs w:val="21"/>
          <w:u w:val="single"/>
        </w:rPr>
        <w:t xml:space="preserve">                         </w:t>
      </w:r>
      <w:r>
        <w:rPr>
          <w:rFonts w:ascii="宋体" w:hAnsi="宋体"/>
          <w:szCs w:val="21"/>
        </w:rPr>
        <w:t xml:space="preserve">         电    话：</w:t>
      </w:r>
      <w:r>
        <w:rPr>
          <w:rFonts w:ascii="宋体" w:hAnsi="宋体"/>
          <w:szCs w:val="21"/>
          <w:u w:val="single"/>
        </w:rPr>
        <w:t xml:space="preserve">                       </w:t>
      </w:r>
    </w:p>
    <w:p>
      <w:pPr>
        <w:spacing w:line="400" w:lineRule="exact"/>
        <w:rPr>
          <w:rFonts w:ascii="宋体" w:hAnsi="宋体"/>
          <w:szCs w:val="21"/>
        </w:rPr>
      </w:pPr>
    </w:p>
    <w:p>
      <w:pPr>
        <w:spacing w:line="400" w:lineRule="exact"/>
        <w:jc w:val="right"/>
        <w:rPr>
          <w:rFonts w:ascii="宋体" w:hAnsi="宋体"/>
          <w:szCs w:val="21"/>
        </w:rPr>
      </w:pPr>
      <w:bookmarkStart w:id="54" w:name="_GoBack"/>
      <w:bookmarkEnd w:id="54"/>
    </w:p>
    <w:p>
      <w:pPr>
        <w:rPr>
          <w:rFonts w:ascii="仿宋_GB2312" w:hAnsi="宋体" w:eastAsia="仿宋_GB2312"/>
          <w:szCs w:val="21"/>
        </w:rPr>
      </w:pPr>
      <w:r>
        <w:rPr>
          <w:rFonts w:hint="eastAsia" w:ascii="仿宋_GB2312" w:hAnsi="宋体" w:eastAsia="仿宋_GB2312"/>
          <w:szCs w:val="21"/>
        </w:rPr>
        <w:t>注：</w:t>
      </w:r>
    </w:p>
    <w:p>
      <w:pPr>
        <w:ind w:firstLine="440" w:firstLineChars="200"/>
        <w:rPr>
          <w:rFonts w:ascii="仿宋_GB2312" w:hAnsi="宋体" w:eastAsia="仿宋_GB2312"/>
          <w:szCs w:val="21"/>
        </w:rPr>
      </w:pPr>
      <w:r>
        <w:rPr>
          <w:rFonts w:hint="eastAsia" w:ascii="仿宋_GB2312" w:hAnsi="宋体" w:eastAsia="仿宋_GB2312"/>
          <w:szCs w:val="21"/>
        </w:rPr>
        <w:t>（1）项目名称、工程名称(清单)约定为项目审批名称（以立项批复或可行性研究报告批复为准）。</w:t>
      </w:r>
    </w:p>
    <w:p>
      <w:pPr>
        <w:ind w:firstLine="405"/>
        <w:rPr>
          <w:rFonts w:ascii="仿宋_GB2312" w:hAnsi="宋体" w:eastAsia="仿宋_GB2312"/>
          <w:szCs w:val="21"/>
        </w:rPr>
      </w:pPr>
      <w:r>
        <w:rPr>
          <w:rFonts w:hint="eastAsia" w:ascii="仿宋_GB2312" w:hAnsi="宋体" w:eastAsia="仿宋_GB2312"/>
          <w:szCs w:val="21"/>
        </w:rPr>
        <w:t>（2）如未划分标段，“</w:t>
      </w:r>
      <w:r>
        <w:rPr>
          <w:rFonts w:hint="eastAsia" w:ascii="仿宋_GB2312" w:hAnsi="宋体" w:eastAsia="仿宋_GB2312"/>
          <w:szCs w:val="21"/>
          <w:u w:val="single"/>
        </w:rPr>
        <w:t xml:space="preserve">   </w:t>
      </w:r>
      <w:r>
        <w:rPr>
          <w:rFonts w:hint="eastAsia" w:ascii="仿宋_GB2312" w:hAnsi="宋体" w:eastAsia="仿宋_GB2312"/>
          <w:szCs w:val="21"/>
        </w:rPr>
        <w:t>标段”填写为“</w:t>
      </w:r>
      <w:r>
        <w:rPr>
          <w:rFonts w:hint="eastAsia" w:ascii="仿宋_GB2312" w:hAnsi="宋体" w:eastAsia="仿宋_GB2312"/>
          <w:szCs w:val="21"/>
          <w:u w:val="single"/>
        </w:rPr>
        <w:t xml:space="preserve"> / </w:t>
      </w:r>
      <w:r>
        <w:rPr>
          <w:rFonts w:hint="eastAsia" w:ascii="仿宋_GB2312" w:hAnsi="宋体" w:eastAsia="仿宋_GB2312"/>
          <w:szCs w:val="21"/>
        </w:rPr>
        <w:t xml:space="preserve"> 标段”，如划分标段，则填写标段序号</w:t>
      </w:r>
      <w:r>
        <w:rPr>
          <w:rFonts w:hint="eastAsia" w:ascii="仿宋_GB2312" w:hAnsi="宋体" w:eastAsia="仿宋_GB2312"/>
          <w:szCs w:val="21"/>
          <w:lang w:val="zh-CN"/>
        </w:rPr>
        <w:t>。</w:t>
      </w:r>
    </w:p>
    <w:p>
      <w:pPr>
        <w:ind w:firstLine="405"/>
        <w:rPr>
          <w:rFonts w:ascii="仿宋_GB2312" w:hAnsi="宋体" w:eastAsia="仿宋_GB2312"/>
          <w:szCs w:val="21"/>
        </w:rPr>
      </w:pPr>
      <w:r>
        <w:rPr>
          <w:rFonts w:hint="eastAsia" w:ascii="仿宋_GB2312" w:hAnsi="宋体" w:eastAsia="仿宋_GB2312"/>
          <w:szCs w:val="21"/>
        </w:rPr>
        <w:t>（3）“项目概况及招标范围”应明确本次招标的详细范围和内容；</w:t>
      </w:r>
    </w:p>
    <w:p>
      <w:pPr>
        <w:ind w:firstLine="405"/>
        <w:rPr>
          <w:rFonts w:ascii="仿宋_GB2312" w:hAnsi="宋体" w:eastAsia="仿宋_GB2312"/>
          <w:szCs w:val="21"/>
        </w:rPr>
      </w:pPr>
      <w:r>
        <w:rPr>
          <w:rFonts w:hint="eastAsia" w:ascii="仿宋_GB2312" w:hAnsi="宋体" w:eastAsia="仿宋_GB2312"/>
          <w:szCs w:val="21"/>
        </w:rPr>
        <w:t>（4）如划分为两个及以上标段，应分别明确各标段的的具体内容、划分情况以及招标控制价。</w:t>
      </w:r>
    </w:p>
    <w:p>
      <w:pPr>
        <w:ind w:firstLine="405"/>
        <w:rPr>
          <w:rFonts w:ascii="仿宋_GB2312" w:hAnsi="宋体" w:eastAsia="仿宋_GB2312"/>
          <w:szCs w:val="21"/>
        </w:rPr>
      </w:pPr>
      <w:r>
        <w:rPr>
          <w:rFonts w:hint="eastAsia" w:ascii="仿宋_GB2312" w:hAnsi="宋体" w:eastAsia="仿宋_GB2312"/>
          <w:szCs w:val="21"/>
        </w:rPr>
        <w:t>（5）招标人对投标人的资质要求，应是国家对投标人资质的强制性规定。不是国家规定的必须具备的资质，不得作为参加投标的条件，但绿化工程除外。</w:t>
      </w:r>
    </w:p>
    <w:p>
      <w:pPr>
        <w:ind w:firstLine="550" w:firstLineChars="250"/>
        <w:rPr>
          <w:rFonts w:ascii="仿宋_GB2312" w:hAnsi="宋体" w:eastAsia="仿宋_GB2312"/>
          <w:szCs w:val="21"/>
        </w:rPr>
      </w:pPr>
      <w:r>
        <w:rPr>
          <w:rFonts w:ascii="仿宋_GB2312" w:hAnsi="宋体" w:eastAsia="仿宋_GB2312"/>
          <w:szCs w:val="21"/>
        </w:rPr>
        <w:t>(</w:t>
      </w:r>
      <w:r>
        <w:rPr>
          <w:rFonts w:hint="eastAsia" w:ascii="仿宋_GB2312" w:hAnsi="宋体" w:eastAsia="仿宋_GB2312"/>
          <w:szCs w:val="21"/>
        </w:rPr>
        <w:t>6</w:t>
      </w:r>
      <w:r>
        <w:rPr>
          <w:rFonts w:ascii="仿宋_GB2312" w:hAnsi="宋体" w:eastAsia="仿宋_GB2312"/>
          <w:szCs w:val="21"/>
        </w:rPr>
        <w:t>）</w:t>
      </w:r>
      <w:r>
        <w:rPr>
          <w:rFonts w:hint="eastAsia" w:ascii="仿宋_GB2312" w:hAnsi="宋体" w:eastAsia="仿宋_GB2312"/>
          <w:szCs w:val="21"/>
        </w:rPr>
        <w:t>招标人设置的类似工程业绩指标仅限于项目内容、规模、应用类型、生产工艺等方面，且应符合本次工程招标的内容。</w:t>
      </w:r>
      <w:r>
        <w:rPr>
          <w:rFonts w:ascii="仿宋_GB2312" w:hAnsi="宋体" w:eastAsia="仿宋_GB2312"/>
          <w:szCs w:val="21"/>
        </w:rPr>
        <w:t>类似业绩中设置</w:t>
      </w:r>
      <w:r>
        <w:rPr>
          <w:rFonts w:hint="eastAsia" w:ascii="仿宋_GB2312" w:hAnsi="宋体" w:eastAsia="仿宋_GB2312"/>
          <w:szCs w:val="21"/>
        </w:rPr>
        <w:t>的</w:t>
      </w:r>
      <w:r>
        <w:rPr>
          <w:rFonts w:ascii="仿宋_GB2312" w:hAnsi="宋体" w:eastAsia="仿宋_GB2312"/>
          <w:szCs w:val="21"/>
        </w:rPr>
        <w:t>量化指标不得高于本次招标</w:t>
      </w:r>
      <w:r>
        <w:rPr>
          <w:rFonts w:hint="eastAsia" w:ascii="仿宋_GB2312" w:hAnsi="宋体" w:eastAsia="仿宋_GB2312"/>
          <w:szCs w:val="21"/>
        </w:rPr>
        <w:t>的</w:t>
      </w:r>
      <w:r>
        <w:rPr>
          <w:rFonts w:ascii="仿宋_GB2312" w:hAnsi="宋体" w:eastAsia="仿宋_GB2312"/>
          <w:szCs w:val="21"/>
        </w:rPr>
        <w:t>相应指标。</w:t>
      </w:r>
      <w:r>
        <w:rPr>
          <w:rFonts w:hint="eastAsia" w:ascii="仿宋_GB2312" w:hAnsi="宋体" w:eastAsia="仿宋_GB2312"/>
          <w:szCs w:val="21"/>
        </w:rPr>
        <w:t>类似工程业绩的时限不少于3年</w:t>
      </w:r>
      <w:r>
        <w:rPr>
          <w:rFonts w:ascii="仿宋_GB2312" w:hAnsi="宋体" w:eastAsia="仿宋_GB2312"/>
          <w:szCs w:val="21"/>
        </w:rPr>
        <w:t>；类似业绩个数不得超过3个</w:t>
      </w:r>
      <w:r>
        <w:rPr>
          <w:rFonts w:hint="eastAsia" w:ascii="仿宋_GB2312" w:hAnsi="宋体" w:eastAsia="仿宋_GB2312"/>
          <w:szCs w:val="21"/>
        </w:rPr>
        <w:t>。</w:t>
      </w:r>
    </w:p>
    <w:p>
      <w:pPr>
        <w:ind w:firstLine="405"/>
        <w:rPr>
          <w:rFonts w:ascii="仿宋_GB2312" w:hAnsi="宋体" w:eastAsia="仿宋_GB2312"/>
          <w:szCs w:val="21"/>
        </w:rPr>
      </w:pPr>
      <w:r>
        <w:rPr>
          <w:rFonts w:hint="eastAsia" w:ascii="仿宋_GB2312" w:hAnsi="宋体" w:eastAsia="仿宋_GB2312"/>
          <w:szCs w:val="21"/>
        </w:rPr>
        <w:t>（7）招标人要求投标人须具备的资质一个项目（标段）为一个，因特殊情况需要两个以上资质的，应允许（接受）投标人组成联合体投标，且不得限制联合体成员数量小于资质类别数量。两个以上不同资质等级的单位实行联合共同承包的，应当按照资质等级低的单位的业务许可范围承揽工程</w:t>
      </w:r>
      <w:r>
        <w:rPr>
          <w:rFonts w:ascii="仿宋_GB2312" w:hAnsi="宋体" w:eastAsia="仿宋_GB2312"/>
          <w:szCs w:val="21"/>
        </w:rPr>
        <w:t>。</w:t>
      </w:r>
    </w:p>
    <w:p>
      <w:pPr>
        <w:ind w:firstLine="440" w:firstLineChars="200"/>
        <w:rPr>
          <w:rFonts w:ascii="仿宋_GB2312" w:hAnsi="宋体" w:eastAsia="仿宋_GB2312"/>
          <w:szCs w:val="21"/>
        </w:rPr>
      </w:pPr>
      <w:r>
        <w:rPr>
          <w:rFonts w:hint="eastAsia" w:ascii="仿宋_GB2312" w:hAnsi="宋体" w:eastAsia="仿宋_GB2312"/>
          <w:szCs w:val="21"/>
        </w:rPr>
        <w:t>（8）投标人收到招标人发出的投标邀请书后，请于</w:t>
      </w:r>
      <w:r>
        <w:rPr>
          <w:rFonts w:ascii="仿宋_GB2312" w:hAnsi="宋体" w:eastAsia="仿宋_GB2312"/>
          <w:szCs w:val="21"/>
        </w:rPr>
        <w:t>24</w:t>
      </w:r>
      <w:r>
        <w:rPr>
          <w:rFonts w:hint="eastAsia" w:ascii="仿宋_GB2312" w:hAnsi="宋体" w:eastAsia="仿宋_GB2312"/>
          <w:szCs w:val="21"/>
        </w:rPr>
        <w:t>小时内以传真或快递方式予以确认是否参加投标。</w:t>
      </w:r>
    </w:p>
    <w:p>
      <w:pPr>
        <w:ind w:firstLine="440" w:firstLineChars="200"/>
        <w:rPr>
          <w:rFonts w:ascii="仿宋_GB2312" w:hAnsi="宋体" w:eastAsia="仿宋_GB2312"/>
          <w:szCs w:val="21"/>
        </w:rPr>
      </w:pPr>
    </w:p>
    <w:p>
      <w:pPr>
        <w:jc w:val="both"/>
        <w:rPr>
          <w:rFonts w:ascii="宋体" w:hAnsi="宋体" w:cs="宋体"/>
          <w:sz w:val="24"/>
        </w:rPr>
      </w:pPr>
      <w:r>
        <w:br w:type="page"/>
      </w:r>
      <w:r>
        <w:rPr>
          <w:rFonts w:hint="eastAsia" w:ascii="宋体" w:hAnsi="宋体" w:cs="宋体"/>
          <w:sz w:val="24"/>
        </w:rPr>
        <w:t>附件：确认通知</w:t>
      </w:r>
    </w:p>
    <w:p>
      <w:pPr>
        <w:jc w:val="center"/>
        <w:rPr>
          <w:rFonts w:ascii="宋体" w:hAnsi="宋体" w:cs="宋体"/>
          <w:b/>
          <w:bCs/>
          <w:sz w:val="24"/>
        </w:rPr>
      </w:pPr>
    </w:p>
    <w:p>
      <w:pPr>
        <w:jc w:val="center"/>
        <w:rPr>
          <w:rFonts w:ascii="宋体" w:hAnsi="宋体" w:cs="宋体"/>
          <w:b/>
          <w:bCs/>
          <w:sz w:val="24"/>
        </w:rPr>
      </w:pPr>
      <w:bookmarkStart w:id="10" w:name="_Toc27914_WPSOffice_Level1"/>
      <w:r>
        <w:rPr>
          <w:rFonts w:hint="eastAsia" w:ascii="宋体" w:hAnsi="宋体" w:cs="宋体"/>
          <w:b/>
          <w:bCs/>
          <w:sz w:val="24"/>
        </w:rPr>
        <w:t>确认通知</w:t>
      </w:r>
      <w:bookmarkEnd w:id="10"/>
    </w:p>
    <w:p>
      <w:pPr>
        <w:jc w:val="center"/>
        <w:rPr>
          <w:rFonts w:ascii="宋体" w:hAnsi="宋体" w:cs="宋体"/>
          <w:b/>
          <w:bCs/>
          <w:sz w:val="24"/>
        </w:rPr>
      </w:pPr>
    </w:p>
    <w:p>
      <w:pPr>
        <w:jc w:val="both"/>
        <w:rPr>
          <w:rFonts w:ascii="宋体" w:hAnsi="宋体" w:cs="宋体"/>
          <w:b/>
          <w:bCs/>
          <w:sz w:val="24"/>
        </w:rPr>
      </w:pPr>
      <w:r>
        <w:rPr>
          <w:rFonts w:hint="eastAsia" w:ascii="宋体" w:hAnsi="宋体" w:cs="宋体"/>
          <w:b/>
          <w:sz w:val="24"/>
          <w:u w:val="single"/>
        </w:rPr>
        <w:t xml:space="preserve">                           </w:t>
      </w:r>
      <w:r>
        <w:rPr>
          <w:rFonts w:hint="eastAsia" w:ascii="宋体" w:hAnsi="宋体" w:cs="宋体"/>
          <w:b/>
          <w:sz w:val="24"/>
        </w:rPr>
        <w:t>（招标人名称）：</w:t>
      </w:r>
    </w:p>
    <w:p>
      <w:pPr>
        <w:adjustRightInd w:val="0"/>
        <w:snapToGrid w:val="0"/>
        <w:jc w:val="both"/>
        <w:rPr>
          <w:rFonts w:ascii="宋体" w:hAnsi="宋体" w:cs="宋体"/>
          <w:sz w:val="24"/>
        </w:rPr>
      </w:pPr>
    </w:p>
    <w:p>
      <w:pPr>
        <w:adjustRightInd w:val="0"/>
        <w:snapToGrid w:val="0"/>
        <w:ind w:firstLine="480" w:firstLineChars="200"/>
        <w:jc w:val="both"/>
        <w:rPr>
          <w:rFonts w:ascii="宋体" w:hAnsi="宋体" w:cs="宋体"/>
          <w:sz w:val="24"/>
        </w:rPr>
      </w:pPr>
      <w:r>
        <w:rPr>
          <w:rFonts w:hint="eastAsia" w:ascii="宋体" w:hAnsi="宋体" w:cs="宋体"/>
          <w:sz w:val="24"/>
        </w:rPr>
        <w:t>我方已于</w:t>
      </w:r>
      <w:r>
        <w:rPr>
          <w:rFonts w:hint="eastAsia" w:ascii="宋体" w:hAnsi="宋体" w:cs="宋体"/>
          <w:b/>
          <w:sz w:val="24"/>
          <w:u w:val="single"/>
        </w:rPr>
        <w:t xml:space="preserve">   </w:t>
      </w:r>
      <w:r>
        <w:rPr>
          <w:rFonts w:hint="eastAsia" w:ascii="宋体" w:hAnsi="宋体" w:cs="宋体"/>
          <w:sz w:val="24"/>
        </w:rPr>
        <w:t>年</w:t>
      </w:r>
      <w:r>
        <w:rPr>
          <w:rFonts w:hint="eastAsia" w:ascii="宋体" w:hAnsi="宋体" w:cs="宋体"/>
          <w:b/>
          <w:sz w:val="24"/>
          <w:u w:val="single"/>
        </w:rPr>
        <w:t xml:space="preserve">  </w:t>
      </w:r>
      <w:r>
        <w:rPr>
          <w:rFonts w:hint="eastAsia" w:ascii="宋体" w:hAnsi="宋体" w:cs="宋体"/>
          <w:sz w:val="24"/>
        </w:rPr>
        <w:t>月</w:t>
      </w:r>
      <w:r>
        <w:rPr>
          <w:rFonts w:hint="eastAsia" w:ascii="宋体" w:hAnsi="宋体" w:cs="宋体"/>
          <w:b/>
          <w:sz w:val="24"/>
          <w:u w:val="single"/>
        </w:rPr>
        <w:t xml:space="preserve">  </w:t>
      </w:r>
      <w:r>
        <w:rPr>
          <w:rFonts w:hint="eastAsia" w:ascii="宋体" w:hAnsi="宋体" w:cs="宋体"/>
          <w:sz w:val="24"/>
        </w:rPr>
        <w:t>日收到你方</w:t>
      </w:r>
      <w:r>
        <w:rPr>
          <w:rFonts w:hint="eastAsia" w:ascii="宋体" w:hAnsi="宋体" w:cs="宋体"/>
          <w:b/>
          <w:sz w:val="24"/>
          <w:u w:val="single"/>
        </w:rPr>
        <w:t xml:space="preserve">  </w:t>
      </w:r>
      <w:r>
        <w:rPr>
          <w:rFonts w:hint="eastAsia" w:ascii="宋体" w:hAnsi="宋体" w:cs="宋体"/>
          <w:sz w:val="24"/>
        </w:rPr>
        <w:t>年</w:t>
      </w:r>
      <w:r>
        <w:rPr>
          <w:rFonts w:hint="eastAsia" w:ascii="宋体" w:hAnsi="宋体" w:cs="宋体"/>
          <w:b/>
          <w:sz w:val="24"/>
          <w:u w:val="single"/>
        </w:rPr>
        <w:t xml:space="preserve">  </w:t>
      </w:r>
      <w:r>
        <w:rPr>
          <w:rFonts w:hint="eastAsia" w:ascii="宋体" w:hAnsi="宋体" w:cs="宋体"/>
          <w:sz w:val="24"/>
        </w:rPr>
        <w:t>月</w:t>
      </w:r>
      <w:r>
        <w:rPr>
          <w:rFonts w:hint="eastAsia" w:ascii="宋体" w:hAnsi="宋体" w:cs="宋体"/>
          <w:b/>
          <w:sz w:val="24"/>
          <w:u w:val="single"/>
        </w:rPr>
        <w:t xml:space="preserve">  </w:t>
      </w:r>
      <w:r>
        <w:rPr>
          <w:rFonts w:hint="eastAsia" w:ascii="宋体" w:hAnsi="宋体" w:cs="宋体"/>
          <w:sz w:val="24"/>
        </w:rPr>
        <w:t>日发出的</w:t>
      </w:r>
      <w:r>
        <w:rPr>
          <w:rFonts w:hint="eastAsia" w:ascii="宋体" w:hAnsi="宋体"/>
          <w:b/>
          <w:sz w:val="24"/>
          <w:u w:val="single"/>
        </w:rPr>
        <w:t xml:space="preserve">       </w:t>
      </w:r>
      <w:r>
        <w:rPr>
          <w:rFonts w:hint="eastAsia" w:ascii="宋体" w:hAnsi="宋体"/>
          <w:sz w:val="24"/>
        </w:rPr>
        <w:t>(项目名称)采购</w:t>
      </w:r>
      <w:r>
        <w:rPr>
          <w:rFonts w:hint="eastAsia" w:ascii="宋体" w:hAnsi="宋体"/>
          <w:sz w:val="24"/>
          <w:u w:val="single"/>
        </w:rPr>
        <w:t xml:space="preserve">   </w:t>
      </w:r>
      <w:r>
        <w:rPr>
          <w:rFonts w:hint="eastAsia" w:ascii="宋体" w:hAnsi="宋体" w:cs="宋体"/>
          <w:sz w:val="24"/>
        </w:rPr>
        <w:t>标段招标的投标邀请书，并确认</w:t>
      </w:r>
      <w:r>
        <w:rPr>
          <w:rFonts w:hint="eastAsia" w:ascii="宋体" w:hAnsi="宋体" w:cs="宋体"/>
          <w:b/>
          <w:sz w:val="24"/>
          <w:u w:val="single"/>
        </w:rPr>
        <w:t xml:space="preserve">          </w:t>
      </w:r>
      <w:r>
        <w:rPr>
          <w:rFonts w:hint="eastAsia" w:ascii="宋体" w:hAnsi="宋体" w:cs="宋体"/>
          <w:bCs/>
          <w:sz w:val="24"/>
        </w:rPr>
        <w:t>（参加/不参加）投标</w:t>
      </w:r>
      <w:r>
        <w:rPr>
          <w:rFonts w:hint="eastAsia" w:ascii="宋体" w:hAnsi="宋体" w:cs="宋体"/>
          <w:sz w:val="24"/>
        </w:rPr>
        <w:t>。</w:t>
      </w:r>
    </w:p>
    <w:p>
      <w:pPr>
        <w:ind w:firstLine="480" w:firstLineChars="200"/>
        <w:jc w:val="both"/>
        <w:rPr>
          <w:rFonts w:ascii="宋体" w:hAnsi="宋体" w:cs="宋体"/>
          <w:sz w:val="24"/>
        </w:rPr>
      </w:pPr>
      <w:r>
        <w:rPr>
          <w:rFonts w:hint="eastAsia" w:ascii="宋体" w:hAnsi="宋体" w:cs="宋体"/>
          <w:sz w:val="24"/>
        </w:rPr>
        <w:t>特此确认。</w:t>
      </w:r>
    </w:p>
    <w:p>
      <w:pPr>
        <w:ind w:firstLine="480" w:firstLineChars="200"/>
        <w:jc w:val="both"/>
        <w:rPr>
          <w:rFonts w:ascii="宋体" w:hAnsi="宋体" w:cs="宋体"/>
          <w:sz w:val="24"/>
        </w:rPr>
      </w:pPr>
    </w:p>
    <w:p>
      <w:pPr>
        <w:ind w:firstLine="480" w:firstLineChars="200"/>
        <w:jc w:val="both"/>
        <w:rPr>
          <w:rFonts w:ascii="宋体" w:hAnsi="宋体" w:cs="宋体"/>
          <w:sz w:val="24"/>
        </w:rPr>
      </w:pPr>
    </w:p>
    <w:p>
      <w:pPr>
        <w:ind w:firstLine="480" w:firstLineChars="200"/>
        <w:jc w:val="both"/>
        <w:rPr>
          <w:rFonts w:ascii="宋体" w:hAnsi="宋体" w:cs="宋体"/>
          <w:sz w:val="24"/>
        </w:rPr>
      </w:pPr>
    </w:p>
    <w:p>
      <w:pPr>
        <w:adjustRightInd w:val="0"/>
        <w:snapToGrid w:val="0"/>
        <w:jc w:val="right"/>
        <w:rPr>
          <w:rFonts w:ascii="宋体" w:hAnsi="宋体"/>
          <w:bCs/>
          <w:sz w:val="24"/>
        </w:rPr>
      </w:pPr>
      <w:r>
        <w:rPr>
          <w:rFonts w:hint="eastAsia" w:ascii="宋体" w:hAnsi="宋体"/>
          <w:bCs/>
          <w:sz w:val="24"/>
        </w:rPr>
        <w:t>被邀请单位名称：</w:t>
      </w:r>
      <w:r>
        <w:rPr>
          <w:rFonts w:hint="eastAsia" w:ascii="宋体" w:hAnsi="宋体"/>
          <w:bCs/>
          <w:sz w:val="24"/>
          <w:u w:val="single"/>
        </w:rPr>
        <w:t xml:space="preserve">                 </w:t>
      </w:r>
      <w:r>
        <w:rPr>
          <w:rFonts w:hint="eastAsia" w:ascii="宋体" w:hAnsi="宋体"/>
          <w:bCs/>
          <w:sz w:val="24"/>
        </w:rPr>
        <w:t>（盖 单 位章）</w:t>
      </w:r>
    </w:p>
    <w:p>
      <w:pPr>
        <w:adjustRightInd w:val="0"/>
        <w:snapToGrid w:val="0"/>
        <w:jc w:val="right"/>
        <w:rPr>
          <w:rFonts w:ascii="宋体" w:hAnsi="宋体"/>
          <w:bCs/>
          <w:sz w:val="24"/>
        </w:rPr>
      </w:pPr>
      <w:r>
        <w:rPr>
          <w:rFonts w:hint="eastAsia" w:ascii="宋体" w:hAnsi="宋体"/>
          <w:bCs/>
          <w:sz w:val="24"/>
        </w:rPr>
        <w:t>法定代表人：</w:t>
      </w:r>
      <w:r>
        <w:rPr>
          <w:rFonts w:hint="eastAsia" w:ascii="宋体" w:hAnsi="宋体"/>
          <w:bCs/>
          <w:sz w:val="24"/>
          <w:u w:val="single"/>
        </w:rPr>
        <w:t xml:space="preserve">                 </w:t>
      </w:r>
      <w:r>
        <w:rPr>
          <w:rFonts w:hint="eastAsia" w:ascii="宋体" w:hAnsi="宋体"/>
          <w:bCs/>
          <w:sz w:val="24"/>
        </w:rPr>
        <w:t>（签      字）</w:t>
      </w:r>
    </w:p>
    <w:p>
      <w:pPr>
        <w:widowControl/>
        <w:rPr>
          <w:rFonts w:ascii="宋体" w:hAnsi="宋体"/>
          <w:sz w:val="24"/>
        </w:rPr>
      </w:pPr>
      <w:r>
        <w:rPr>
          <w:rFonts w:hint="eastAsia" w:ascii="宋体" w:hAnsi="宋体"/>
          <w:b/>
          <w:sz w:val="24"/>
        </w:rPr>
        <w:t xml:space="preserve">                                      </w:t>
      </w:r>
      <w:r>
        <w:rPr>
          <w:rFonts w:ascii="宋体" w:hAnsi="宋体"/>
          <w:b/>
          <w:sz w:val="24"/>
        </w:rPr>
        <w:t xml:space="preserve">          </w:t>
      </w:r>
      <w:r>
        <w:rPr>
          <w:rFonts w:hint="eastAsia" w:ascii="宋体" w:hAnsi="宋体"/>
          <w:b/>
          <w:sz w:val="24"/>
        </w:rPr>
        <w:t xml:space="preserve">  </w:t>
      </w:r>
      <w:r>
        <w:rPr>
          <w:rFonts w:hint="eastAsia" w:ascii="宋体" w:hAnsi="宋体"/>
          <w:b/>
          <w:sz w:val="24"/>
          <w:u w:val="single"/>
        </w:rPr>
        <w:t xml:space="preserve">  </w:t>
      </w:r>
      <w:r>
        <w:rPr>
          <w:rFonts w:ascii="宋体" w:hAnsi="宋体"/>
          <w:b/>
          <w:sz w:val="24"/>
          <w:u w:val="single"/>
        </w:rPr>
        <w:t xml:space="preserve">  </w:t>
      </w:r>
      <w:r>
        <w:rPr>
          <w:rFonts w:hint="eastAsia" w:ascii="宋体" w:hAnsi="宋体"/>
          <w:b/>
          <w:sz w:val="24"/>
          <w:u w:val="single"/>
        </w:rPr>
        <w:t xml:space="preserve"> </w:t>
      </w:r>
      <w:r>
        <w:rPr>
          <w:rFonts w:hint="eastAsia" w:ascii="宋体" w:hAnsi="宋体"/>
          <w:sz w:val="24"/>
        </w:rPr>
        <w:t>年</w:t>
      </w:r>
      <w:r>
        <w:rPr>
          <w:rFonts w:hint="eastAsia" w:ascii="宋体" w:hAnsi="宋体"/>
          <w:b/>
          <w:sz w:val="24"/>
          <w:u w:val="single"/>
        </w:rPr>
        <w:t xml:space="preserve">   </w:t>
      </w:r>
      <w:r>
        <w:rPr>
          <w:rFonts w:hint="eastAsia" w:ascii="宋体" w:hAnsi="宋体"/>
          <w:sz w:val="24"/>
        </w:rPr>
        <w:t>月</w:t>
      </w:r>
      <w:r>
        <w:rPr>
          <w:rFonts w:hint="eastAsia" w:ascii="宋体" w:hAnsi="宋体"/>
          <w:b/>
          <w:sz w:val="24"/>
          <w:u w:val="single"/>
        </w:rPr>
        <w:t xml:space="preserve">   </w:t>
      </w:r>
      <w:r>
        <w:rPr>
          <w:rFonts w:hint="eastAsia" w:ascii="宋体" w:hAnsi="宋体"/>
          <w:sz w:val="24"/>
        </w:rPr>
        <w:t>日</w:t>
      </w:r>
    </w:p>
    <w:p>
      <w:pPr>
        <w:widowControl/>
        <w:rPr>
          <w:rFonts w:ascii="宋体" w:hAnsi="宋体"/>
          <w:sz w:val="24"/>
        </w:rPr>
      </w:pPr>
      <w:r>
        <w:rPr>
          <w:rFonts w:hint="eastAsia" w:ascii="宋体" w:hAnsi="宋体"/>
          <w:sz w:val="24"/>
        </w:rPr>
        <w:br w:type="page"/>
      </w:r>
    </w:p>
    <w:p>
      <w:pPr>
        <w:pStyle w:val="4"/>
      </w:pPr>
      <w:bookmarkStart w:id="11" w:name="_Toc17742"/>
      <w:r>
        <w:rPr>
          <w:rFonts w:hint="eastAsia"/>
        </w:rPr>
        <w:t>第二章 投标人须知</w:t>
      </w:r>
      <w:bookmarkEnd w:id="11"/>
    </w:p>
    <w:p>
      <w:pPr>
        <w:pStyle w:val="5"/>
        <w:jc w:val="center"/>
      </w:pPr>
      <w:r>
        <w:rPr>
          <w:rFonts w:hint="eastAsia"/>
        </w:rPr>
        <w:t>投标人须知前附表</w:t>
      </w:r>
    </w:p>
    <w:tbl>
      <w:tblPr>
        <w:tblStyle w:val="16"/>
        <w:tblW w:w="97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65"/>
        <w:gridCol w:w="7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959" w:type="dxa"/>
            <w:shd w:val="clear" w:color="auto" w:fill="auto"/>
            <w:vAlign w:val="center"/>
          </w:tcPr>
          <w:p>
            <w:pPr>
              <w:pStyle w:val="2"/>
              <w:ind w:left="0"/>
              <w:jc w:val="center"/>
              <w:rPr>
                <w:b/>
                <w:bCs/>
              </w:rPr>
            </w:pPr>
            <w:r>
              <w:rPr>
                <w:b/>
                <w:bCs/>
              </w:rPr>
              <w:t>条款号</w:t>
            </w:r>
          </w:p>
        </w:tc>
        <w:tc>
          <w:tcPr>
            <w:tcW w:w="1765" w:type="dxa"/>
            <w:shd w:val="clear" w:color="auto" w:fill="auto"/>
            <w:vAlign w:val="center"/>
          </w:tcPr>
          <w:p>
            <w:pPr>
              <w:pStyle w:val="2"/>
              <w:ind w:left="0"/>
              <w:jc w:val="center"/>
              <w:rPr>
                <w:b/>
                <w:bCs/>
              </w:rPr>
            </w:pPr>
            <w:r>
              <w:rPr>
                <w:b/>
                <w:bCs/>
              </w:rPr>
              <w:t>条款名称</w:t>
            </w:r>
          </w:p>
        </w:tc>
        <w:tc>
          <w:tcPr>
            <w:tcW w:w="7062" w:type="dxa"/>
            <w:shd w:val="clear" w:color="auto" w:fill="auto"/>
            <w:vAlign w:val="center"/>
          </w:tcPr>
          <w:p>
            <w:pPr>
              <w:pStyle w:val="2"/>
              <w:ind w:left="0"/>
              <w:jc w:val="center"/>
              <w:rPr>
                <w:b/>
                <w:bCs/>
              </w:rPr>
            </w:pPr>
            <w:r>
              <w:rPr>
                <w:b/>
                <w:bCs/>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shd w:val="clear" w:color="auto" w:fill="auto"/>
            <w:vAlign w:val="center"/>
          </w:tcPr>
          <w:p>
            <w:pPr>
              <w:pStyle w:val="2"/>
              <w:ind w:left="0"/>
              <w:jc w:val="center"/>
            </w:pPr>
            <w:r>
              <w:rPr>
                <w:rFonts w:hint="eastAsia"/>
              </w:rPr>
              <w:t>1.1.2</w:t>
            </w:r>
          </w:p>
        </w:tc>
        <w:tc>
          <w:tcPr>
            <w:tcW w:w="1765" w:type="dxa"/>
            <w:shd w:val="clear" w:color="auto" w:fill="auto"/>
            <w:vAlign w:val="center"/>
          </w:tcPr>
          <w:p>
            <w:pPr>
              <w:pStyle w:val="2"/>
              <w:ind w:left="0"/>
              <w:jc w:val="center"/>
            </w:pPr>
            <w:r>
              <w:rPr>
                <w:rFonts w:hint="eastAsia"/>
              </w:rPr>
              <w:t>招标人</w:t>
            </w:r>
          </w:p>
        </w:tc>
        <w:tc>
          <w:tcPr>
            <w:tcW w:w="7062" w:type="dxa"/>
            <w:shd w:val="clear" w:color="auto" w:fill="auto"/>
            <w:vAlign w:val="center"/>
          </w:tcPr>
          <w:p>
            <w:pPr>
              <w:pStyle w:val="2"/>
              <w:ind w:left="0"/>
            </w:pPr>
            <w:r>
              <w:rPr>
                <w:rFonts w:hint="eastAsia"/>
              </w:rPr>
              <w:t>名称：</w:t>
            </w:r>
          </w:p>
          <w:p>
            <w:pPr>
              <w:pStyle w:val="2"/>
              <w:ind w:left="0"/>
            </w:pPr>
            <w:r>
              <w:rPr>
                <w:rFonts w:hint="eastAsia"/>
              </w:rPr>
              <w:t>地址：</w:t>
            </w:r>
          </w:p>
          <w:p>
            <w:pPr>
              <w:pStyle w:val="2"/>
              <w:ind w:left="0"/>
            </w:pPr>
            <w:r>
              <w:rPr>
                <w:rFonts w:hint="eastAsia"/>
              </w:rPr>
              <w:t>联系人：</w:t>
            </w:r>
          </w:p>
          <w:p>
            <w:pPr>
              <w:pStyle w:val="2"/>
              <w:ind w:left="0"/>
            </w:pPr>
            <w:r>
              <w:rPr>
                <w:rFonts w:hint="eastAsia"/>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shd w:val="clear" w:color="auto" w:fill="auto"/>
            <w:vAlign w:val="center"/>
          </w:tcPr>
          <w:p>
            <w:pPr>
              <w:pStyle w:val="2"/>
              <w:ind w:left="0"/>
              <w:jc w:val="center"/>
            </w:pPr>
            <w:r>
              <w:rPr>
                <w:rFonts w:hint="eastAsia"/>
              </w:rPr>
              <w:t>1.1.3</w:t>
            </w:r>
          </w:p>
        </w:tc>
        <w:tc>
          <w:tcPr>
            <w:tcW w:w="1765" w:type="dxa"/>
            <w:shd w:val="clear" w:color="auto" w:fill="auto"/>
            <w:vAlign w:val="center"/>
          </w:tcPr>
          <w:p>
            <w:pPr>
              <w:pStyle w:val="2"/>
              <w:ind w:left="0"/>
              <w:jc w:val="center"/>
            </w:pPr>
            <w:r>
              <w:rPr>
                <w:rFonts w:hint="eastAsia"/>
              </w:rPr>
              <w:t>招标代理机构</w:t>
            </w:r>
          </w:p>
        </w:tc>
        <w:tc>
          <w:tcPr>
            <w:tcW w:w="7062" w:type="dxa"/>
            <w:shd w:val="clear" w:color="auto" w:fill="auto"/>
            <w:vAlign w:val="center"/>
          </w:tcPr>
          <w:p>
            <w:pPr>
              <w:pStyle w:val="2"/>
              <w:ind w:left="0"/>
            </w:pPr>
            <w:r>
              <w:rPr>
                <w:rFonts w:hint="eastAsia"/>
              </w:rPr>
              <w:t>名称：</w:t>
            </w:r>
          </w:p>
          <w:p>
            <w:pPr>
              <w:pStyle w:val="2"/>
              <w:ind w:left="0"/>
            </w:pPr>
            <w:r>
              <w:rPr>
                <w:rFonts w:hint="eastAsia"/>
              </w:rPr>
              <w:t>地址：</w:t>
            </w:r>
          </w:p>
          <w:p>
            <w:pPr>
              <w:pStyle w:val="2"/>
              <w:ind w:left="0"/>
            </w:pPr>
            <w:r>
              <w:rPr>
                <w:rFonts w:hint="eastAsia"/>
              </w:rPr>
              <w:t>联系人：</w:t>
            </w:r>
          </w:p>
          <w:p>
            <w:pPr>
              <w:pStyle w:val="2"/>
              <w:ind w:left="0"/>
            </w:pPr>
            <w:r>
              <w:rPr>
                <w:rFonts w:hint="eastAsia"/>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shd w:val="clear" w:color="auto" w:fill="auto"/>
            <w:vAlign w:val="center"/>
          </w:tcPr>
          <w:p>
            <w:pPr>
              <w:pStyle w:val="2"/>
              <w:ind w:left="0"/>
              <w:jc w:val="center"/>
            </w:pPr>
            <w:r>
              <w:rPr>
                <w:rFonts w:hint="eastAsia"/>
              </w:rPr>
              <w:t>1.1.5</w:t>
            </w:r>
          </w:p>
        </w:tc>
        <w:tc>
          <w:tcPr>
            <w:tcW w:w="1765" w:type="dxa"/>
            <w:shd w:val="clear" w:color="auto" w:fill="auto"/>
            <w:vAlign w:val="center"/>
          </w:tcPr>
          <w:p>
            <w:pPr>
              <w:pStyle w:val="2"/>
              <w:ind w:left="0"/>
              <w:jc w:val="center"/>
            </w:pPr>
            <w:r>
              <w:rPr>
                <w:rFonts w:hint="eastAsia"/>
              </w:rPr>
              <w:t>项目地点</w:t>
            </w:r>
          </w:p>
        </w:tc>
        <w:tc>
          <w:tcPr>
            <w:tcW w:w="7062" w:type="dxa"/>
            <w:shd w:val="clear" w:color="auto" w:fill="auto"/>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shd w:val="clear" w:color="auto" w:fill="auto"/>
            <w:vAlign w:val="center"/>
          </w:tcPr>
          <w:p>
            <w:pPr>
              <w:pStyle w:val="2"/>
              <w:ind w:left="0"/>
              <w:jc w:val="center"/>
            </w:pPr>
            <w:r>
              <w:rPr>
                <w:rFonts w:hint="eastAsia"/>
              </w:rPr>
              <w:t>1.2.1</w:t>
            </w:r>
          </w:p>
        </w:tc>
        <w:tc>
          <w:tcPr>
            <w:tcW w:w="1765" w:type="dxa"/>
            <w:shd w:val="clear" w:color="auto" w:fill="auto"/>
            <w:vAlign w:val="center"/>
          </w:tcPr>
          <w:p>
            <w:pPr>
              <w:pStyle w:val="2"/>
              <w:ind w:left="0"/>
              <w:jc w:val="center"/>
            </w:pPr>
            <w:r>
              <w:t>资金来源</w:t>
            </w:r>
          </w:p>
        </w:tc>
        <w:tc>
          <w:tcPr>
            <w:tcW w:w="7062" w:type="dxa"/>
            <w:shd w:val="clear" w:color="auto" w:fill="auto"/>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shd w:val="clear" w:color="auto" w:fill="auto"/>
            <w:vAlign w:val="center"/>
          </w:tcPr>
          <w:p>
            <w:pPr>
              <w:pStyle w:val="2"/>
              <w:ind w:left="0"/>
              <w:jc w:val="center"/>
            </w:pPr>
            <w:r>
              <w:rPr>
                <w:rFonts w:hint="eastAsia"/>
              </w:rPr>
              <w:t>1.2.2</w:t>
            </w:r>
          </w:p>
        </w:tc>
        <w:tc>
          <w:tcPr>
            <w:tcW w:w="1765" w:type="dxa"/>
            <w:shd w:val="clear" w:color="auto" w:fill="auto"/>
            <w:vAlign w:val="center"/>
          </w:tcPr>
          <w:p>
            <w:pPr>
              <w:pStyle w:val="2"/>
              <w:ind w:left="0"/>
              <w:jc w:val="center"/>
            </w:pPr>
            <w:r>
              <w:rPr>
                <w:rFonts w:hint="eastAsia"/>
              </w:rPr>
              <w:t>出资比例</w:t>
            </w:r>
          </w:p>
        </w:tc>
        <w:tc>
          <w:tcPr>
            <w:tcW w:w="7062" w:type="dxa"/>
            <w:shd w:val="clear" w:color="auto" w:fill="auto"/>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shd w:val="clear" w:color="auto" w:fill="auto"/>
            <w:vAlign w:val="center"/>
          </w:tcPr>
          <w:p>
            <w:pPr>
              <w:pStyle w:val="2"/>
              <w:ind w:left="0"/>
              <w:jc w:val="center"/>
            </w:pPr>
            <w:r>
              <w:rPr>
                <w:rFonts w:hint="eastAsia"/>
              </w:rPr>
              <w:t>1.2.3</w:t>
            </w:r>
          </w:p>
        </w:tc>
        <w:tc>
          <w:tcPr>
            <w:tcW w:w="1765" w:type="dxa"/>
            <w:shd w:val="clear" w:color="auto" w:fill="auto"/>
            <w:vAlign w:val="center"/>
          </w:tcPr>
          <w:p>
            <w:pPr>
              <w:pStyle w:val="2"/>
              <w:ind w:left="0"/>
              <w:jc w:val="center"/>
            </w:pPr>
            <w:r>
              <w:rPr>
                <w:rFonts w:hint="eastAsia"/>
              </w:rPr>
              <w:t>资金落实情况</w:t>
            </w:r>
          </w:p>
        </w:tc>
        <w:tc>
          <w:tcPr>
            <w:tcW w:w="7062" w:type="dxa"/>
            <w:shd w:val="clear" w:color="auto" w:fill="auto"/>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shd w:val="clear" w:color="auto" w:fill="auto"/>
            <w:vAlign w:val="center"/>
          </w:tcPr>
          <w:p>
            <w:pPr>
              <w:pStyle w:val="2"/>
              <w:ind w:left="0"/>
              <w:jc w:val="center"/>
            </w:pPr>
            <w:r>
              <w:rPr>
                <w:rFonts w:hint="eastAsia"/>
              </w:rPr>
              <w:t>1.3.1</w:t>
            </w:r>
          </w:p>
        </w:tc>
        <w:tc>
          <w:tcPr>
            <w:tcW w:w="1765" w:type="dxa"/>
            <w:shd w:val="clear" w:color="auto" w:fill="auto"/>
            <w:vAlign w:val="center"/>
          </w:tcPr>
          <w:p>
            <w:pPr>
              <w:pStyle w:val="2"/>
              <w:ind w:left="0"/>
              <w:jc w:val="center"/>
            </w:pPr>
            <w:r>
              <w:rPr>
                <w:rFonts w:hint="eastAsia"/>
              </w:rPr>
              <w:t>★招标范围</w:t>
            </w:r>
          </w:p>
        </w:tc>
        <w:tc>
          <w:tcPr>
            <w:tcW w:w="7062" w:type="dxa"/>
            <w:shd w:val="clear" w:color="auto" w:fill="auto"/>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shd w:val="clear" w:color="auto" w:fill="auto"/>
            <w:vAlign w:val="center"/>
          </w:tcPr>
          <w:p>
            <w:pPr>
              <w:pStyle w:val="2"/>
              <w:ind w:left="0"/>
              <w:jc w:val="center"/>
            </w:pPr>
            <w:r>
              <w:t>1.3.2</w:t>
            </w:r>
          </w:p>
        </w:tc>
        <w:tc>
          <w:tcPr>
            <w:tcW w:w="1765" w:type="dxa"/>
            <w:shd w:val="clear" w:color="auto" w:fill="auto"/>
            <w:vAlign w:val="center"/>
          </w:tcPr>
          <w:p>
            <w:pPr>
              <w:pStyle w:val="2"/>
              <w:ind w:left="0"/>
              <w:jc w:val="center"/>
            </w:pPr>
            <w:r>
              <w:rPr>
                <w:rFonts w:hint="eastAsia"/>
              </w:rPr>
              <w:t>★计划周</w:t>
            </w:r>
            <w:r>
              <w:t>期</w:t>
            </w:r>
          </w:p>
        </w:tc>
        <w:tc>
          <w:tcPr>
            <w:tcW w:w="7062" w:type="dxa"/>
            <w:shd w:val="clear" w:color="auto" w:fill="auto"/>
            <w:vAlign w:val="center"/>
          </w:tcPr>
          <w:p>
            <w:pPr>
              <w:pStyle w:val="2"/>
              <w:ind w:left="0"/>
            </w:pP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shd w:val="clear" w:color="auto" w:fill="auto"/>
            <w:vAlign w:val="center"/>
          </w:tcPr>
          <w:p>
            <w:pPr>
              <w:pStyle w:val="2"/>
              <w:ind w:left="0"/>
              <w:jc w:val="center"/>
            </w:pPr>
            <w:r>
              <w:rPr>
                <w:rFonts w:hint="eastAsia"/>
              </w:rPr>
              <w:t>1.3.3</w:t>
            </w:r>
          </w:p>
        </w:tc>
        <w:tc>
          <w:tcPr>
            <w:tcW w:w="1765" w:type="dxa"/>
            <w:shd w:val="clear" w:color="auto" w:fill="auto"/>
            <w:vAlign w:val="center"/>
          </w:tcPr>
          <w:p>
            <w:pPr>
              <w:pStyle w:val="2"/>
              <w:ind w:left="0"/>
              <w:jc w:val="center"/>
            </w:pPr>
            <w:r>
              <w:rPr>
                <w:rFonts w:hint="eastAsia"/>
              </w:rPr>
              <w:t>★质量要求</w:t>
            </w:r>
          </w:p>
        </w:tc>
        <w:tc>
          <w:tcPr>
            <w:tcW w:w="7062" w:type="dxa"/>
            <w:shd w:val="clear" w:color="auto" w:fill="auto"/>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959" w:type="dxa"/>
            <w:shd w:val="clear" w:color="auto" w:fill="auto"/>
            <w:vAlign w:val="center"/>
          </w:tcPr>
          <w:p>
            <w:pPr>
              <w:pStyle w:val="2"/>
              <w:ind w:left="0"/>
              <w:jc w:val="center"/>
            </w:pPr>
            <w:r>
              <w:t>1.4.1</w:t>
            </w:r>
          </w:p>
        </w:tc>
        <w:tc>
          <w:tcPr>
            <w:tcW w:w="1765" w:type="dxa"/>
            <w:shd w:val="clear" w:color="auto" w:fill="auto"/>
            <w:vAlign w:val="center"/>
          </w:tcPr>
          <w:p>
            <w:pPr>
              <w:pStyle w:val="2"/>
              <w:ind w:left="0"/>
              <w:jc w:val="center"/>
            </w:pPr>
            <w:r>
              <w:rPr>
                <w:rFonts w:hint="eastAsia"/>
              </w:rPr>
              <w:t>★</w:t>
            </w:r>
            <w:r>
              <w:t>投标人资质条件、能力和信誉</w:t>
            </w:r>
          </w:p>
        </w:tc>
        <w:tc>
          <w:tcPr>
            <w:tcW w:w="7062" w:type="dxa"/>
            <w:shd w:val="clear" w:color="auto" w:fill="auto"/>
          </w:tcPr>
          <w:p>
            <w:pPr>
              <w:pStyle w:val="2"/>
              <w:ind w:left="0"/>
            </w:pPr>
            <w:r>
              <w:rPr>
                <w:rFonts w:hint="eastAsia"/>
              </w:rPr>
              <w:t>依法设立、具有独立承担民事责任的能力；</w:t>
            </w:r>
          </w:p>
          <w:p>
            <w:pPr>
              <w:pStyle w:val="2"/>
              <w:ind w:left="0"/>
            </w:pPr>
            <w:r>
              <w:rPr>
                <w:b/>
                <w:bCs/>
              </w:rPr>
              <w:t>资质条件：</w:t>
            </w:r>
            <w:r>
              <w:rPr>
                <w:rFonts w:hint="eastAsia"/>
              </w:rPr>
              <w:t>同招标公告</w:t>
            </w:r>
          </w:p>
          <w:p>
            <w:pPr>
              <w:pStyle w:val="2"/>
              <w:ind w:left="0"/>
            </w:pPr>
            <w:r>
              <w:rPr>
                <w:b/>
                <w:bCs/>
              </w:rPr>
              <w:t>财务要求：</w:t>
            </w:r>
            <w:r>
              <w:rPr>
                <w:rFonts w:hint="eastAsia"/>
              </w:rPr>
              <w:t>同招标公告</w:t>
            </w:r>
          </w:p>
          <w:p>
            <w:pPr>
              <w:pStyle w:val="2"/>
              <w:ind w:left="0"/>
            </w:pPr>
            <w:r>
              <w:rPr>
                <w:rFonts w:hint="eastAsia"/>
                <w:lang w:val="zh-CN"/>
              </w:rPr>
              <w:t>提供</w:t>
            </w:r>
            <w:r>
              <w:rPr>
                <w:lang w:val="zh-CN"/>
              </w:rPr>
              <w:t>财务状况表</w:t>
            </w:r>
            <w:r>
              <w:rPr>
                <w:rFonts w:hint="eastAsia"/>
                <w:lang w:val="zh-CN"/>
              </w:rPr>
              <w:t>包含</w:t>
            </w:r>
            <w:r>
              <w:rPr>
                <w:rFonts w:hint="eastAsia"/>
              </w:rPr>
              <w:t>经会计师事务所或审计机构出具的资产负债表、现金</w:t>
            </w:r>
            <w:r>
              <w:t>流量表、</w:t>
            </w:r>
            <w:r>
              <w:rPr>
                <w:rFonts w:hint="eastAsia"/>
              </w:rPr>
              <w:t>利润表扫描件。</w:t>
            </w:r>
            <w:r>
              <w:t>□</w:t>
            </w:r>
            <w:r>
              <w:rPr>
                <w:rFonts w:hint="eastAsia"/>
              </w:rPr>
              <w:t>不含财务情况说明书。</w:t>
            </w:r>
          </w:p>
          <w:p>
            <w:pPr>
              <w:pStyle w:val="2"/>
              <w:ind w:left="0"/>
            </w:pPr>
            <w:r>
              <w:rPr>
                <w:b/>
                <w:bCs/>
              </w:rPr>
              <w:t>类似业绩要求：</w:t>
            </w:r>
            <w:r>
              <w:rPr>
                <w:rFonts w:hint="eastAsia"/>
              </w:rPr>
              <w:t>同招标公告</w:t>
            </w:r>
          </w:p>
          <w:p>
            <w:pPr>
              <w:pStyle w:val="2"/>
              <w:ind w:left="0"/>
            </w:pPr>
            <w:r>
              <w:rPr>
                <w:b/>
                <w:bCs/>
              </w:rPr>
              <w:t>信誉要求：</w:t>
            </w:r>
            <w:r>
              <w:rPr>
                <w:rFonts w:hint="eastAsia"/>
              </w:rPr>
              <w:t>不存在投标人须知第1.4.3项规定的限制投标的情形；</w:t>
            </w:r>
          </w:p>
          <w:p>
            <w:pPr>
              <w:pStyle w:val="2"/>
              <w:ind w:left="0"/>
              <w:rPr>
                <w:b/>
                <w:bCs/>
              </w:rPr>
            </w:pPr>
            <w:r>
              <w:rPr>
                <w:b/>
                <w:bCs/>
              </w:rPr>
              <w:t>其他要求：</w:t>
            </w:r>
          </w:p>
          <w:p>
            <w:pPr>
              <w:pStyle w:val="2"/>
              <w:ind w:left="0"/>
            </w:pPr>
            <w:r>
              <w:rPr>
                <w:rFonts w:hint="eastAsia"/>
              </w:rPr>
              <w:t>（1）本次招标○</w:t>
            </w:r>
            <w:r>
              <w:rPr>
                <w:u w:val="single"/>
              </w:rPr>
              <w:t>接受</w:t>
            </w:r>
            <w:r>
              <w:rPr>
                <w:rFonts w:hint="eastAsia"/>
              </w:rPr>
              <w:t>○</w:t>
            </w:r>
            <w:r>
              <w:rPr>
                <w:rFonts w:hint="eastAsia"/>
                <w:u w:val="single"/>
              </w:rPr>
              <w:t>不</w:t>
            </w:r>
            <w:r>
              <w:rPr>
                <w:u w:val="single"/>
              </w:rPr>
              <w:t>接受</w:t>
            </w:r>
            <w:r>
              <w:t>代理商投标</w:t>
            </w:r>
            <w:r>
              <w:rPr>
                <w:rFonts w:hint="eastAsia"/>
              </w:rPr>
              <w:t>，如接受代理商投标，</w:t>
            </w:r>
            <w:r>
              <w:rPr>
                <w:rFonts w:hint="eastAsia"/>
                <w:u w:val="single"/>
              </w:rPr>
              <w:t xml:space="preserve">       </w:t>
            </w:r>
            <w:r>
              <w:t>。</w:t>
            </w:r>
            <w:r>
              <w:rPr>
                <w:rFonts w:hint="eastAsia"/>
              </w:rPr>
              <w:t>（注：针对投标标的的核心设备或材料，一个制造商对同一品牌同一型号的货物，仅能委托一个代理商参加投标）</w:t>
            </w:r>
          </w:p>
          <w:p>
            <w:pPr>
              <w:pStyle w:val="2"/>
              <w:ind w:left="0"/>
            </w:pPr>
            <w:r>
              <w:rPr>
                <w:rFonts w:hint="eastAsia"/>
              </w:rPr>
              <w:t>□（</w:t>
            </w:r>
            <w:r>
              <w:t>2</w:t>
            </w:r>
            <w:r>
              <w:rPr>
                <w:rFonts w:hint="eastAsia"/>
              </w:rPr>
              <w:t>）类似业绩要求提供多种证明材料的，以</w:t>
            </w:r>
            <w:r>
              <w:rPr>
                <w:rFonts w:hint="eastAsia"/>
                <w:u w:val="single"/>
              </w:rPr>
              <w:t xml:space="preserve">   </w:t>
            </w:r>
            <w:r>
              <w:rPr>
                <w:u w:val="single"/>
              </w:rPr>
              <w:t xml:space="preserve">                   </w:t>
            </w:r>
            <w:r>
              <w:rPr>
                <w:rFonts w:hint="eastAsia"/>
              </w:rPr>
              <w:t>时间为准，确定投标人提供的类似业绩是否有效。</w:t>
            </w:r>
          </w:p>
          <w:p>
            <w:pPr>
              <w:pStyle w:val="2"/>
              <w:ind w:left="0" w:firstLine="440" w:firstLineChars="200"/>
            </w:pPr>
            <w:r>
              <w:rPr>
                <w:rFonts w:hint="eastAsia"/>
              </w:rPr>
              <w:t>类似业绩的合同或中标（中选）通知书均无法体现出所要求的</w:t>
            </w:r>
            <w:r>
              <w:t>供货范围（货物规格和型号）、供货期、合同金额等主要内容</w:t>
            </w:r>
            <w:r>
              <w:rPr>
                <w:rFonts w:hint="eastAsia"/>
              </w:rPr>
              <w:t>，则投标人还需提供建设单位盖章确认的其</w:t>
            </w:r>
            <w:r>
              <w:t>供货范围（货物规格和型号）、供货期、合同金</w:t>
            </w:r>
            <w:r>
              <w:rPr>
                <w:rFonts w:hint="eastAsia"/>
              </w:rPr>
              <w:t>额</w:t>
            </w:r>
            <w:r>
              <w:t>等主要内容</w:t>
            </w:r>
            <w:r>
              <w:rPr>
                <w:rFonts w:hint="eastAsia"/>
              </w:rPr>
              <w:t>的证明材料，投标人须将此证明材料放入投标文件中。</w:t>
            </w:r>
          </w:p>
          <w:p>
            <w:pPr>
              <w:pStyle w:val="2"/>
              <w:ind w:left="0" w:firstLine="440" w:firstLineChars="200"/>
            </w:pPr>
            <w:r>
              <w:rPr>
                <w:rFonts w:hint="eastAsia"/>
              </w:rPr>
              <w:t>所提供类似业绩须符合企业的经营范围，超越经营范围取得的类似业绩以及在取得相应经营范围时间以前承担（含不具备相应经营范围非法承担）的业绩均为无效业绩。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t>1.4.2</w:t>
            </w:r>
          </w:p>
        </w:tc>
        <w:tc>
          <w:tcPr>
            <w:tcW w:w="1765" w:type="dxa"/>
            <w:shd w:val="clear" w:color="auto" w:fill="auto"/>
            <w:vAlign w:val="center"/>
          </w:tcPr>
          <w:p>
            <w:pPr>
              <w:pStyle w:val="2"/>
              <w:ind w:left="0"/>
              <w:jc w:val="center"/>
            </w:pPr>
            <w:r>
              <w:rPr>
                <w:rFonts w:hint="eastAsia"/>
              </w:rPr>
              <w:t>★</w:t>
            </w:r>
            <w:r>
              <w:t>是否接受</w:t>
            </w:r>
          </w:p>
          <w:p>
            <w:pPr>
              <w:pStyle w:val="2"/>
              <w:ind w:left="0"/>
              <w:jc w:val="center"/>
            </w:pPr>
            <w:r>
              <w:t>联合体投标</w:t>
            </w:r>
          </w:p>
        </w:tc>
        <w:tc>
          <w:tcPr>
            <w:tcW w:w="7062" w:type="dxa"/>
            <w:shd w:val="clear" w:color="auto" w:fill="auto"/>
          </w:tcPr>
          <w:p>
            <w:pPr>
              <w:pStyle w:val="2"/>
              <w:ind w:left="0"/>
            </w:pPr>
            <w:r>
              <w:rPr>
                <w:rFonts w:hint="eastAsia"/>
              </w:rPr>
              <w:t>○不接受；</w:t>
            </w:r>
          </w:p>
          <w:p>
            <w:pPr>
              <w:pStyle w:val="2"/>
              <w:ind w:left="0"/>
            </w:pPr>
            <w:r>
              <w:rPr>
                <w:rFonts w:hint="eastAsia"/>
              </w:rPr>
              <w:t>○接受，联合体投标的，应满足下列要求：须具有</w:t>
            </w:r>
            <w:r>
              <w:rPr>
                <w:u w:val="single"/>
              </w:rPr>
              <w:t xml:space="preserve">         </w:t>
            </w:r>
            <w:r>
              <w:rPr>
                <w:rFonts w:hint="eastAsia"/>
              </w:rPr>
              <w:t>资格条件的单位作为联合体牵头人。联合体成员（含联合体牵头人）家数须不超过</w:t>
            </w:r>
            <w:r>
              <w:t xml:space="preserve">   </w:t>
            </w:r>
            <w:r>
              <w:rPr>
                <w:rFonts w:hint="eastAsia"/>
              </w:rPr>
              <w:t>家。</w:t>
            </w:r>
          </w:p>
          <w:p>
            <w:pPr>
              <w:pStyle w:val="2"/>
              <w:ind w:left="0"/>
            </w:pPr>
            <w:r>
              <w:rPr>
                <w:rFonts w:hint="eastAsia"/>
              </w:rPr>
              <w:t>联合体需符合有关联合体投标的规定和要求，并提交了联合体协议，明确联合体牵头人和各方权利义务。</w:t>
            </w:r>
          </w:p>
          <w:p>
            <w:pPr>
              <w:pStyle w:val="2"/>
              <w:ind w:left="0"/>
            </w:pPr>
            <w:r>
              <w:rPr>
                <w:rFonts w:hint="eastAsia"/>
              </w:rPr>
              <w:t>联合体各方不得再以自己名义单独或参加其他联合体在同一标段中投标。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1.4.3</w:t>
            </w:r>
          </w:p>
        </w:tc>
        <w:tc>
          <w:tcPr>
            <w:tcW w:w="1765" w:type="dxa"/>
            <w:shd w:val="clear" w:color="auto" w:fill="auto"/>
            <w:vAlign w:val="center"/>
          </w:tcPr>
          <w:p>
            <w:pPr>
              <w:pStyle w:val="2"/>
              <w:ind w:left="0"/>
              <w:jc w:val="center"/>
            </w:pPr>
            <w:r>
              <w:t>限制投标的情形</w:t>
            </w:r>
          </w:p>
        </w:tc>
        <w:tc>
          <w:tcPr>
            <w:tcW w:w="7062" w:type="dxa"/>
            <w:shd w:val="clear" w:color="auto" w:fill="auto"/>
            <w:vAlign w:val="center"/>
          </w:tcPr>
          <w:p>
            <w:pPr>
              <w:pStyle w:val="2"/>
              <w:ind w:left="0"/>
            </w:pPr>
            <w:r>
              <w:rPr>
                <w:rFonts w:hint="eastAsia"/>
              </w:rPr>
              <w:t>除投标人不得存在的18种情形之一外，投标人也不得存在下列情形：</w:t>
            </w:r>
          </w:p>
          <w:p>
            <w:pPr>
              <w:pStyle w:val="2"/>
              <w:ind w:left="0"/>
            </w:pPr>
            <w:r>
              <w:rPr>
                <w:rFonts w:hint="eastAsia"/>
              </w:rPr>
              <w:t>（19）根据国家或四川省有关部门制定的其他联合惩戒措施规范性文件（联合惩戒措施包括限制参与工程招投标或限制参与政府采购活动），被列为联合惩戒对象的；</w:t>
            </w:r>
          </w:p>
          <w:p>
            <w:pPr>
              <w:pStyle w:val="2"/>
              <w:ind w:left="0"/>
            </w:pPr>
            <w:r>
              <w:rPr>
                <w:rFonts w:hint="eastAsia"/>
              </w:rPr>
              <w:t>注：除此之外招标人不得另行增加其他限制投标情形。</w:t>
            </w:r>
          </w:p>
          <w:p>
            <w:pPr>
              <w:pStyle w:val="2"/>
              <w:ind w:left="0"/>
            </w:pPr>
            <w:r>
              <w:rPr>
                <w:rFonts w:hint="eastAsia"/>
              </w:rPr>
              <w:t>本条（14）规定的事项，应以有关行政主管部门出具的已生效的行政处罚决定书为依据，“近三年”应以行政处罚决定书的出具时间起算。</w:t>
            </w:r>
          </w:p>
          <w:p>
            <w:pPr>
              <w:pStyle w:val="2"/>
              <w:ind w:left="0"/>
            </w:pPr>
            <w:r>
              <w:rPr>
                <w:rFonts w:hint="eastAsia"/>
              </w:rPr>
              <w:t>“被依法暂停或取消投标资格的”是指：</w:t>
            </w:r>
          </w:p>
          <w:p>
            <w:pPr>
              <w:pStyle w:val="2"/>
              <w:ind w:left="0"/>
            </w:pPr>
            <w:r>
              <w:rPr>
                <w:rFonts w:hint="eastAsia"/>
              </w:rPr>
              <w:t>投标人存在被行政主管部门依据法律、法规、规章作出暂停或取消一定时期投标资格的已生效行政处罚，其限制投标范围与所依据的法律、法规、规章适用范围相同，与行政处罚规定的限制投标行政区域无关。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959" w:type="dxa"/>
            <w:shd w:val="clear" w:color="auto" w:fill="auto"/>
            <w:vAlign w:val="center"/>
          </w:tcPr>
          <w:p>
            <w:pPr>
              <w:pStyle w:val="2"/>
              <w:ind w:left="0"/>
              <w:jc w:val="center"/>
            </w:pPr>
            <w:r>
              <w:rPr>
                <w:rFonts w:hint="eastAsia"/>
              </w:rPr>
              <w:t>1.4.4</w:t>
            </w:r>
          </w:p>
        </w:tc>
        <w:tc>
          <w:tcPr>
            <w:tcW w:w="1765" w:type="dxa"/>
            <w:shd w:val="clear" w:color="auto" w:fill="auto"/>
            <w:vAlign w:val="center"/>
          </w:tcPr>
          <w:p>
            <w:pPr>
              <w:pStyle w:val="2"/>
              <w:ind w:left="0"/>
              <w:jc w:val="center"/>
            </w:pPr>
            <w:r>
              <w:rPr>
                <w:rFonts w:hint="eastAsia"/>
              </w:rPr>
              <w:t>★投标其他要求</w:t>
            </w:r>
          </w:p>
        </w:tc>
        <w:tc>
          <w:tcPr>
            <w:tcW w:w="7062" w:type="dxa"/>
            <w:shd w:val="clear" w:color="auto" w:fill="auto"/>
            <w:vAlign w:val="center"/>
          </w:tcPr>
          <w:p>
            <w:pPr>
              <w:pStyle w:val="2"/>
              <w:ind w:left="0"/>
            </w:pPr>
            <w:r>
              <w:t xml:space="preserve">  </w:t>
            </w:r>
            <w:r>
              <w:rPr>
                <w:rFonts w:hint="eastAsia"/>
                <w:u w:val="single"/>
              </w:rPr>
              <w:t xml:space="preserve">                           </w:t>
            </w:r>
            <w:r>
              <w:rPr>
                <w:rFonts w:hint="eastAsia"/>
              </w:rPr>
              <w:t xml:space="preserve">   </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959" w:type="dxa"/>
            <w:shd w:val="clear" w:color="auto" w:fill="auto"/>
            <w:vAlign w:val="center"/>
          </w:tcPr>
          <w:p>
            <w:pPr>
              <w:pStyle w:val="2"/>
              <w:ind w:left="0"/>
              <w:jc w:val="center"/>
            </w:pPr>
            <w:r>
              <w:rPr>
                <w:rFonts w:hint="eastAsia"/>
              </w:rPr>
              <w:t>1.9.1</w:t>
            </w:r>
          </w:p>
        </w:tc>
        <w:tc>
          <w:tcPr>
            <w:tcW w:w="1765" w:type="dxa"/>
            <w:shd w:val="clear" w:color="auto" w:fill="auto"/>
            <w:vAlign w:val="center"/>
          </w:tcPr>
          <w:p>
            <w:pPr>
              <w:pStyle w:val="2"/>
              <w:ind w:left="0"/>
              <w:jc w:val="center"/>
            </w:pPr>
            <w:r>
              <w:rPr>
                <w:rFonts w:hint="eastAsia"/>
              </w:rPr>
              <w:t>踏勘现场</w:t>
            </w:r>
          </w:p>
        </w:tc>
        <w:tc>
          <w:tcPr>
            <w:tcW w:w="7062" w:type="dxa"/>
            <w:shd w:val="clear" w:color="auto" w:fill="auto"/>
            <w:vAlign w:val="center"/>
          </w:tcPr>
          <w:p>
            <w:pPr>
              <w:pStyle w:val="2"/>
              <w:ind w:left="0"/>
            </w:pPr>
            <w:r>
              <w:rPr>
                <w:rFonts w:hint="eastAsia"/>
              </w:rPr>
              <w:t>不组织，由投标人自行踏勘，由此造成的一切后果由投标人自行承担。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1.10.1</w:t>
            </w:r>
          </w:p>
        </w:tc>
        <w:tc>
          <w:tcPr>
            <w:tcW w:w="1765" w:type="dxa"/>
            <w:shd w:val="clear" w:color="auto" w:fill="auto"/>
            <w:vAlign w:val="center"/>
          </w:tcPr>
          <w:p>
            <w:pPr>
              <w:pStyle w:val="2"/>
              <w:ind w:left="0"/>
              <w:jc w:val="center"/>
            </w:pPr>
            <w:r>
              <w:rPr>
                <w:rFonts w:hint="eastAsia"/>
              </w:rPr>
              <w:t>投标预备会</w:t>
            </w:r>
          </w:p>
        </w:tc>
        <w:tc>
          <w:tcPr>
            <w:tcW w:w="7062" w:type="dxa"/>
            <w:shd w:val="clear" w:color="auto" w:fill="auto"/>
            <w:vAlign w:val="center"/>
          </w:tcPr>
          <w:p>
            <w:pPr>
              <w:pStyle w:val="2"/>
              <w:ind w:left="0"/>
            </w:pPr>
            <w:r>
              <w:rPr>
                <w:rFonts w:hint="eastAsia"/>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959" w:type="dxa"/>
            <w:shd w:val="clear" w:color="auto" w:fill="auto"/>
            <w:vAlign w:val="center"/>
          </w:tcPr>
          <w:p>
            <w:pPr>
              <w:pStyle w:val="2"/>
              <w:ind w:left="0"/>
              <w:jc w:val="center"/>
            </w:pPr>
            <w:r>
              <w:rPr>
                <w:rFonts w:hint="eastAsia"/>
              </w:rPr>
              <w:t>1.11</w:t>
            </w:r>
          </w:p>
        </w:tc>
        <w:tc>
          <w:tcPr>
            <w:tcW w:w="1765" w:type="dxa"/>
            <w:shd w:val="clear" w:color="auto" w:fill="auto"/>
            <w:vAlign w:val="center"/>
          </w:tcPr>
          <w:p>
            <w:pPr>
              <w:pStyle w:val="2"/>
              <w:ind w:left="0"/>
              <w:jc w:val="center"/>
            </w:pPr>
            <w:r>
              <w:rPr>
                <w:rFonts w:hint="eastAsia"/>
              </w:rPr>
              <w:t>★分包</w:t>
            </w:r>
          </w:p>
        </w:tc>
        <w:tc>
          <w:tcPr>
            <w:tcW w:w="7062" w:type="dxa"/>
            <w:shd w:val="clear" w:color="auto" w:fill="auto"/>
            <w:vAlign w:val="center"/>
          </w:tcPr>
          <w:p>
            <w:pPr>
              <w:pStyle w:val="2"/>
              <w:ind w:left="0"/>
            </w:pPr>
            <w:r>
              <w:rPr>
                <w:rFonts w:hint="eastAsia"/>
              </w:rPr>
              <w:t>○不允许</w:t>
            </w:r>
          </w:p>
          <w:p>
            <w:pPr>
              <w:pStyle w:val="2"/>
              <w:ind w:left="0"/>
            </w:pPr>
            <w:r>
              <w:rPr>
                <w:rFonts w:hint="eastAsia"/>
              </w:rPr>
              <w:t>○允许：中标人可以将承包</w:t>
            </w:r>
            <w:r>
              <w:rPr>
                <w:rFonts w:hint="eastAsia"/>
                <w:lang w:eastAsia="zh-Hans"/>
              </w:rPr>
              <w:t>项目</w:t>
            </w:r>
            <w:r>
              <w:rPr>
                <w:rFonts w:hint="eastAsia"/>
              </w:rPr>
              <w:t>工程中的非主体货物发包给具有相应经营范围的分包单位</w:t>
            </w:r>
            <w:r>
              <w:t>，必须经</w:t>
            </w:r>
            <w:r>
              <w:rPr>
                <w:rFonts w:hint="eastAsia"/>
                <w:lang w:eastAsia="zh-Hans"/>
              </w:rPr>
              <w:t>招标人</w:t>
            </w:r>
            <w:r>
              <w:t>认可</w:t>
            </w:r>
            <w:r>
              <w:rPr>
                <w:rFonts w:hint="eastAsia"/>
              </w:rPr>
              <w:t>（主要设备或者供货合同的主要部分不允许分包）。</w:t>
            </w:r>
          </w:p>
          <w:p>
            <w:pPr>
              <w:pStyle w:val="2"/>
              <w:ind w:left="0"/>
            </w:pPr>
            <w:r>
              <w:rPr>
                <w:rFonts w:hint="eastAsia"/>
              </w:rPr>
              <w:t>□2、其他：</w:t>
            </w:r>
            <w:r>
              <w:rPr>
                <w:rFonts w:hint="eastAsia"/>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1.12</w:t>
            </w:r>
          </w:p>
        </w:tc>
        <w:tc>
          <w:tcPr>
            <w:tcW w:w="1765" w:type="dxa"/>
            <w:shd w:val="clear" w:color="auto" w:fill="auto"/>
            <w:vAlign w:val="center"/>
          </w:tcPr>
          <w:p>
            <w:pPr>
              <w:pStyle w:val="2"/>
              <w:ind w:left="0"/>
              <w:jc w:val="center"/>
            </w:pPr>
            <w:r>
              <w:rPr>
                <w:rFonts w:hint="eastAsia"/>
              </w:rPr>
              <w:t>偏离</w:t>
            </w:r>
          </w:p>
        </w:tc>
        <w:tc>
          <w:tcPr>
            <w:tcW w:w="7062" w:type="dxa"/>
            <w:shd w:val="clear" w:color="auto" w:fill="auto"/>
            <w:vAlign w:val="center"/>
          </w:tcPr>
          <w:p>
            <w:pPr>
              <w:pStyle w:val="2"/>
              <w:ind w:left="0"/>
            </w:pPr>
            <w:r>
              <w:rPr>
                <w:rFonts w:hint="eastAsia"/>
              </w:rPr>
              <w:t>○不允许</w:t>
            </w:r>
          </w:p>
          <w:p>
            <w:pPr>
              <w:pStyle w:val="2"/>
              <w:ind w:left="0"/>
            </w:pPr>
            <w:r>
              <w:rPr>
                <w:rFonts w:hint="eastAsia"/>
              </w:rPr>
              <w:t>○允许，具体要求详见第三章《评标办法》“评标办法前附表”中第</w:t>
            </w:r>
            <w:r>
              <w:rPr>
                <w:rFonts w:hint="eastAsia"/>
                <w:u w:val="single"/>
              </w:rPr>
              <w:t xml:space="preserve"> </w:t>
            </w:r>
            <w:r>
              <w:rPr>
                <w:u w:val="single"/>
              </w:rPr>
              <w:t xml:space="preserve"> </w:t>
            </w:r>
            <w:r>
              <w:rPr>
                <w:rFonts w:hint="eastAsia"/>
              </w:rPr>
              <w:t>条规定。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959" w:type="dxa"/>
            <w:shd w:val="clear" w:color="auto" w:fill="auto"/>
            <w:vAlign w:val="center"/>
          </w:tcPr>
          <w:p>
            <w:pPr>
              <w:pStyle w:val="2"/>
              <w:ind w:left="0"/>
              <w:jc w:val="center"/>
            </w:pPr>
            <w:r>
              <w:rPr>
                <w:rFonts w:hint="eastAsia"/>
              </w:rPr>
              <w:t>2.1</w:t>
            </w:r>
          </w:p>
        </w:tc>
        <w:tc>
          <w:tcPr>
            <w:tcW w:w="1765" w:type="dxa"/>
            <w:shd w:val="clear" w:color="auto" w:fill="auto"/>
            <w:vAlign w:val="center"/>
          </w:tcPr>
          <w:p>
            <w:pPr>
              <w:pStyle w:val="2"/>
              <w:ind w:left="0"/>
              <w:jc w:val="center"/>
            </w:pPr>
            <w:r>
              <w:rPr>
                <w:rFonts w:hint="eastAsia"/>
              </w:rPr>
              <w:t>构成招标文件的其他材料</w:t>
            </w:r>
          </w:p>
        </w:tc>
        <w:tc>
          <w:tcPr>
            <w:tcW w:w="7062" w:type="dxa"/>
            <w:shd w:val="clear" w:color="auto" w:fill="auto"/>
            <w:vAlign w:val="center"/>
          </w:tcPr>
          <w:p>
            <w:pPr>
              <w:pStyle w:val="2"/>
              <w:ind w:left="0"/>
            </w:pPr>
            <w:bookmarkStart w:id="12" w:name="_Toc213338009"/>
            <w:r>
              <w:rPr>
                <w:rFonts w:hint="eastAsia"/>
              </w:rPr>
              <w:t xml:space="preserve"> </w:t>
            </w:r>
            <w:r>
              <w:rPr>
                <w:rFonts w:hint="eastAsia"/>
                <w:u w:val="single"/>
              </w:rPr>
              <w:t xml:space="preserve">                   </w:t>
            </w:r>
            <w:r>
              <w:rPr>
                <w:rFonts w:hint="eastAsia"/>
              </w:rPr>
              <w:t xml:space="preserve"> 。</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959" w:type="dxa"/>
            <w:shd w:val="clear" w:color="auto" w:fill="auto"/>
            <w:vAlign w:val="center"/>
          </w:tcPr>
          <w:p>
            <w:pPr>
              <w:pStyle w:val="2"/>
              <w:ind w:left="0"/>
              <w:jc w:val="center"/>
            </w:pPr>
            <w:r>
              <w:rPr>
                <w:rFonts w:hint="eastAsia"/>
              </w:rPr>
              <w:t>2.2.1</w:t>
            </w:r>
          </w:p>
        </w:tc>
        <w:tc>
          <w:tcPr>
            <w:tcW w:w="1765" w:type="dxa"/>
            <w:shd w:val="clear" w:color="auto" w:fill="auto"/>
            <w:vAlign w:val="center"/>
          </w:tcPr>
          <w:p>
            <w:pPr>
              <w:pStyle w:val="2"/>
              <w:ind w:left="0"/>
              <w:jc w:val="center"/>
            </w:pPr>
            <w:r>
              <w:rPr>
                <w:rFonts w:hint="eastAsia"/>
              </w:rPr>
              <w:t>投标人要求澄清招标文件的截止时间</w:t>
            </w:r>
          </w:p>
        </w:tc>
        <w:tc>
          <w:tcPr>
            <w:tcW w:w="7062" w:type="dxa"/>
            <w:shd w:val="clear" w:color="auto" w:fill="auto"/>
            <w:vAlign w:val="center"/>
          </w:tcPr>
          <w:p>
            <w:pPr>
              <w:pStyle w:val="2"/>
              <w:ind w:left="0"/>
            </w:pPr>
            <w:r>
              <w:t>投标人如有疑问，应在</w:t>
            </w:r>
            <w:r>
              <w:rPr>
                <w:u w:val="single"/>
              </w:rPr>
              <w:t>  </w:t>
            </w:r>
            <w:r>
              <w:t>年</w:t>
            </w:r>
            <w:r>
              <w:rPr>
                <w:u w:val="single"/>
              </w:rPr>
              <w:t>  </w:t>
            </w:r>
            <w:r>
              <w:t>月</w:t>
            </w:r>
            <w:r>
              <w:rPr>
                <w:u w:val="single"/>
              </w:rPr>
              <w:t>   </w:t>
            </w:r>
            <w:r>
              <w:t>日</w:t>
            </w:r>
            <w:r>
              <w:rPr>
                <w:u w:val="single"/>
              </w:rPr>
              <w:t>  </w:t>
            </w:r>
            <w:r>
              <w:t>时</w:t>
            </w:r>
            <w:r>
              <w:rPr>
                <w:rFonts w:hint="eastAsia"/>
                <w:u w:val="single"/>
              </w:rPr>
              <w:t xml:space="preserve">    </w:t>
            </w:r>
            <w:r>
              <w:rPr>
                <w:rFonts w:hint="eastAsia"/>
              </w:rPr>
              <w:t>分</w:t>
            </w:r>
            <w:r>
              <w:t>之前</w:t>
            </w:r>
            <w:r>
              <w:rPr>
                <w:rFonts w:hint="eastAsia"/>
              </w:rPr>
              <w:t>（投标截止日前10天）</w:t>
            </w:r>
            <w:r>
              <w:t>使用CA数字证书登录电子交易云平台进行在线提问（投标人在此时间之后提出的问题，招标人不再进行澄清和答复）。招标人将在投标截止时间15日前以答疑的形式上传至成都市公共资源交易中心电子交易云平台（www.cdggzy.com）进行答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959" w:type="dxa"/>
            <w:shd w:val="clear" w:color="auto" w:fill="auto"/>
            <w:vAlign w:val="center"/>
          </w:tcPr>
          <w:p>
            <w:pPr>
              <w:pStyle w:val="2"/>
              <w:ind w:left="0"/>
              <w:jc w:val="center"/>
            </w:pPr>
            <w:r>
              <w:rPr>
                <w:rFonts w:hint="eastAsia"/>
              </w:rPr>
              <w:t>2.2.2</w:t>
            </w:r>
          </w:p>
        </w:tc>
        <w:tc>
          <w:tcPr>
            <w:tcW w:w="1765" w:type="dxa"/>
            <w:shd w:val="clear" w:color="auto" w:fill="auto"/>
            <w:vAlign w:val="center"/>
          </w:tcPr>
          <w:p>
            <w:pPr>
              <w:pStyle w:val="2"/>
              <w:ind w:left="0"/>
              <w:jc w:val="center"/>
            </w:pPr>
            <w:r>
              <w:rPr>
                <w:rFonts w:hint="eastAsia"/>
              </w:rPr>
              <w:t>投标截止时间</w:t>
            </w:r>
          </w:p>
        </w:tc>
        <w:tc>
          <w:tcPr>
            <w:tcW w:w="7062" w:type="dxa"/>
            <w:shd w:val="clear" w:color="auto" w:fill="auto"/>
            <w:vAlign w:val="center"/>
          </w:tcPr>
          <w:p>
            <w:pPr>
              <w:pStyle w:val="2"/>
              <w:ind w:left="0"/>
            </w:pP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分（以交易中心系统时间为准）</w:t>
            </w:r>
          </w:p>
          <w:p>
            <w:pPr>
              <w:pStyle w:val="2"/>
              <w:ind w:left="0"/>
            </w:pPr>
            <w:r>
              <w:rPr>
                <w:rFonts w:hint="eastAsia"/>
              </w:rPr>
              <w:t>注：若有补遗文件修改的，以补遗文件中确定的时间为准；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959" w:type="dxa"/>
            <w:shd w:val="clear" w:color="auto" w:fill="auto"/>
            <w:vAlign w:val="center"/>
          </w:tcPr>
          <w:p>
            <w:pPr>
              <w:pStyle w:val="2"/>
              <w:ind w:left="0"/>
              <w:jc w:val="center"/>
            </w:pPr>
            <w:r>
              <w:rPr>
                <w:rFonts w:hint="eastAsia"/>
              </w:rPr>
              <w:t>2.2.3</w:t>
            </w:r>
          </w:p>
        </w:tc>
        <w:tc>
          <w:tcPr>
            <w:tcW w:w="1765" w:type="dxa"/>
            <w:shd w:val="clear" w:color="auto" w:fill="auto"/>
            <w:vAlign w:val="center"/>
          </w:tcPr>
          <w:p>
            <w:pPr>
              <w:pStyle w:val="2"/>
              <w:ind w:left="0"/>
              <w:jc w:val="center"/>
            </w:pPr>
            <w:r>
              <w:rPr>
                <w:rFonts w:hint="eastAsia"/>
              </w:rPr>
              <w:t>投标人确认收到招标文件澄清的时间</w:t>
            </w:r>
          </w:p>
        </w:tc>
        <w:tc>
          <w:tcPr>
            <w:tcW w:w="7062" w:type="dxa"/>
            <w:shd w:val="clear" w:color="auto" w:fill="auto"/>
            <w:vAlign w:val="center"/>
          </w:tcPr>
          <w:p>
            <w:pPr>
              <w:pStyle w:val="2"/>
              <w:ind w:left="0"/>
            </w:pPr>
            <w:r>
              <w:rPr>
                <w:rFonts w:hint="eastAsia"/>
              </w:rPr>
              <w:t>招标人将于投标截止时间15日前在《成都市公共资源电子交易云平台》（www.cdggzy.com）上提问答疑区上传经备案后的答疑及补遗文件，投标人请及时在该区自行下载本标段的答疑及补遗文件，投标人应在投标期间随时该区查询本标段的答疑及补遗文件，投标人未自行下载本标段所有答疑及补遗文件，由此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2.3.2</w:t>
            </w:r>
          </w:p>
        </w:tc>
        <w:tc>
          <w:tcPr>
            <w:tcW w:w="1765" w:type="dxa"/>
            <w:shd w:val="clear" w:color="auto" w:fill="auto"/>
            <w:vAlign w:val="center"/>
          </w:tcPr>
          <w:p>
            <w:pPr>
              <w:pStyle w:val="2"/>
              <w:ind w:left="0"/>
              <w:jc w:val="center"/>
            </w:pPr>
            <w:r>
              <w:rPr>
                <w:rFonts w:hint="eastAsia"/>
              </w:rPr>
              <w:t>投标人确认收到招标文件修改的时间</w:t>
            </w:r>
          </w:p>
        </w:tc>
        <w:tc>
          <w:tcPr>
            <w:tcW w:w="7062" w:type="dxa"/>
            <w:shd w:val="clear" w:color="auto" w:fill="auto"/>
            <w:vAlign w:val="center"/>
          </w:tcPr>
          <w:p>
            <w:pPr>
              <w:pStyle w:val="2"/>
              <w:ind w:left="0"/>
            </w:pPr>
            <w:r>
              <w:rPr>
                <w:rFonts w:hint="eastAsia"/>
              </w:rPr>
              <w:t>招标人将于投标截止时间15日前在《成都市公共资源电子交易云平台》（www.cdggzy.com）上招标相关文件下载区上传经修改并备案后的招标文件（若有时），投标人请及时在招标相关文件下载区自行下载本标段修改后的招标文件，投标人应在投标期间随时在《成都市公共资源交易服务中心网》（www.cdggzy.com）上招标相关文件下载区查询本标段是否有修改后的招标文件，投标人未自行下载的，由此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959" w:type="dxa"/>
            <w:shd w:val="clear" w:color="auto" w:fill="auto"/>
            <w:vAlign w:val="center"/>
          </w:tcPr>
          <w:p>
            <w:pPr>
              <w:pStyle w:val="2"/>
              <w:ind w:left="0"/>
              <w:jc w:val="center"/>
            </w:pPr>
            <w:r>
              <w:rPr>
                <w:rFonts w:hint="eastAsia"/>
              </w:rPr>
              <w:t>3.1.1</w:t>
            </w:r>
          </w:p>
        </w:tc>
        <w:tc>
          <w:tcPr>
            <w:tcW w:w="1765" w:type="dxa"/>
            <w:shd w:val="clear" w:color="auto" w:fill="auto"/>
            <w:vAlign w:val="center"/>
          </w:tcPr>
          <w:p>
            <w:pPr>
              <w:pStyle w:val="2"/>
              <w:ind w:left="0"/>
              <w:jc w:val="center"/>
            </w:pPr>
            <w:r>
              <w:rPr>
                <w:rFonts w:hint="eastAsia"/>
              </w:rPr>
              <w:t>构成投标文件的其他材料</w:t>
            </w:r>
          </w:p>
        </w:tc>
        <w:tc>
          <w:tcPr>
            <w:tcW w:w="7062" w:type="dxa"/>
            <w:shd w:val="clear" w:color="auto" w:fill="auto"/>
            <w:vAlign w:val="center"/>
          </w:tcPr>
          <w:p>
            <w:pPr>
              <w:pStyle w:val="2"/>
              <w:ind w:left="0"/>
            </w:pPr>
            <w:bookmarkStart w:id="13" w:name="_Toc213338024"/>
            <w:r>
              <w:rPr>
                <w:rFonts w:hint="eastAsia"/>
              </w:rPr>
              <w:t>投标人认为有必要提供的其他材料</w:t>
            </w:r>
            <w:bookmark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3.3.1</w:t>
            </w:r>
          </w:p>
        </w:tc>
        <w:tc>
          <w:tcPr>
            <w:tcW w:w="1765" w:type="dxa"/>
            <w:shd w:val="clear" w:color="auto" w:fill="auto"/>
            <w:vAlign w:val="center"/>
          </w:tcPr>
          <w:p>
            <w:pPr>
              <w:pStyle w:val="2"/>
              <w:ind w:left="0"/>
              <w:jc w:val="center"/>
            </w:pPr>
            <w:r>
              <w:rPr>
                <w:rFonts w:hint="eastAsia"/>
              </w:rPr>
              <w:t>★投标有效期</w:t>
            </w:r>
          </w:p>
        </w:tc>
        <w:tc>
          <w:tcPr>
            <w:tcW w:w="7062" w:type="dxa"/>
            <w:shd w:val="clear" w:color="auto" w:fill="auto"/>
            <w:vAlign w:val="center"/>
          </w:tcPr>
          <w:p>
            <w:pPr>
              <w:pStyle w:val="2"/>
              <w:ind w:left="0"/>
            </w:pPr>
            <w:r>
              <w:rPr>
                <w:rFonts w:hint="eastAsia"/>
                <w:u w:val="single"/>
              </w:rPr>
              <w:t xml:space="preserve">       </w:t>
            </w:r>
            <w:r>
              <w:rPr>
                <w:rFonts w:hint="eastAsia"/>
              </w:rPr>
              <w:t>日历天（从提交投标文件的截止之日算起）</w:t>
            </w:r>
          </w:p>
          <w:p>
            <w:pPr>
              <w:pStyle w:val="2"/>
              <w:ind w:left="0"/>
            </w:pPr>
            <w:r>
              <w:rPr>
                <w:rFonts w:hint="eastAsia"/>
              </w:rPr>
              <w:t>注:不能在投标有效期内完成评标和定标的,招标人应当通知所有投标人延长投标有效期;拒绝延长投标有效期的投标人有权收回投标保证金;没有拒绝延长投标有效期的投标人自动延长其投标担保的有效期,但不得修改投标文件的实质性内容。因延长投标有效期造成投标人损失的,招标人应当给予补偿,但因不可抗力需延长投标有效期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959" w:type="dxa"/>
            <w:shd w:val="clear" w:color="auto" w:fill="auto"/>
            <w:vAlign w:val="center"/>
          </w:tcPr>
          <w:p>
            <w:pPr>
              <w:pStyle w:val="2"/>
              <w:ind w:left="0"/>
              <w:jc w:val="center"/>
            </w:pPr>
            <w:r>
              <w:rPr>
                <w:rFonts w:hint="eastAsia"/>
              </w:rPr>
              <w:t>3.4.1</w:t>
            </w:r>
          </w:p>
        </w:tc>
        <w:tc>
          <w:tcPr>
            <w:tcW w:w="1765" w:type="dxa"/>
            <w:shd w:val="clear" w:color="auto" w:fill="auto"/>
            <w:vAlign w:val="center"/>
          </w:tcPr>
          <w:p>
            <w:pPr>
              <w:pStyle w:val="2"/>
              <w:ind w:left="0"/>
              <w:jc w:val="center"/>
            </w:pPr>
            <w:r>
              <w:rPr>
                <w:rFonts w:hint="eastAsia"/>
              </w:rPr>
              <w:t>★投标保证金</w:t>
            </w:r>
          </w:p>
        </w:tc>
        <w:tc>
          <w:tcPr>
            <w:tcW w:w="7062" w:type="dxa"/>
            <w:shd w:val="clear" w:color="auto" w:fill="auto"/>
            <w:vAlign w:val="center"/>
          </w:tcPr>
          <w:p>
            <w:pPr>
              <w:pStyle w:val="2"/>
              <w:ind w:left="0"/>
            </w:pPr>
            <w:r>
              <w:rPr>
                <w:rFonts w:hint="eastAsia"/>
              </w:rPr>
              <w:t>○不提交</w:t>
            </w:r>
          </w:p>
          <w:p>
            <w:pPr>
              <w:pStyle w:val="2"/>
              <w:ind w:left="0"/>
            </w:pPr>
            <w:r>
              <w:rPr>
                <w:rFonts w:hint="eastAsia"/>
              </w:rPr>
              <w:t>○提交，投标保证金的金额：</w:t>
            </w:r>
            <w:r>
              <w:rPr>
                <w:rFonts w:hint="eastAsia"/>
                <w:u w:val="single"/>
              </w:rPr>
              <w:t xml:space="preserve">       </w:t>
            </w:r>
            <w:r>
              <w:rPr>
                <w:rFonts w:hint="eastAsia"/>
              </w:rPr>
              <w:t xml:space="preserve"> 。</w:t>
            </w:r>
          </w:p>
          <w:p>
            <w:pPr>
              <w:pStyle w:val="2"/>
              <w:ind w:left="0"/>
            </w:pPr>
            <w:r>
              <w:rPr>
                <w:rFonts w:hint="eastAsia"/>
              </w:rPr>
              <w:t>投标保证金须按招标文件要求、以投标人名义提交。提交单位名称应与投标单位一致，不得以分支机构等其他名义提交，且仅限当次投标项目（标段）有效，不得重复替代使用。</w:t>
            </w:r>
          </w:p>
          <w:p>
            <w:pPr>
              <w:pStyle w:val="2"/>
              <w:ind w:left="0"/>
            </w:pPr>
            <w:r>
              <w:rPr>
                <w:rFonts w:hint="eastAsia"/>
              </w:rPr>
              <w:t>投标保证金的缴纳方式为以下三种方式，由投标人任选一种方式递交：</w:t>
            </w:r>
          </w:p>
          <w:p>
            <w:pPr>
              <w:pStyle w:val="2"/>
              <w:ind w:left="0"/>
            </w:pPr>
            <w:r>
              <w:rPr>
                <w:rFonts w:hint="eastAsia"/>
              </w:rPr>
              <w:t>第一种递交方式——通过基本帐户银行转账或银行电汇或银行汇票或网银</w:t>
            </w:r>
          </w:p>
          <w:p>
            <w:pPr>
              <w:pStyle w:val="2"/>
              <w:ind w:left="0"/>
            </w:pPr>
            <w:r>
              <w:rPr>
                <w:rFonts w:hint="eastAsia"/>
              </w:rPr>
              <w:t>第二种递交方式——银行保函</w:t>
            </w:r>
          </w:p>
          <w:p>
            <w:pPr>
              <w:pStyle w:val="2"/>
              <w:ind w:left="0"/>
            </w:pPr>
            <w:r>
              <w:rPr>
                <w:rFonts w:hint="eastAsia"/>
              </w:rPr>
              <w:t>第三种递交方式——保证保险（即通过与成都市公共资源电子交易云平台完成系统对接的保险机构推送的电子保单）</w:t>
            </w:r>
          </w:p>
          <w:p>
            <w:pPr>
              <w:pStyle w:val="2"/>
              <w:ind w:left="0"/>
            </w:pPr>
            <w:r>
              <w:t>A</w:t>
            </w:r>
            <w:r>
              <w:rPr>
                <w:rFonts w:hint="eastAsia"/>
              </w:rPr>
              <w:t>、采用第一种方式递交投标保证金的注意事项：</w:t>
            </w:r>
          </w:p>
          <w:p>
            <w:pPr>
              <w:pStyle w:val="2"/>
              <w:ind w:left="0"/>
            </w:pPr>
            <w:r>
              <w:rPr>
                <w:rFonts w:hint="eastAsia"/>
              </w:rPr>
              <w:t>（</w:t>
            </w:r>
            <w:r>
              <w:t>1</w:t>
            </w:r>
            <w:r>
              <w:rPr>
                <w:rFonts w:hint="eastAsia"/>
              </w:rPr>
              <w:t>）投标人应根据“拟投标项目回执”上载明的投标保证金收款账户名、账号、开户银行、应交金额等要求交纳保证金，应从其基本账户将投标保证金一次性转至“拟投标项目回执”上的收款账号，投标保证金递交截止时间为投标截止前一个工作日下午16点00分（以到账时间为准）。</w:t>
            </w:r>
          </w:p>
          <w:p>
            <w:pPr>
              <w:pStyle w:val="2"/>
              <w:ind w:left="0"/>
            </w:pPr>
            <w:r>
              <w:rPr>
                <w:rFonts w:hint="eastAsia"/>
              </w:rPr>
              <w:t>（</w:t>
            </w:r>
            <w:r>
              <w:t>2</w:t>
            </w:r>
            <w:r>
              <w:rPr>
                <w:rFonts w:hint="eastAsia"/>
              </w:rPr>
              <w:t>）成都市交易中心投标保证金专用账户的相关信息如下：</w:t>
            </w:r>
          </w:p>
          <w:p>
            <w:pPr>
              <w:pStyle w:val="2"/>
              <w:ind w:left="0"/>
            </w:pPr>
            <w:r>
              <w:rPr>
                <w:rFonts w:hint="eastAsia"/>
              </w:rPr>
              <w:t>开户单位：</w:t>
            </w:r>
            <w:r>
              <w:t xml:space="preserve"> </w:t>
            </w:r>
            <w:r>
              <w:rPr>
                <w:rFonts w:hint="eastAsia"/>
              </w:rPr>
              <w:t>○成都市公共资源交易服务中心</w:t>
            </w:r>
          </w:p>
          <w:p>
            <w:pPr>
              <w:pStyle w:val="2"/>
              <w:ind w:left="0"/>
              <w:rPr>
                <w:u w:val="single"/>
              </w:rPr>
            </w:pPr>
            <w:r>
              <w:rPr>
                <w:rFonts w:hint="eastAsia"/>
              </w:rPr>
              <w:t xml:space="preserve">           分中心：</w:t>
            </w:r>
            <w:r>
              <w:rPr>
                <w:rFonts w:hint="eastAsia"/>
                <w:u w:val="single"/>
              </w:rPr>
              <w:t xml:space="preserve">                    </w:t>
            </w:r>
          </w:p>
          <w:p>
            <w:pPr>
              <w:pStyle w:val="2"/>
              <w:ind w:left="0"/>
            </w:pPr>
            <w:r>
              <w:rPr>
                <w:rFonts w:hint="eastAsia"/>
              </w:rPr>
              <w:t>开</w:t>
            </w:r>
            <w:r>
              <w:t xml:space="preserve"> </w:t>
            </w:r>
            <w:r>
              <w:rPr>
                <w:rFonts w:hint="eastAsia"/>
              </w:rPr>
              <w:t>户</w:t>
            </w:r>
            <w:r>
              <w:t xml:space="preserve"> </w:t>
            </w:r>
            <w:r>
              <w:rPr>
                <w:rFonts w:hint="eastAsia"/>
              </w:rPr>
              <w:t>行： 以“拟投标项目回执”提供的账号为准</w:t>
            </w:r>
          </w:p>
          <w:p>
            <w:pPr>
              <w:pStyle w:val="2"/>
              <w:ind w:left="0"/>
            </w:pPr>
            <w:r>
              <w:rPr>
                <w:rFonts w:hint="eastAsia"/>
              </w:rPr>
              <w:t>帐</w:t>
            </w:r>
            <w:r>
              <w:t xml:space="preserve">    </w:t>
            </w:r>
            <w:r>
              <w:rPr>
                <w:rFonts w:hint="eastAsia"/>
              </w:rPr>
              <w:t>号：以“拟投标项目回执”提供的账号为准</w:t>
            </w:r>
          </w:p>
          <w:p>
            <w:pPr>
              <w:pStyle w:val="2"/>
              <w:ind w:left="0"/>
            </w:pPr>
            <w:r>
              <w:rPr>
                <w:rFonts w:hint="eastAsia"/>
              </w:rPr>
              <w:t>注：在成都银行开设基本账户的投标人，必须使用同城交换或银行电汇的方式提交投标保证金，不能使用通存通兑的方式提交。</w:t>
            </w:r>
          </w:p>
          <w:p>
            <w:pPr>
              <w:pStyle w:val="2"/>
              <w:ind w:left="0"/>
            </w:pPr>
            <w:r>
              <w:rPr>
                <w:rFonts w:hint="eastAsia"/>
              </w:rPr>
              <w:t>B、采用第二种方式递交投标保证金的注意事项：</w:t>
            </w:r>
          </w:p>
          <w:p>
            <w:pPr>
              <w:pStyle w:val="2"/>
              <w:ind w:left="0"/>
            </w:pPr>
            <w:r>
              <w:rPr>
                <w:rFonts w:hint="eastAsia"/>
              </w:rPr>
              <w:t>（1）银行保函的格式以银行格式为准，保函的内容应包括投标保证金金额、保函的有效期限、银行担保的内容（即：如因投标人原因发生招标文件规定的投标保证金不予退还的情况，由银行向招标人足额支付投标保证金）；</w:t>
            </w:r>
          </w:p>
          <w:p>
            <w:pPr>
              <w:pStyle w:val="2"/>
              <w:ind w:left="0"/>
            </w:pPr>
            <w:r>
              <w:rPr>
                <w:rFonts w:hint="eastAsia"/>
              </w:rPr>
              <w:t>（2）递交纸质银行保函的投标人，应在投标截止时间前1个工作日16点00分之前，将投标人基本账户开户银行出具的银行保函原件提交至交易中心；递交电子银行保函的投标人，应在投标截止时间前1个工作日16点00分之前，对接银行将出具的电子银行保函推送至成都市公共资源电子交易云平台。</w:t>
            </w:r>
          </w:p>
          <w:p>
            <w:pPr>
              <w:pStyle w:val="2"/>
              <w:ind w:left="0"/>
            </w:pPr>
            <w:r>
              <w:rPr>
                <w:rFonts w:hint="eastAsia"/>
              </w:rPr>
              <w:t xml:space="preserve"> </w:t>
            </w:r>
            <w:r>
              <w:t>C</w:t>
            </w:r>
            <w:r>
              <w:rPr>
                <w:rFonts w:hint="eastAsia"/>
              </w:rPr>
              <w:t>、采用第三种方式递交投标保证金的注意事项：</w:t>
            </w:r>
          </w:p>
          <w:p>
            <w:pPr>
              <w:pStyle w:val="2"/>
              <w:ind w:left="0"/>
            </w:pPr>
            <w:r>
              <w:rPr>
                <w:rFonts w:hint="eastAsia"/>
              </w:rPr>
              <w:t>(1)保证保险的格式以保险机构的保单格式为准，保单内容应包括投标保证金金额、保单的有效期限、保证的内容等。</w:t>
            </w:r>
          </w:p>
          <w:p>
            <w:pPr>
              <w:pStyle w:val="2"/>
              <w:ind w:left="0"/>
            </w:pPr>
            <w:r>
              <w:rPr>
                <w:rFonts w:hint="eastAsia"/>
              </w:rPr>
              <w:t>(2)投标人应通过其银行账户向保险机构缴纳保函保费，保险机构需在投标人投保的项目投标截止时间前1个工作日16:00时前，将对应标段投标人的电子保险保函推送至成都市公共资源电子交易云平台。保险公司通过短信方式告知投标人投保成功和电子保险保函推送成功。保函保费以投标情况公示表为准。</w:t>
            </w:r>
          </w:p>
          <w:p>
            <w:pPr>
              <w:pStyle w:val="2"/>
              <w:ind w:left="0"/>
            </w:pPr>
            <w:r>
              <w:rPr>
                <w:rFonts w:hint="eastAsia"/>
              </w:rPr>
              <w:t>(3)投标人在招标投标过程中存在提供虚假保证资料或虚假保单、围标串标等违法违规行为经调查属实的，记入企业不良信用信息，同时推送至相关监管部门，在投标保证保险业务开展过程中实施联合惩戒。</w:t>
            </w:r>
          </w:p>
          <w:p>
            <w:pPr>
              <w:pStyle w:val="2"/>
              <w:ind w:left="0"/>
            </w:pPr>
            <w:r>
              <w:t>D</w:t>
            </w:r>
            <w:r>
              <w:rPr>
                <w:rFonts w:hint="eastAsia"/>
              </w:rPr>
              <w:t>、项目（标段）投标保证金的提交情况应于开标时在交易中心开标系统中公布。</w:t>
            </w:r>
          </w:p>
          <w:p>
            <w:pPr>
              <w:pStyle w:val="2"/>
              <w:ind w:left="0"/>
            </w:pPr>
            <w:r>
              <w:t>E</w:t>
            </w:r>
            <w:r>
              <w:rPr>
                <w:rFonts w:hint="eastAsia"/>
              </w:rPr>
              <w:t>、本项目（标段）投标人不按本招标文件要求提交投标保证金的，该投标文件将被否决投标。</w:t>
            </w:r>
          </w:p>
          <w:p>
            <w:pPr>
              <w:pStyle w:val="2"/>
              <w:ind w:left="0"/>
            </w:pPr>
            <w:r>
              <w:t>F</w:t>
            </w:r>
            <w:r>
              <w:rPr>
                <w:rFonts w:hint="eastAsia"/>
              </w:rPr>
              <w:t>.联合体投标的，投标保证金须由联合体牵头人递交，并对联合体各成员均具有同等约束力。</w:t>
            </w:r>
          </w:p>
          <w:p>
            <w:pPr>
              <w:pStyle w:val="2"/>
              <w:ind w:left="0"/>
            </w:pPr>
            <w:r>
              <w:rPr>
                <w:rFonts w:hint="eastAsia"/>
              </w:rPr>
              <w:t>注：1、在开标 (投标截止时间) 时，交易中心对投标人投标保证金提交信息有异常的情况在投标情况公示表上进行标记“*”，招标人（招标代理）如实记录并推送给评标委员会，由评标委员会予以评审。</w:t>
            </w:r>
          </w:p>
          <w:p>
            <w:pPr>
              <w:pStyle w:val="2"/>
              <w:ind w:left="0"/>
            </w:pPr>
            <w:r>
              <w:rPr>
                <w:rFonts w:hint="eastAsia"/>
              </w:rPr>
              <w:t>2、投标人应根据投标保证金交纳要求以及“拟投标项目回执”中的投标保证金收款账户名称、收款账号（下载招标文件时由系统自动生成收款账号）、开户银行等信息提交保证金，并通过交款银行查询是否提交成功。</w:t>
            </w:r>
          </w:p>
          <w:p>
            <w:pPr>
              <w:pStyle w:val="2"/>
              <w:ind w:left="0"/>
            </w:pPr>
            <w:r>
              <w:rPr>
                <w:rFonts w:hint="eastAsia"/>
              </w:rPr>
              <w:t>3、投标保证金不得超过项目估算价的百分之二，但最高不得超过八十万元人民币。投标保证金有效期应当与投标有效期一致。</w:t>
            </w:r>
          </w:p>
          <w:p>
            <w:pPr>
              <w:pStyle w:val="2"/>
              <w:ind w:left="0"/>
            </w:pPr>
            <w:r>
              <w:rPr>
                <w:rFonts w:hint="eastAsia"/>
              </w:rPr>
              <w:t>4、投标保证金金额经计算为</w:t>
            </w:r>
            <w:r>
              <w:t>1—9</w:t>
            </w:r>
            <w:r>
              <w:rPr>
                <w:rFonts w:hint="eastAsia"/>
              </w:rPr>
              <w:t>9</w:t>
            </w:r>
            <w:r>
              <w:t>99</w:t>
            </w:r>
            <w:r>
              <w:rPr>
                <w:rFonts w:hint="eastAsia"/>
              </w:rPr>
              <w:t>元的，按照“取整就低”原则取整到千位（即缴纳：0，</w:t>
            </w:r>
            <w:r>
              <w:t>1000</w:t>
            </w:r>
            <w:r>
              <w:rPr>
                <w:rFonts w:hint="eastAsia"/>
              </w:rPr>
              <w:t>、</w:t>
            </w:r>
            <w:r>
              <w:t>2000</w:t>
            </w:r>
            <w:r>
              <w:rPr>
                <w:rFonts w:hint="eastAsia"/>
              </w:rPr>
              <w:t>、</w:t>
            </w:r>
            <w:r>
              <w:t>3000</w:t>
            </w:r>
            <w:r>
              <w:rPr>
                <w:rFonts w:hint="eastAsia"/>
              </w:rPr>
              <w:t>………</w:t>
            </w:r>
            <w:r>
              <w:t>9000</w:t>
            </w:r>
            <w:r>
              <w:rPr>
                <w:rFonts w:hint="eastAsia"/>
              </w:rPr>
              <w:t>元）；投标保证金金额经计算为</w:t>
            </w:r>
            <w:r>
              <w:t>10000—</w:t>
            </w:r>
            <w:r>
              <w:rPr>
                <w:rFonts w:hint="eastAsia"/>
              </w:rPr>
              <w:t>199</w:t>
            </w:r>
            <w:r>
              <w:t>999</w:t>
            </w:r>
            <w:r>
              <w:rPr>
                <w:rFonts w:hint="eastAsia"/>
              </w:rPr>
              <w:t>元的，按照“取整就低”原则取整到万位（即缴纳：</w:t>
            </w:r>
            <w:r>
              <w:t>10000</w:t>
            </w:r>
            <w:r>
              <w:rPr>
                <w:rFonts w:hint="eastAsia"/>
              </w:rPr>
              <w:t>、</w:t>
            </w:r>
            <w:r>
              <w:t>20000</w:t>
            </w:r>
            <w:r>
              <w:rPr>
                <w:rFonts w:hint="eastAsia"/>
              </w:rPr>
              <w:t>、</w:t>
            </w:r>
            <w:r>
              <w:t>30000</w:t>
            </w:r>
            <w:r>
              <w:rPr>
                <w:rFonts w:hint="eastAsia"/>
              </w:rPr>
              <w:t>………1</w:t>
            </w:r>
            <w:r>
              <w:t>90000</w:t>
            </w:r>
            <w:r>
              <w:rPr>
                <w:rFonts w:hint="eastAsia"/>
              </w:rPr>
              <w:t>元）；投标保证金金额经计算为200</w:t>
            </w:r>
            <w:r>
              <w:t>000—</w:t>
            </w:r>
            <w:r>
              <w:rPr>
                <w:rFonts w:hint="eastAsia"/>
              </w:rPr>
              <w:t>3</w:t>
            </w:r>
            <w:r>
              <w:t>99999</w:t>
            </w:r>
            <w:r>
              <w:rPr>
                <w:rFonts w:hint="eastAsia"/>
              </w:rPr>
              <w:t>元的，按照“取整就低”原则以2万元递增取整（即缴纳：20</w:t>
            </w:r>
            <w:r>
              <w:t>0000</w:t>
            </w:r>
            <w:r>
              <w:rPr>
                <w:rFonts w:hint="eastAsia"/>
              </w:rPr>
              <w:t>、</w:t>
            </w:r>
            <w:r>
              <w:t>2</w:t>
            </w:r>
            <w:r>
              <w:rPr>
                <w:rFonts w:hint="eastAsia"/>
              </w:rPr>
              <w:t>20</w:t>
            </w:r>
            <w:r>
              <w:t>000</w:t>
            </w:r>
            <w:r>
              <w:rPr>
                <w:rFonts w:hint="eastAsia"/>
              </w:rPr>
              <w:t>、24</w:t>
            </w:r>
            <w:r>
              <w:t>0000</w:t>
            </w:r>
            <w:r>
              <w:rPr>
                <w:rFonts w:hint="eastAsia"/>
              </w:rPr>
              <w:t>………38</w:t>
            </w:r>
            <w:r>
              <w:t>0000</w:t>
            </w:r>
            <w:r>
              <w:rPr>
                <w:rFonts w:hint="eastAsia"/>
              </w:rPr>
              <w:t>元）；投标保证金金额经计算为400</w:t>
            </w:r>
            <w:r>
              <w:t>000—</w:t>
            </w:r>
            <w:r>
              <w:rPr>
                <w:rFonts w:hint="eastAsia"/>
              </w:rPr>
              <w:t>7</w:t>
            </w:r>
            <w:r>
              <w:t>99999</w:t>
            </w:r>
            <w:r>
              <w:rPr>
                <w:rFonts w:hint="eastAsia"/>
              </w:rPr>
              <w:t>元的，按照“取整就低”原则以5万元递增取整（即缴纳：40</w:t>
            </w:r>
            <w:r>
              <w:t>0000</w:t>
            </w:r>
            <w:r>
              <w:rPr>
                <w:rFonts w:hint="eastAsia"/>
              </w:rPr>
              <w:t>、450</w:t>
            </w:r>
            <w:r>
              <w:t>000</w:t>
            </w:r>
            <w:r>
              <w:rPr>
                <w:rFonts w:hint="eastAsia"/>
              </w:rPr>
              <w:t>、50</w:t>
            </w:r>
            <w:r>
              <w:t>0000</w:t>
            </w:r>
            <w:r>
              <w:rPr>
                <w:rFonts w:hint="eastAsia"/>
              </w:rPr>
              <w:t>………78</w:t>
            </w:r>
            <w:r>
              <w:t>0000</w:t>
            </w:r>
            <w:r>
              <w:rPr>
                <w:rFonts w:hint="eastAsia"/>
              </w:rPr>
              <w:t>元）；投标保证金金额经计算在</w:t>
            </w:r>
            <w:r>
              <w:t>800000</w:t>
            </w:r>
            <w:r>
              <w:rPr>
                <w:rFonts w:hint="eastAsia"/>
              </w:rPr>
              <w:t>元（含）以上的，缴纳</w:t>
            </w:r>
            <w:r>
              <w:t>800000</w:t>
            </w:r>
            <w:r>
              <w:rPr>
                <w:rFonts w:hint="eastAsia"/>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1" w:hRule="atLeast"/>
          <w:jc w:val="center"/>
        </w:trPr>
        <w:tc>
          <w:tcPr>
            <w:tcW w:w="959" w:type="dxa"/>
            <w:shd w:val="clear" w:color="auto" w:fill="auto"/>
            <w:vAlign w:val="center"/>
          </w:tcPr>
          <w:p>
            <w:pPr>
              <w:pStyle w:val="2"/>
              <w:ind w:left="0"/>
              <w:jc w:val="center"/>
            </w:pPr>
            <w:r>
              <w:rPr>
                <w:rFonts w:hint="eastAsia"/>
              </w:rPr>
              <w:t>3.4.3</w:t>
            </w:r>
          </w:p>
        </w:tc>
        <w:tc>
          <w:tcPr>
            <w:tcW w:w="1765" w:type="dxa"/>
            <w:shd w:val="clear" w:color="auto" w:fill="auto"/>
            <w:vAlign w:val="center"/>
          </w:tcPr>
          <w:p>
            <w:pPr>
              <w:pStyle w:val="2"/>
              <w:ind w:left="0"/>
              <w:jc w:val="center"/>
            </w:pPr>
            <w:r>
              <w:rPr>
                <w:rFonts w:hint="eastAsia"/>
              </w:rPr>
              <w:t>投标保证金的退还</w:t>
            </w:r>
          </w:p>
        </w:tc>
        <w:tc>
          <w:tcPr>
            <w:tcW w:w="7062" w:type="dxa"/>
            <w:shd w:val="clear" w:color="auto" w:fill="auto"/>
            <w:vAlign w:val="center"/>
          </w:tcPr>
          <w:p>
            <w:pPr>
              <w:pStyle w:val="2"/>
              <w:ind w:left="0"/>
            </w:pPr>
            <w:r>
              <w:rPr>
                <w:rFonts w:hint="eastAsia"/>
              </w:rPr>
              <w:t>投标保证金的递交与退还的相关规定按照成发改法规函【2019】159号文执行。</w:t>
            </w:r>
          </w:p>
          <w:p>
            <w:pPr>
              <w:pStyle w:val="2"/>
              <w:ind w:left="0"/>
            </w:pPr>
            <w:r>
              <w:rPr>
                <w:rFonts w:hint="eastAsia"/>
              </w:rPr>
              <w:t>（</w:t>
            </w:r>
            <w:r>
              <w:rPr>
                <w:rFonts w:hint="eastAsia"/>
                <w:b/>
                <w:bCs/>
              </w:rPr>
              <w:t>一）</w:t>
            </w:r>
            <w:r>
              <w:rPr>
                <w:b/>
                <w:bCs/>
              </w:rPr>
              <w:t>投标保证金的正常退还程序</w:t>
            </w:r>
          </w:p>
          <w:p>
            <w:pPr>
              <w:pStyle w:val="2"/>
              <w:ind w:left="0"/>
            </w:pPr>
            <w:r>
              <w:rPr>
                <w:rFonts w:hint="eastAsia"/>
              </w:rPr>
              <w:t>1．非中标候选人的投标保证金及保函，由交易中心在评标结束后第7个工作日发起退还。</w:t>
            </w:r>
          </w:p>
          <w:p>
            <w:pPr>
              <w:pStyle w:val="2"/>
              <w:ind w:left="0"/>
            </w:pPr>
            <w:r>
              <w:rPr>
                <w:rFonts w:hint="eastAsia"/>
              </w:rPr>
              <w:t>2．对于中标的中标候选人，在投标有效期内，由交易中心按照该项目（标段）招标人的书面意见将投标保证金及保函退还至投标人；超过投标有效期的，在有效期届满后第1个工作日由交易中心对投标保证金及保函直接发起退还；对其余中标候选人，在评标结束后10个工作日内投标人未向交易中心提出暂不予退还投标保证金及保函的，由交易中心直接发起退还。</w:t>
            </w:r>
          </w:p>
          <w:p>
            <w:pPr>
              <w:pStyle w:val="2"/>
              <w:ind w:left="0"/>
              <w:rPr>
                <w:b/>
                <w:bCs/>
              </w:rPr>
            </w:pPr>
            <w:r>
              <w:rPr>
                <w:b/>
                <w:bCs/>
              </w:rPr>
              <w:t>（二）投标保证金的非正常退还程序</w:t>
            </w:r>
          </w:p>
          <w:p>
            <w:pPr>
              <w:pStyle w:val="2"/>
              <w:ind w:left="0"/>
            </w:pPr>
            <w:r>
              <w:rPr>
                <w:rFonts w:hint="eastAsia"/>
              </w:rPr>
              <w:t>1．投标人涉嫌违法违规或被投诉的，正处于调查处理期间，招标监督部门应及时书面通知交易中心，投标保证金暂不退还。待行政监督部门出具调查处理结果后，交易中心根据处理意见发起退还。</w:t>
            </w:r>
          </w:p>
          <w:p>
            <w:pPr>
              <w:pStyle w:val="2"/>
              <w:ind w:left="0"/>
            </w:pPr>
            <w:r>
              <w:rPr>
                <w:rFonts w:hint="eastAsia"/>
              </w:rPr>
              <w:t>2．招标人因特殊情况书面要求所有投标人延长投标有效期，并相应延长投标保证金有效期的，须在正常退还程序启动之前书面告知交易中心。若投标人向交易中心书面表达拒绝延长并放弃投标的，由交易中心将投标保证金退还至投标人。</w:t>
            </w:r>
          </w:p>
          <w:p>
            <w:pPr>
              <w:pStyle w:val="2"/>
              <w:ind w:left="0"/>
              <w:rPr>
                <w:b/>
                <w:bCs/>
              </w:rPr>
            </w:pPr>
            <w:r>
              <w:rPr>
                <w:b/>
                <w:bCs/>
              </w:rPr>
              <w:t>（三）投标保证金的退还方式</w:t>
            </w:r>
          </w:p>
          <w:p>
            <w:pPr>
              <w:pStyle w:val="2"/>
              <w:ind w:left="0"/>
            </w:pPr>
            <w:r>
              <w:rPr>
                <w:rFonts w:hint="eastAsia"/>
              </w:rPr>
              <w:t>1．以现金方式提交的投标保证金，交易中心将保证金退还至原拨付账户；以保函方式提交的投标保证金，交易中心按保函约定方式退还。</w:t>
            </w:r>
          </w:p>
          <w:p>
            <w:pPr>
              <w:pStyle w:val="2"/>
              <w:ind w:left="0"/>
            </w:pPr>
            <w:r>
              <w:rPr>
                <w:rFonts w:hint="eastAsia"/>
              </w:rPr>
              <w:t>2．以现金方式提交的投标保证金，其利息按照专用账户开户银行退款当日挂牌对公活期存款利率计算，在退还投标保证金的同时将利息划拨至投标保证金的原拨付账户。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1" w:hRule="atLeast"/>
          <w:jc w:val="center"/>
        </w:trPr>
        <w:tc>
          <w:tcPr>
            <w:tcW w:w="959" w:type="dxa"/>
            <w:shd w:val="clear" w:color="auto" w:fill="auto"/>
            <w:vAlign w:val="center"/>
          </w:tcPr>
          <w:p>
            <w:pPr>
              <w:pStyle w:val="2"/>
              <w:ind w:left="0"/>
              <w:jc w:val="center"/>
            </w:pPr>
            <w:r>
              <w:t>3.4.4</w:t>
            </w:r>
          </w:p>
        </w:tc>
        <w:tc>
          <w:tcPr>
            <w:tcW w:w="1765" w:type="dxa"/>
            <w:shd w:val="clear" w:color="auto" w:fill="auto"/>
            <w:vAlign w:val="center"/>
          </w:tcPr>
          <w:p>
            <w:pPr>
              <w:pStyle w:val="2"/>
              <w:ind w:left="0"/>
              <w:jc w:val="center"/>
            </w:pPr>
            <w:r>
              <w:rPr>
                <w:rFonts w:hint="eastAsia"/>
              </w:rPr>
              <w:t>投标保证金不予退还的情形</w:t>
            </w:r>
          </w:p>
        </w:tc>
        <w:tc>
          <w:tcPr>
            <w:tcW w:w="7062" w:type="dxa"/>
            <w:shd w:val="clear" w:color="auto" w:fill="auto"/>
            <w:vAlign w:val="center"/>
          </w:tcPr>
          <w:p>
            <w:pPr>
              <w:pStyle w:val="2"/>
              <w:ind w:left="0"/>
              <w:rPr>
                <w:b/>
                <w:bCs/>
              </w:rPr>
            </w:pPr>
            <w:r>
              <w:rPr>
                <w:b/>
                <w:bCs/>
              </w:rPr>
              <w:t>投标人有下列情形之一的，不予退还投标保证金：</w:t>
            </w:r>
          </w:p>
          <w:p>
            <w:pPr>
              <w:pStyle w:val="2"/>
              <w:ind w:left="0"/>
            </w:pPr>
            <w:r>
              <w:rPr>
                <w:rFonts w:hint="eastAsia"/>
              </w:rPr>
              <w:t>（一）在提交投标文件截止时间后到招标文件规定的投标有效期终止之前，投标人要求撤销、修改、补充或替代投标文件的；</w:t>
            </w:r>
          </w:p>
          <w:p>
            <w:pPr>
              <w:pStyle w:val="2"/>
              <w:ind w:left="0"/>
            </w:pPr>
            <w:r>
              <w:rPr>
                <w:rFonts w:hint="eastAsia"/>
              </w:rPr>
              <w:t>（二）中标通知书发出后，中标人放弃中标项目的，无正当理由不与招标人签订合同的，在签订合同时向招标人提出附加条件或者更改合同实质性内容的，或者拒不提交所要求的履约保证金的；</w:t>
            </w:r>
          </w:p>
          <w:p>
            <w:pPr>
              <w:pStyle w:val="2"/>
              <w:ind w:left="0"/>
            </w:pPr>
            <w:r>
              <w:rPr>
                <w:rFonts w:hint="eastAsia"/>
              </w:rPr>
              <w:t>（三）投标人在投标活动中串通投标、弄虚作假的；</w:t>
            </w:r>
          </w:p>
          <w:p>
            <w:pPr>
              <w:pStyle w:val="2"/>
              <w:ind w:left="0"/>
            </w:pPr>
            <w:r>
              <w:rPr>
                <w:rFonts w:hint="eastAsia"/>
              </w:rPr>
              <w:t>（四）法律法规规定不予退还的其他情形。</w:t>
            </w:r>
          </w:p>
          <w:p>
            <w:pPr>
              <w:pStyle w:val="2"/>
              <w:ind w:left="0"/>
            </w:pPr>
            <w:r>
              <w:rPr>
                <w:rFonts w:hint="eastAsia"/>
              </w:rPr>
              <w:t>不予退还投标保证金的，由交易中心依据招标人和行政监督部门的书面意见，将投标保证金转至招标人的基本账户。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959" w:type="dxa"/>
            <w:shd w:val="clear" w:color="auto" w:fill="auto"/>
            <w:vAlign w:val="center"/>
          </w:tcPr>
          <w:p>
            <w:pPr>
              <w:pStyle w:val="2"/>
              <w:ind w:left="0"/>
              <w:jc w:val="center"/>
            </w:pPr>
            <w:r>
              <w:t>3.5</w:t>
            </w:r>
          </w:p>
        </w:tc>
        <w:tc>
          <w:tcPr>
            <w:tcW w:w="1765" w:type="dxa"/>
            <w:shd w:val="clear" w:color="auto" w:fill="auto"/>
            <w:vAlign w:val="center"/>
          </w:tcPr>
          <w:p>
            <w:pPr>
              <w:pStyle w:val="2"/>
              <w:ind w:left="0"/>
              <w:jc w:val="center"/>
            </w:pPr>
            <w:r>
              <w:t>资格审查资料的特殊要求</w:t>
            </w:r>
          </w:p>
        </w:tc>
        <w:tc>
          <w:tcPr>
            <w:tcW w:w="7062" w:type="dxa"/>
            <w:shd w:val="clear" w:color="auto" w:fill="auto"/>
            <w:vAlign w:val="center"/>
          </w:tcPr>
          <w:p>
            <w:pPr>
              <w:pStyle w:val="2"/>
              <w:ind w:left="0"/>
            </w:pPr>
            <w:r>
              <w:rPr>
                <w:rFonts w:hint="eastAsia"/>
              </w:rPr>
              <w:t>○</w:t>
            </w:r>
            <w:r>
              <w:t>无</w:t>
            </w:r>
          </w:p>
          <w:p>
            <w:pPr>
              <w:pStyle w:val="2"/>
              <w:ind w:left="0"/>
            </w:pPr>
            <w:r>
              <w:rPr>
                <w:rFonts w:hint="eastAsia"/>
              </w:rPr>
              <w:t>○</w:t>
            </w:r>
            <w:r>
              <w:t>有，具体要求：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jc w:val="center"/>
        </w:trPr>
        <w:tc>
          <w:tcPr>
            <w:tcW w:w="959" w:type="dxa"/>
            <w:shd w:val="clear" w:color="auto" w:fill="auto"/>
            <w:vAlign w:val="center"/>
          </w:tcPr>
          <w:p>
            <w:pPr>
              <w:pStyle w:val="2"/>
              <w:ind w:left="0"/>
              <w:jc w:val="center"/>
            </w:pPr>
            <w:r>
              <w:rPr>
                <w:rFonts w:hint="eastAsia"/>
              </w:rPr>
              <w:t>3.5.2</w:t>
            </w:r>
          </w:p>
        </w:tc>
        <w:tc>
          <w:tcPr>
            <w:tcW w:w="1765" w:type="dxa"/>
            <w:shd w:val="clear" w:color="auto" w:fill="auto"/>
            <w:vAlign w:val="center"/>
          </w:tcPr>
          <w:p>
            <w:pPr>
              <w:pStyle w:val="2"/>
              <w:ind w:left="0"/>
              <w:jc w:val="center"/>
            </w:pPr>
            <w:r>
              <w:rPr>
                <w:rFonts w:hint="eastAsia"/>
              </w:rPr>
              <w:t>近年财务状况的年份要求</w:t>
            </w:r>
          </w:p>
        </w:tc>
        <w:tc>
          <w:tcPr>
            <w:tcW w:w="7062" w:type="dxa"/>
            <w:shd w:val="clear" w:color="auto" w:fill="auto"/>
          </w:tcPr>
          <w:p>
            <w:pPr>
              <w:pStyle w:val="2"/>
              <w:ind w:left="0"/>
            </w:pPr>
            <w:r>
              <w:rPr>
                <w:rFonts w:hint="eastAsia"/>
              </w:rPr>
              <w:t>○无</w:t>
            </w:r>
          </w:p>
          <w:p>
            <w:pPr>
              <w:pStyle w:val="2"/>
              <w:ind w:left="0"/>
            </w:pPr>
            <w:r>
              <w:rPr>
                <w:rFonts w:hint="eastAsia"/>
              </w:rPr>
              <w:t>○</w:t>
            </w:r>
            <w:r>
              <w:t>近</w:t>
            </w:r>
            <w:r>
              <w:rPr>
                <w:u w:val="single"/>
              </w:rPr>
              <w:t xml:space="preserve"> 3 </w:t>
            </w:r>
            <w:r>
              <w:t>年或成立至今（成立不足 3 年的）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959" w:type="dxa"/>
            <w:shd w:val="clear" w:color="auto" w:fill="auto"/>
            <w:vAlign w:val="center"/>
          </w:tcPr>
          <w:p>
            <w:pPr>
              <w:pStyle w:val="2"/>
              <w:ind w:left="0"/>
              <w:jc w:val="center"/>
            </w:pPr>
            <w:r>
              <w:rPr>
                <w:rFonts w:hint="eastAsia"/>
              </w:rPr>
              <w:t>3.5.3</w:t>
            </w:r>
          </w:p>
        </w:tc>
        <w:tc>
          <w:tcPr>
            <w:tcW w:w="1765" w:type="dxa"/>
            <w:shd w:val="clear" w:color="auto" w:fill="auto"/>
            <w:vAlign w:val="center"/>
          </w:tcPr>
          <w:p>
            <w:pPr>
              <w:pStyle w:val="2"/>
              <w:ind w:left="0"/>
              <w:jc w:val="center"/>
            </w:pPr>
            <w:r>
              <w:rPr>
                <w:rFonts w:hint="eastAsia"/>
              </w:rPr>
              <w:t>近年完成的类似项目的年份要求</w:t>
            </w:r>
          </w:p>
        </w:tc>
        <w:tc>
          <w:tcPr>
            <w:tcW w:w="7062" w:type="dxa"/>
            <w:shd w:val="clear" w:color="auto" w:fill="auto"/>
            <w:vAlign w:val="center"/>
          </w:tcPr>
          <w:p>
            <w:pPr>
              <w:pStyle w:val="2"/>
              <w:ind w:left="0"/>
            </w:pPr>
            <w:r>
              <w:rPr>
                <w:rFonts w:hint="eastAsia"/>
              </w:rPr>
              <w:t>○无</w:t>
            </w:r>
          </w:p>
          <w:p>
            <w:pPr>
              <w:pStyle w:val="2"/>
              <w:ind w:left="0"/>
            </w:pPr>
            <w:r>
              <w:rPr>
                <w:rFonts w:hint="eastAsia"/>
              </w:rPr>
              <w:t>○</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pStyle w:val="2"/>
              <w:ind w:left="0"/>
              <w:jc w:val="center"/>
            </w:pPr>
            <w:r>
              <w:rPr>
                <w:rFonts w:hint="eastAsia"/>
              </w:rPr>
              <w:t>3.5.4</w:t>
            </w:r>
          </w:p>
        </w:tc>
        <w:tc>
          <w:tcPr>
            <w:tcW w:w="1765" w:type="dxa"/>
            <w:shd w:val="clear" w:color="auto" w:fill="auto"/>
            <w:vAlign w:val="center"/>
          </w:tcPr>
          <w:p>
            <w:pPr>
              <w:pStyle w:val="2"/>
              <w:ind w:left="0"/>
              <w:jc w:val="center"/>
            </w:pPr>
            <w:r>
              <w:rPr>
                <w:rFonts w:hint="eastAsia"/>
              </w:rPr>
              <w:t>近年发生的诉讼及仲裁情况的年份要求</w:t>
            </w:r>
          </w:p>
        </w:tc>
        <w:tc>
          <w:tcPr>
            <w:tcW w:w="7062" w:type="dxa"/>
            <w:shd w:val="clear" w:color="auto" w:fill="auto"/>
            <w:vAlign w:val="center"/>
          </w:tcPr>
          <w:p>
            <w:pPr>
              <w:pStyle w:val="2"/>
              <w:ind w:left="0"/>
            </w:pPr>
            <w:r>
              <w:rPr>
                <w:rFonts w:hint="eastAsia"/>
              </w:rPr>
              <w:t>○不提供</w:t>
            </w:r>
          </w:p>
          <w:p>
            <w:pPr>
              <w:pStyle w:val="2"/>
              <w:ind w:left="0"/>
            </w:pPr>
            <w:r>
              <w:rPr>
                <w:rFonts w:hint="eastAsia"/>
              </w:rPr>
              <w:t>○</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3.6</w:t>
            </w:r>
          </w:p>
        </w:tc>
        <w:tc>
          <w:tcPr>
            <w:tcW w:w="1765" w:type="dxa"/>
            <w:shd w:val="clear" w:color="auto" w:fill="auto"/>
            <w:vAlign w:val="center"/>
          </w:tcPr>
          <w:p>
            <w:pPr>
              <w:pStyle w:val="2"/>
              <w:ind w:left="0"/>
              <w:jc w:val="center"/>
            </w:pPr>
            <w:r>
              <w:rPr>
                <w:rFonts w:hint="eastAsia"/>
              </w:rPr>
              <w:t>★是否允许递交备选投标方案</w:t>
            </w:r>
          </w:p>
        </w:tc>
        <w:tc>
          <w:tcPr>
            <w:tcW w:w="7062" w:type="dxa"/>
            <w:shd w:val="clear" w:color="auto" w:fill="auto"/>
          </w:tcPr>
          <w:p>
            <w:pPr>
              <w:pStyle w:val="2"/>
              <w:ind w:left="0"/>
            </w:pPr>
            <w:r>
              <w:rPr>
                <w:rFonts w:hint="eastAsia"/>
              </w:rPr>
              <w:t>○</w:t>
            </w:r>
            <w:r>
              <w:t>不允许</w:t>
            </w:r>
          </w:p>
          <w:p>
            <w:pPr>
              <w:pStyle w:val="2"/>
              <w:ind w:left="0"/>
            </w:pPr>
            <w:r>
              <w:rPr>
                <w:rFonts w:hint="eastAsia"/>
              </w:rPr>
              <w:t>○</w:t>
            </w:r>
            <w: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3.7.1</w:t>
            </w:r>
          </w:p>
        </w:tc>
        <w:tc>
          <w:tcPr>
            <w:tcW w:w="1765" w:type="dxa"/>
            <w:shd w:val="clear" w:color="auto" w:fill="auto"/>
            <w:vAlign w:val="center"/>
          </w:tcPr>
          <w:p>
            <w:pPr>
              <w:pStyle w:val="2"/>
              <w:ind w:left="0"/>
              <w:jc w:val="center"/>
            </w:pPr>
            <w:r>
              <w:rPr>
                <w:rFonts w:hint="eastAsia"/>
              </w:rPr>
              <w:t>★投标文件格式</w:t>
            </w:r>
          </w:p>
        </w:tc>
        <w:tc>
          <w:tcPr>
            <w:tcW w:w="7062" w:type="dxa"/>
            <w:shd w:val="clear" w:color="auto" w:fill="auto"/>
            <w:vAlign w:val="center"/>
          </w:tcPr>
          <w:p>
            <w:pPr>
              <w:pStyle w:val="2"/>
              <w:ind w:left="0"/>
            </w:pPr>
            <w:r>
              <w:rPr>
                <w:rFonts w:hint="eastAsia"/>
              </w:rPr>
              <w:t>（1）投标人不得对招标文件格式中的实质性内容进行删减或修改。（注解除外）</w:t>
            </w:r>
          </w:p>
          <w:p>
            <w:pPr>
              <w:pStyle w:val="2"/>
              <w:ind w:left="0"/>
            </w:pPr>
            <w:r>
              <w:rPr>
                <w:rFonts w:hint="eastAsia"/>
              </w:rPr>
              <w:t>（2）投标人可以在格式内容之后另行说明和增加相关的内容。另行说明或自行增加的内容、以及按投标文件格式在空格（下划线）由投标人填写的内容，不得与招标文件的强制性审查标准和禁止性规定相抵触。</w:t>
            </w:r>
          </w:p>
          <w:p>
            <w:pPr>
              <w:pStyle w:val="2"/>
              <w:ind w:left="0"/>
            </w:pPr>
            <w:r>
              <w:rPr>
                <w:rFonts w:hint="eastAsia"/>
              </w:rPr>
              <w:t>（3）投标文件应对招标文件提出的所有实质性要求和条件作出实质性响应，并且实质性响应的内容不得互相矛盾。</w:t>
            </w:r>
          </w:p>
          <w:p>
            <w:pPr>
              <w:pStyle w:val="2"/>
              <w:ind w:left="0"/>
            </w:pPr>
            <w:r>
              <w:rPr>
                <w:rFonts w:hint="eastAsia"/>
              </w:rPr>
              <w:t xml:space="preserve">（4）投标文件应内容完整，字迹清晰可辨。字迹模糊导致无法确认关键技术方案、关键工期、关键工程质量保证措施、投标价格的，应否决其投标。  </w:t>
            </w:r>
          </w:p>
          <w:p>
            <w:pPr>
              <w:pStyle w:val="2"/>
              <w:ind w:left="0"/>
            </w:pPr>
            <w:r>
              <w:rPr>
                <w:rFonts w:hint="eastAsia"/>
              </w:rPr>
              <w:t>（5）投标文件所附证明材料应内容完整并清晰可辨。所附证明材料内容不完整或字迹模糊的，评标委员会可要求投标人提供原件核验。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3.7.3</w:t>
            </w:r>
          </w:p>
        </w:tc>
        <w:tc>
          <w:tcPr>
            <w:tcW w:w="1765" w:type="dxa"/>
            <w:shd w:val="clear" w:color="auto" w:fill="auto"/>
            <w:vAlign w:val="center"/>
          </w:tcPr>
          <w:p>
            <w:pPr>
              <w:pStyle w:val="2"/>
              <w:ind w:left="0"/>
              <w:jc w:val="center"/>
            </w:pPr>
            <w:r>
              <w:rPr>
                <w:rFonts w:hint="eastAsia"/>
              </w:rPr>
              <w:t>★盖章要求</w:t>
            </w:r>
          </w:p>
        </w:tc>
        <w:tc>
          <w:tcPr>
            <w:tcW w:w="7062" w:type="dxa"/>
            <w:shd w:val="clear" w:color="auto" w:fill="auto"/>
            <w:vAlign w:val="center"/>
          </w:tcPr>
          <w:p>
            <w:pPr>
              <w:pStyle w:val="2"/>
              <w:ind w:left="0"/>
            </w:pPr>
            <w:r>
              <w:rPr>
                <w:rFonts w:hint="eastAsia"/>
              </w:rPr>
              <w:t>（1）电子投标文件中所有要求法定代表人盖章的地方都应用法定代表人的电子印章盖章。要求法定代表人盖章的地方由其他人（包括委托代理人）盖章的，其投标将被否决投标。</w:t>
            </w:r>
          </w:p>
          <w:p>
            <w:pPr>
              <w:pStyle w:val="2"/>
              <w:ind w:left="0"/>
            </w:pPr>
            <w:r>
              <w:rPr>
                <w:rFonts w:hint="eastAsia"/>
              </w:rPr>
              <w:t>以联合体投标的，电子投标文件所有要求法定代表人盖章的地方由联合体的牵头人盖其法定代表人电子印章即可（即电子投标文件中除</w:t>
            </w:r>
            <w:r>
              <w:rPr>
                <w:u w:val="single"/>
              </w:rPr>
              <w:t xml:space="preserve">       </w:t>
            </w:r>
            <w:r>
              <w:t xml:space="preserve"> </w:t>
            </w:r>
            <w:r>
              <w:rPr>
                <w:rFonts w:hint="eastAsia"/>
              </w:rPr>
              <w:t>有明确要求各联合体各成员单位法定代表人盖其法定代表人电子印章外，其余要求法定代表人盖章处均由牵头人完成法定代表人盖章，与联合体中各成员的行为具有同等法律效力）。</w:t>
            </w:r>
          </w:p>
          <w:p>
            <w:pPr>
              <w:pStyle w:val="2"/>
              <w:ind w:left="0"/>
            </w:pPr>
            <w:r>
              <w:rPr>
                <w:rFonts w:hint="eastAsia"/>
              </w:rPr>
              <w:t>（2）电子投标文件所有要求投标人盖章的地方都应加盖投标人单位（法定名称）的电子印章，不得使用专用印章（如经济合同章、投标专用章等）或下属单位印章代替。</w:t>
            </w:r>
          </w:p>
          <w:p>
            <w:pPr>
              <w:pStyle w:val="2"/>
              <w:ind w:left="0"/>
            </w:pPr>
            <w:r>
              <w:rPr>
                <w:rFonts w:hint="eastAsia"/>
              </w:rPr>
              <w:t>以联合体投标的，电子投标文件所有要求投标人盖单位章的地方由联合体的牵头人盖单位电子印章即可（即电子投标文件中除</w:t>
            </w:r>
            <w:r>
              <w:rPr>
                <w:rFonts w:hint="eastAsia"/>
                <w:u w:val="single"/>
              </w:rPr>
              <w:t xml:space="preserve">          </w:t>
            </w:r>
            <w:r>
              <w:rPr>
                <w:rFonts w:hint="eastAsia"/>
              </w:rPr>
              <w:t>有明确要求各联合体各成员单位盖单位电子印章外，其余投标人盖章处均由牵头人完成盖章，与联合体中各成员的行为具有同等法律效力）。</w:t>
            </w:r>
          </w:p>
          <w:p>
            <w:pPr>
              <w:pStyle w:val="2"/>
              <w:ind w:left="0"/>
            </w:pPr>
            <w:r>
              <w:rPr>
                <w:rFonts w:hint="eastAsia"/>
              </w:rPr>
              <w:t>（3）电子投标文件若有修改，需要撤回原来上传到云平台的电子投标文件后，重新上传修改后并盖章完整的加密投标文件。</w:t>
            </w:r>
          </w:p>
          <w:p>
            <w:pPr>
              <w:pStyle w:val="2"/>
              <w:ind w:left="0"/>
            </w:pPr>
            <w:r>
              <w:rPr>
                <w:rFonts w:hint="eastAsia"/>
              </w:rPr>
              <w:t>（4）投标文件中提供的证明材料：</w:t>
            </w:r>
          </w:p>
          <w:p>
            <w:pPr>
              <w:pStyle w:val="2"/>
              <w:ind w:left="0"/>
            </w:pPr>
            <w:r>
              <w:rPr>
                <w:rFonts w:hint="eastAsia"/>
              </w:rPr>
              <w:t>○应统一由投标人（若</w:t>
            </w:r>
            <w:r>
              <w:t>为联合体，则为</w:t>
            </w:r>
            <w:r>
              <w:rPr>
                <w:rFonts w:hint="eastAsia"/>
              </w:rPr>
              <w:t>联合体牵头人）</w:t>
            </w:r>
            <w:r>
              <w:rPr>
                <w:rFonts w:hint="eastAsia"/>
                <w:u w:val="single"/>
              </w:rPr>
              <w:t>加盖企业电子印章</w:t>
            </w:r>
            <w:r>
              <w:rPr>
                <w:rFonts w:hint="eastAsia"/>
              </w:rPr>
              <w:t>。</w:t>
            </w:r>
          </w:p>
          <w:p>
            <w:pPr>
              <w:pStyle w:val="2"/>
              <w:ind w:left="0"/>
            </w:pPr>
            <w:r>
              <w:rPr>
                <w:rFonts w:hint="eastAsia"/>
              </w:rPr>
              <w:t>○投标人</w:t>
            </w:r>
            <w:r>
              <w:t>无需</w:t>
            </w:r>
            <w:r>
              <w:rPr>
                <w:rFonts w:hint="eastAsia"/>
              </w:rPr>
              <w:t>加盖</w:t>
            </w:r>
            <w:r>
              <w:rPr>
                <w:rFonts w:hint="eastAsia"/>
                <w:u w:val="single"/>
              </w:rPr>
              <w:t>企业电子印章</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3.7.4</w:t>
            </w:r>
          </w:p>
        </w:tc>
        <w:tc>
          <w:tcPr>
            <w:tcW w:w="1765" w:type="dxa"/>
            <w:shd w:val="clear" w:color="auto" w:fill="auto"/>
            <w:vAlign w:val="center"/>
          </w:tcPr>
          <w:p>
            <w:pPr>
              <w:pStyle w:val="2"/>
              <w:ind w:left="0"/>
              <w:jc w:val="center"/>
            </w:pPr>
            <w:r>
              <w:rPr>
                <w:rFonts w:hint="eastAsia"/>
              </w:rPr>
              <w:t>投标文件份数</w:t>
            </w:r>
          </w:p>
        </w:tc>
        <w:tc>
          <w:tcPr>
            <w:tcW w:w="7062" w:type="dxa"/>
            <w:shd w:val="clear" w:color="auto" w:fill="auto"/>
            <w:vAlign w:val="center"/>
          </w:tcPr>
          <w:p>
            <w:pPr>
              <w:rPr>
                <w:rFonts w:ascii="宋体" w:hAnsi="宋体"/>
                <w:szCs w:val="21"/>
              </w:rPr>
            </w:pPr>
            <w:r>
              <w:rPr>
                <w:rFonts w:hint="eastAsia" w:ascii="宋体" w:hAnsi="宋体"/>
                <w:szCs w:val="21"/>
              </w:rPr>
              <w:t>○（现场开标）</w:t>
            </w:r>
          </w:p>
          <w:p>
            <w:pPr>
              <w:ind w:left="18" w:leftChars="8"/>
              <w:rPr>
                <w:rFonts w:ascii="宋体" w:hAnsi="宋体"/>
                <w:szCs w:val="21"/>
              </w:rPr>
            </w:pPr>
            <w:r>
              <w:rPr>
                <w:rFonts w:hint="eastAsia" w:ascii="宋体" w:hAnsi="宋体"/>
                <w:szCs w:val="21"/>
              </w:rPr>
              <w:t>（1）投标人应提供一份格式正确、内容完整、加密的电子投标文件。电子投标文件应使用“成都市电子投标文件制作系统（2017版）”制作，并通过CA数字证书进行加密，存储为扩展名为CDT的文件。</w:t>
            </w:r>
          </w:p>
          <w:p>
            <w:pPr>
              <w:spacing w:line="440" w:lineRule="exact"/>
              <w:rPr>
                <w:rFonts w:ascii="宋体" w:hAnsi="宋体"/>
              </w:rPr>
            </w:pPr>
            <w:r>
              <w:rPr>
                <w:rFonts w:hint="eastAsia" w:ascii="宋体" w:hAnsi="宋体"/>
              </w:rPr>
              <w:t>（2）投标人自愿提交一张包含相同内容的投标文件光盘以备CA解密失败时使用（光盘中投标文件应使用“成都市电子投标文件制作系统（2017版）”制作，存储为扩展名为CDT2的未加密文件），CA解密失败的投标人的投标文件以光盘中的为准。光盘应密封完好（包装及密封形式不限）在投标截止时间前上交给招标人，投标文件截止时间后，概不补交。</w:t>
            </w:r>
          </w:p>
          <w:p>
            <w:pPr>
              <w:spacing w:line="440" w:lineRule="exact"/>
              <w:rPr>
                <w:rFonts w:ascii="宋体" w:hAnsi="宋体"/>
              </w:rPr>
            </w:pPr>
            <w:r>
              <w:rPr>
                <w:rFonts w:hint="eastAsia" w:ascii="宋体" w:hAnsi="宋体"/>
              </w:rPr>
              <w:t>□（3）中标人需在领取中标通知书时另向招标人提供</w:t>
            </w:r>
            <w:r>
              <w:rPr>
                <w:rFonts w:hint="eastAsia" w:ascii="宋体" w:hAnsi="宋体"/>
                <w:u w:val="single"/>
              </w:rPr>
              <w:t xml:space="preserve">     </w:t>
            </w:r>
            <w:r>
              <w:rPr>
                <w:rFonts w:hint="eastAsia" w:ascii="宋体" w:hAnsi="宋体"/>
              </w:rPr>
              <w:t>份投标文件纸质复印件。</w:t>
            </w:r>
          </w:p>
          <w:p>
            <w:pPr>
              <w:rPr>
                <w:rFonts w:ascii="宋体" w:hAnsi="宋体"/>
                <w:szCs w:val="21"/>
              </w:rPr>
            </w:pPr>
            <w:r>
              <w:rPr>
                <w:rFonts w:hint="eastAsia" w:ascii="宋体" w:hAnsi="宋体"/>
                <w:szCs w:val="21"/>
              </w:rPr>
              <w:t>○（不见面开标）</w:t>
            </w:r>
          </w:p>
          <w:p>
            <w:r>
              <w:rPr>
                <w:rFonts w:hint="eastAsia" w:ascii="宋体" w:hAnsi="宋体"/>
                <w:kern w:val="0"/>
                <w:sz w:val="20"/>
                <w:szCs w:val="21"/>
              </w:rPr>
              <w:t>（</w:t>
            </w:r>
            <w:r>
              <w:t>1</w:t>
            </w:r>
            <w:r>
              <w:rPr>
                <w:rFonts w:hint="eastAsia"/>
              </w:rPr>
              <w:t>）投标人应提供一份格式正确、内容完整、加密的电子投标文件。电子投标文件应使用“成都市电子投标文件制作系统（</w:t>
            </w:r>
            <w:r>
              <w:t>2017</w:t>
            </w:r>
            <w:r>
              <w:rPr>
                <w:rFonts w:hint="eastAsia"/>
              </w:rPr>
              <w:t>版）”制作，并通过</w:t>
            </w:r>
            <w:r>
              <w:t>CA</w:t>
            </w:r>
            <w:r>
              <w:rPr>
                <w:rFonts w:hint="eastAsia"/>
              </w:rPr>
              <w:t>数字证书进行加密，存储为扩展名为</w:t>
            </w:r>
            <w:r>
              <w:t>CDT</w:t>
            </w:r>
            <w:r>
              <w:rPr>
                <w:rFonts w:hint="eastAsia"/>
              </w:rPr>
              <w:t>的文件。（投标文件必须包含</w:t>
            </w:r>
            <w:r>
              <w:t>CJZ</w:t>
            </w:r>
            <w:r>
              <w:rPr>
                <w:rFonts w:hint="eastAsia"/>
              </w:rPr>
              <w:t>格式的投标数据文件）。</w:t>
            </w:r>
          </w:p>
          <w:p>
            <w:pPr>
              <w:widowControl/>
              <w:ind w:right="-4"/>
            </w:pPr>
            <w:r>
              <w:rPr>
                <w:rFonts w:hint="eastAsia"/>
              </w:rPr>
              <w:t>（</w:t>
            </w:r>
            <w:r>
              <w:t>2</w:t>
            </w:r>
            <w:r>
              <w:rPr>
                <w:rFonts w:hint="eastAsia"/>
              </w:rPr>
              <w:t>）不见面开标项目不接受投标人现场递交光盘等形式的投标文件，不接受投标人现场解密投标文件。</w:t>
            </w:r>
          </w:p>
          <w:p>
            <w:pPr>
              <w:pStyle w:val="2"/>
              <w:ind w:left="0"/>
            </w:pPr>
            <w:r>
              <w:rPr>
                <w:rFonts w:hint="eastAsia"/>
              </w:rPr>
              <w:t>□（</w:t>
            </w:r>
            <w:r>
              <w:t>3</w:t>
            </w:r>
            <w:r>
              <w:rPr>
                <w:rFonts w:hint="eastAsia"/>
              </w:rPr>
              <w:t>）中标人需在领取中标通知书时另向招标人提供</w:t>
            </w:r>
            <w:r>
              <w:rPr>
                <w:u w:val="single"/>
              </w:rPr>
              <w:t xml:space="preserve">     </w:t>
            </w:r>
            <w:r>
              <w:rPr>
                <w:rFonts w:hint="eastAsia"/>
              </w:rPr>
              <w:t>份投标文件纸质复印件。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4.1.1</w:t>
            </w:r>
          </w:p>
        </w:tc>
        <w:tc>
          <w:tcPr>
            <w:tcW w:w="1765" w:type="dxa"/>
            <w:shd w:val="clear" w:color="auto" w:fill="auto"/>
            <w:vAlign w:val="center"/>
          </w:tcPr>
          <w:p>
            <w:pPr>
              <w:pStyle w:val="2"/>
              <w:ind w:left="0"/>
              <w:jc w:val="center"/>
            </w:pPr>
            <w:r>
              <w:rPr>
                <w:rFonts w:hint="eastAsia"/>
              </w:rPr>
              <w:t>投标文件的包装和密封</w:t>
            </w:r>
          </w:p>
        </w:tc>
        <w:tc>
          <w:tcPr>
            <w:tcW w:w="7062" w:type="dxa"/>
            <w:shd w:val="clear" w:color="auto" w:fill="auto"/>
            <w:vAlign w:val="center"/>
          </w:tcPr>
          <w:p>
            <w:pPr>
              <w:pStyle w:val="2"/>
              <w:ind w:left="0"/>
            </w:pPr>
            <w:r>
              <w:rPr>
                <w:rFonts w:hint="eastAsia"/>
              </w:rPr>
              <w:t>○（现场开标）</w:t>
            </w:r>
          </w:p>
          <w:p>
            <w:pPr>
              <w:pStyle w:val="2"/>
              <w:ind w:left="0"/>
            </w:pPr>
            <w:r>
              <w:rPr>
                <w:rFonts w:hint="eastAsia"/>
              </w:rPr>
              <w:t>（</w:t>
            </w:r>
            <w:r>
              <w:t>1）电子投标文件未使用 CA 数字证 书进行加密的，将无法上传至云平台。若投标人投标文件因密封不严、标志不明、未加密而造成过早启 封、失密等情况，招标人及招标代理机构概不负责。</w:t>
            </w:r>
            <w:r>
              <w:rPr>
                <w:rFonts w:hint="eastAsia"/>
              </w:rPr>
              <w:t>投标人自愿提交一张包含相同内容的投标文件光盘以备CA解密失败时使用，光盘应密封完好（包装及密封形式不限）。</w:t>
            </w:r>
          </w:p>
          <w:p>
            <w:pPr>
              <w:pStyle w:val="2"/>
              <w:ind w:left="0"/>
            </w:pPr>
            <w:r>
              <w:t>（</w:t>
            </w:r>
            <w:r>
              <w:rPr>
                <w:rFonts w:hint="eastAsia"/>
              </w:rPr>
              <w:t>2</w:t>
            </w:r>
            <w:r>
              <w:t>）投标人应委派 1 名委托代理人参加开标会，对开标会程序、书面 记录、评标时的澄清往来记录予以确认、签字，该委托代理人应在开标 时向招标人单独递交授权委托书原件（该原件不密封在投标文件中，也 不需单独密封），以示身份。投标文件中不需附授权委托书。授权委托书格式详见招标文件第八章投标文件格式附件一。</w:t>
            </w:r>
          </w:p>
          <w:p>
            <w:pPr>
              <w:pStyle w:val="2"/>
              <w:ind w:left="0"/>
            </w:pPr>
            <w:r>
              <w:rPr>
                <w:rFonts w:hint="eastAsia"/>
              </w:rPr>
              <w:t>○（不见面开标）</w:t>
            </w:r>
          </w:p>
          <w:p>
            <w:pPr>
              <w:pStyle w:val="2"/>
              <w:ind w:left="0"/>
            </w:pPr>
            <w:r>
              <w:rPr>
                <w:rFonts w:hint="eastAsia"/>
              </w:rPr>
              <w:t>（</w:t>
            </w:r>
            <w:r>
              <w:t>1</w:t>
            </w:r>
            <w:r>
              <w:rPr>
                <w:rFonts w:hint="eastAsia"/>
              </w:rPr>
              <w:t>）电子投标文件未使用</w:t>
            </w:r>
            <w:r>
              <w:t>CA</w:t>
            </w:r>
            <w:r>
              <w:rPr>
                <w:rFonts w:hint="eastAsia"/>
              </w:rPr>
              <w:t>数字证书进行加密的，将无法上传至云平台。若投标人投标文件因未加密而造成过早失密等情况，招标人及招标代理机构概不负责。不见面开标项目不接受投标人现场递交光盘等形式的投标文件，不接受投标人现场解密投标文件。</w:t>
            </w:r>
          </w:p>
          <w:p>
            <w:pPr>
              <w:pStyle w:val="2"/>
              <w:ind w:left="0"/>
            </w:pPr>
            <w:r>
              <w:rPr>
                <w:rFonts w:hint="eastAsia"/>
              </w:rPr>
              <w:t>（</w:t>
            </w:r>
            <w:r>
              <w:t>2</w:t>
            </w:r>
            <w:r>
              <w:rPr>
                <w:rFonts w:hint="eastAsia"/>
              </w:rPr>
              <w:t>）投标人委托</w:t>
            </w:r>
            <w:r>
              <w:t>1</w:t>
            </w:r>
            <w:r>
              <w:rPr>
                <w:rFonts w:hint="eastAsia"/>
              </w:rPr>
              <w:t>名委托代理人持企业</w:t>
            </w:r>
            <w:r>
              <w:t>CA</w:t>
            </w:r>
            <w:r>
              <w:rPr>
                <w:rFonts w:hint="eastAsia"/>
              </w:rPr>
              <w:t>数字证书在线参加开标会，对开标会程序、记录、评标时的澄清往来记录予以确认、签章。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4.1.2</w:t>
            </w:r>
          </w:p>
        </w:tc>
        <w:tc>
          <w:tcPr>
            <w:tcW w:w="1765" w:type="dxa"/>
            <w:shd w:val="clear" w:color="auto" w:fill="auto"/>
            <w:vAlign w:val="center"/>
          </w:tcPr>
          <w:p>
            <w:pPr>
              <w:pStyle w:val="2"/>
              <w:ind w:left="0"/>
              <w:jc w:val="center"/>
            </w:pPr>
            <w:r>
              <w:rPr>
                <w:rFonts w:hint="eastAsia"/>
              </w:rPr>
              <w:t>封套上写明</w:t>
            </w:r>
          </w:p>
        </w:tc>
        <w:tc>
          <w:tcPr>
            <w:tcW w:w="7062" w:type="dxa"/>
            <w:shd w:val="clear" w:color="auto" w:fill="auto"/>
            <w:vAlign w:val="center"/>
          </w:tcPr>
          <w:p>
            <w:pPr>
              <w:rPr>
                <w:rFonts w:ascii="宋体" w:hAnsi="宋体"/>
                <w:szCs w:val="21"/>
              </w:rPr>
            </w:pPr>
            <w:r>
              <w:rPr>
                <w:rFonts w:hint="eastAsia" w:ascii="宋体" w:hAnsi="宋体"/>
                <w:szCs w:val="21"/>
              </w:rPr>
              <w:t>○（现场开标）</w:t>
            </w:r>
          </w:p>
          <w:p>
            <w:pPr>
              <w:spacing w:line="320" w:lineRule="atLeast"/>
              <w:rPr>
                <w:rFonts w:ascii="宋体" w:hAnsi="宋体"/>
                <w:szCs w:val="21"/>
              </w:rPr>
            </w:pPr>
            <w:r>
              <w:rPr>
                <w:rFonts w:hint="eastAsia" w:ascii="宋体" w:hAnsi="宋体"/>
                <w:szCs w:val="21"/>
              </w:rPr>
              <w:t xml:space="preserve">招标人名称： </w:t>
            </w:r>
          </w:p>
          <w:p>
            <w:pPr>
              <w:spacing w:line="320" w:lineRule="atLeast"/>
              <w:rPr>
                <w:rFonts w:ascii="宋体" w:hAnsi="宋体"/>
                <w:szCs w:val="21"/>
              </w:rPr>
            </w:pPr>
            <w:r>
              <w:rPr>
                <w:rFonts w:hint="eastAsia" w:ascii="宋体" w:hAnsi="宋体"/>
                <w:szCs w:val="21"/>
              </w:rPr>
              <w:t xml:space="preserve">投标人名称： </w:t>
            </w:r>
          </w:p>
          <w:p>
            <w:pPr>
              <w:spacing w:line="320" w:lineRule="atLeast"/>
              <w:rPr>
                <w:rFonts w:ascii="宋体" w:hAnsi="宋体"/>
                <w:szCs w:val="21"/>
              </w:rPr>
            </w:pPr>
            <w:r>
              <w:rPr>
                <w:rFonts w:hint="eastAsia" w:ascii="宋体" w:hAnsi="宋体"/>
                <w:szCs w:val="21"/>
                <w:u w:val="single"/>
              </w:rPr>
              <w:t xml:space="preserve">          (项目名称)    标段</w:t>
            </w:r>
            <w:r>
              <w:rPr>
                <w:rFonts w:hint="eastAsia" w:ascii="宋体" w:hAnsi="宋体"/>
                <w:szCs w:val="21"/>
              </w:rPr>
              <w:t>投标文件</w:t>
            </w:r>
          </w:p>
          <w:p>
            <w:pPr>
              <w:spacing w:line="320" w:lineRule="atLeast"/>
              <w:ind w:firstLine="330" w:firstLineChars="150"/>
              <w:rPr>
                <w:rFonts w:ascii="宋体" w:hAnsi="宋体" w:cs="宋体"/>
                <w:szCs w:val="21"/>
              </w:rPr>
            </w:pPr>
            <w:r>
              <w:rPr>
                <w:rFonts w:ascii="宋体" w:hAnsi="宋体" w:cs="宋体"/>
                <w:szCs w:val="21"/>
              </w:rPr>
              <w:t>在</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 xml:space="preserve">月   </w:t>
            </w:r>
            <w:r>
              <w:rPr>
                <w:rFonts w:ascii="宋体" w:hAnsi="宋体" w:cs="宋体"/>
                <w:spacing w:val="-3"/>
                <w:szCs w:val="21"/>
              </w:rPr>
              <w:t>日</w:t>
            </w:r>
            <w:r>
              <w:rPr>
                <w:rFonts w:ascii="宋体" w:hAnsi="宋体" w:cs="宋体"/>
                <w:szCs w:val="21"/>
                <w:u w:val="single"/>
              </w:rPr>
              <w:t xml:space="preserve">    </w:t>
            </w:r>
            <w:r>
              <w:rPr>
                <w:rFonts w:ascii="宋体" w:hAnsi="宋体" w:cs="宋体"/>
                <w:szCs w:val="21"/>
              </w:rPr>
              <w:t>时</w:t>
            </w:r>
            <w:r>
              <w:rPr>
                <w:rFonts w:ascii="宋体" w:hAnsi="宋体" w:cs="宋体"/>
                <w:szCs w:val="21"/>
                <w:u w:val="single"/>
              </w:rPr>
              <w:t xml:space="preserve">    </w:t>
            </w:r>
            <w:r>
              <w:rPr>
                <w:rFonts w:ascii="宋体" w:hAnsi="宋体" w:cs="宋体"/>
                <w:szCs w:val="21"/>
              </w:rPr>
              <w:t>分前不得开启</w:t>
            </w:r>
          </w:p>
          <w:p>
            <w:pPr>
              <w:spacing w:line="320" w:lineRule="atLeast"/>
              <w:rPr>
                <w:rFonts w:ascii="宋体" w:hAnsi="宋体"/>
                <w:szCs w:val="21"/>
              </w:rPr>
            </w:pPr>
            <w:r>
              <w:rPr>
                <w:rFonts w:hint="eastAsia" w:ascii="宋体" w:hAnsi="宋体"/>
                <w:szCs w:val="21"/>
              </w:rPr>
              <w:t>○（不见面开标）</w:t>
            </w:r>
          </w:p>
          <w:p>
            <w:pPr>
              <w:pStyle w:val="2"/>
              <w:ind w:left="0"/>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4.2.1</w:t>
            </w:r>
          </w:p>
        </w:tc>
        <w:tc>
          <w:tcPr>
            <w:tcW w:w="1765" w:type="dxa"/>
            <w:shd w:val="clear" w:color="auto" w:fill="auto"/>
            <w:vAlign w:val="center"/>
          </w:tcPr>
          <w:p>
            <w:pPr>
              <w:pStyle w:val="2"/>
              <w:ind w:left="0"/>
              <w:jc w:val="center"/>
            </w:pPr>
            <w:r>
              <w:rPr>
                <w:rFonts w:hint="eastAsia"/>
              </w:rPr>
              <w:t>递交投标文件</w:t>
            </w:r>
          </w:p>
        </w:tc>
        <w:tc>
          <w:tcPr>
            <w:tcW w:w="7062" w:type="dxa"/>
            <w:shd w:val="clear" w:color="auto" w:fill="auto"/>
            <w:vAlign w:val="center"/>
          </w:tcPr>
          <w:p>
            <w:pPr>
              <w:pStyle w:val="2"/>
              <w:ind w:left="0"/>
            </w:pPr>
            <w:r>
              <w:rPr>
                <w:rFonts w:hint="eastAsia"/>
              </w:rPr>
              <w:t>○（现场开标）</w:t>
            </w:r>
          </w:p>
          <w:p>
            <w:pPr>
              <w:pStyle w:val="2"/>
              <w:ind w:left="0"/>
            </w:pPr>
            <w:r>
              <w:rPr>
                <w:rFonts w:hint="eastAsia"/>
              </w:rPr>
              <w:t>（1）</w:t>
            </w:r>
            <w:r>
              <w:t xml:space="preserve">投标人应在本投标人须知前附表第 2.2.2 条规定的投标截止时间之前递交投标文件。 </w:t>
            </w:r>
          </w:p>
          <w:p>
            <w:pPr>
              <w:pStyle w:val="2"/>
              <w:ind w:left="0"/>
            </w:pPr>
            <w:r>
              <w:t>（2）投标人应通过互联网使用 CA 数字证书登录成都市公共资源交易云 平台（</w:t>
            </w:r>
            <w:r>
              <w:fldChar w:fldCharType="begin"/>
            </w:r>
            <w:r>
              <w:instrText xml:space="preserve"> HYPERLINK "http://www.cdggzy.com/" \h </w:instrText>
            </w:r>
            <w:r>
              <w:fldChar w:fldCharType="separate"/>
            </w:r>
            <w:r>
              <w:t>www.cdggzy.com</w:t>
            </w:r>
            <w:r>
              <w:fldChar w:fldCharType="end"/>
            </w:r>
            <w:r>
              <w:t xml:space="preserve">），将加密的投标文件上传至对应项目，并保存 系统返回的上传成功回执。 </w:t>
            </w:r>
          </w:p>
          <w:p>
            <w:pPr>
              <w:pStyle w:val="2"/>
              <w:ind w:left="0"/>
            </w:pPr>
            <w:r>
              <w:rPr>
                <w:rFonts w:hint="eastAsia"/>
              </w:rPr>
              <w:t>（3）投标人应在投标截止时间前，到达开标现场。</w:t>
            </w:r>
          </w:p>
          <w:p>
            <w:pPr>
              <w:pStyle w:val="2"/>
              <w:ind w:left="0"/>
            </w:pPr>
            <w:r>
              <w:rPr>
                <w:rFonts w:hint="eastAsia"/>
              </w:rPr>
              <w:t>○（不见面开标）</w:t>
            </w:r>
          </w:p>
          <w:p>
            <w:pPr>
              <w:pStyle w:val="2"/>
              <w:ind w:left="0"/>
            </w:pPr>
            <w:r>
              <w:rPr>
                <w:rFonts w:hint="eastAsia"/>
              </w:rPr>
              <w:t>（1）投标人应在本投标人须知前附表第2.2.2条规定的投标截止时间之前递交投标文件。</w:t>
            </w:r>
          </w:p>
          <w:p>
            <w:pPr>
              <w:pStyle w:val="2"/>
              <w:ind w:left="0"/>
            </w:pPr>
            <w:r>
              <w:rPr>
                <w:rFonts w:hint="eastAsia"/>
              </w:rPr>
              <w:t>（2）投标人应通过互联网使用CA数字证书登录成都市公共资源交易云平台（www.cdggzy.com），将加密的投标文件上传至对应项目，并保存系统返回的上传成功回执。</w:t>
            </w:r>
          </w:p>
          <w:p>
            <w:pPr>
              <w:pStyle w:val="2"/>
              <w:ind w:left="0"/>
            </w:pPr>
            <w:r>
              <w:rPr>
                <w:rFonts w:hint="eastAsia"/>
              </w:rPr>
              <w:t>（3）投标人应充分考虑上传文件的不可预见因素，未在投标截止时间前完成上传的，在投标截止时间后将无法上传。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4.2.2</w:t>
            </w:r>
          </w:p>
        </w:tc>
        <w:tc>
          <w:tcPr>
            <w:tcW w:w="1765" w:type="dxa"/>
            <w:shd w:val="clear" w:color="auto" w:fill="auto"/>
            <w:vAlign w:val="center"/>
          </w:tcPr>
          <w:p>
            <w:pPr>
              <w:pStyle w:val="2"/>
              <w:ind w:left="0"/>
              <w:jc w:val="center"/>
            </w:pPr>
            <w:r>
              <w:rPr>
                <w:rFonts w:hint="eastAsia"/>
              </w:rPr>
              <w:t>递交投标文件地点</w:t>
            </w:r>
          </w:p>
        </w:tc>
        <w:tc>
          <w:tcPr>
            <w:tcW w:w="7062" w:type="dxa"/>
            <w:shd w:val="clear" w:color="auto" w:fill="auto"/>
            <w:vAlign w:val="center"/>
          </w:tcPr>
          <w:p>
            <w:pPr>
              <w:pStyle w:val="2"/>
              <w:ind w:left="0"/>
            </w:pPr>
            <w:r>
              <w:rPr>
                <w:rFonts w:hint="eastAsia"/>
              </w:rPr>
              <w:t>○（现场开标）</w:t>
            </w:r>
          </w:p>
          <w:p>
            <w:pPr>
              <w:pStyle w:val="2"/>
              <w:ind w:left="0"/>
            </w:pPr>
            <w:r>
              <w:t>□</w:t>
            </w:r>
            <w:r>
              <w:rPr>
                <w:rFonts w:hint="eastAsia"/>
              </w:rPr>
              <w:t>成都市天府大道北段966号天府国际金融中心7号楼本项目开标室（具体开标室详见市公资交易中心开标当天大屏幕显示）</w:t>
            </w:r>
          </w:p>
          <w:p>
            <w:pPr>
              <w:pStyle w:val="2"/>
              <w:ind w:left="0"/>
            </w:pPr>
            <w:r>
              <w:t>□</w:t>
            </w:r>
            <w:r>
              <w:rPr>
                <w:rFonts w:hint="eastAsia"/>
              </w:rPr>
              <w:t>分中心地址：</w:t>
            </w:r>
            <w:r>
              <w:rPr>
                <w:rFonts w:hint="eastAsia"/>
                <w:u w:val="single"/>
              </w:rPr>
              <w:t xml:space="preserve">                                       </w:t>
            </w:r>
            <w:r>
              <w:rPr>
                <w:rFonts w:hint="eastAsia"/>
              </w:rPr>
              <w:t xml:space="preserve"> </w:t>
            </w:r>
          </w:p>
          <w:p>
            <w:pPr>
              <w:pStyle w:val="2"/>
              <w:ind w:left="0"/>
            </w:pPr>
            <w:r>
              <w:rPr>
                <w:rFonts w:hint="eastAsia"/>
              </w:rPr>
              <w:t>○（不见面开标）</w:t>
            </w:r>
          </w:p>
          <w:p>
            <w:pPr>
              <w:pStyle w:val="2"/>
              <w:ind w:left="0"/>
            </w:pPr>
            <w:r>
              <w:rPr>
                <w:rFonts w:hint="eastAsia"/>
              </w:rPr>
              <w:t>投标人自行确定上传投标文件地点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959" w:type="dxa"/>
            <w:shd w:val="clear" w:color="auto" w:fill="auto"/>
            <w:vAlign w:val="center"/>
          </w:tcPr>
          <w:p>
            <w:pPr>
              <w:pStyle w:val="2"/>
              <w:ind w:left="0"/>
              <w:jc w:val="center"/>
            </w:pPr>
            <w:r>
              <w:rPr>
                <w:rFonts w:hint="eastAsia"/>
              </w:rPr>
              <w:t>4.2.3</w:t>
            </w:r>
          </w:p>
        </w:tc>
        <w:tc>
          <w:tcPr>
            <w:tcW w:w="1765" w:type="dxa"/>
            <w:shd w:val="clear" w:color="auto" w:fill="auto"/>
            <w:vAlign w:val="center"/>
          </w:tcPr>
          <w:p>
            <w:pPr>
              <w:pStyle w:val="2"/>
              <w:ind w:left="0"/>
              <w:jc w:val="center"/>
            </w:pPr>
            <w:r>
              <w:rPr>
                <w:rFonts w:hint="eastAsia"/>
              </w:rPr>
              <w:t>是否退还投标文件</w:t>
            </w:r>
          </w:p>
        </w:tc>
        <w:tc>
          <w:tcPr>
            <w:tcW w:w="7062" w:type="dxa"/>
            <w:shd w:val="clear" w:color="auto" w:fill="auto"/>
            <w:vAlign w:val="center"/>
          </w:tcPr>
          <w:p>
            <w:pPr>
              <w:pStyle w:val="2"/>
              <w:ind w:left="0"/>
            </w:pPr>
            <w:r>
              <w:rPr>
                <w:rFonts w:hint="eastAsia"/>
              </w:rPr>
              <w:t>○否</w:t>
            </w:r>
          </w:p>
          <w:p>
            <w:pPr>
              <w:pStyle w:val="2"/>
              <w:ind w:left="0"/>
            </w:pPr>
            <w:r>
              <w:rPr>
                <w:rFonts w:hint="eastAsia"/>
              </w:rPr>
              <w:t>○是</w:t>
            </w:r>
          </w:p>
          <w:p>
            <w:pPr>
              <w:pStyle w:val="2"/>
              <w:ind w:left="0"/>
            </w:pPr>
            <w:r>
              <w:rPr>
                <w:rFonts w:hint="eastAsia"/>
              </w:rPr>
              <w:t>退还方式</w:t>
            </w:r>
            <w:r>
              <w:rPr>
                <w:rFonts w:hint="eastAsia"/>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4.3.1</w:t>
            </w:r>
          </w:p>
        </w:tc>
        <w:tc>
          <w:tcPr>
            <w:tcW w:w="1765" w:type="dxa"/>
            <w:shd w:val="clear" w:color="auto" w:fill="auto"/>
            <w:vAlign w:val="center"/>
          </w:tcPr>
          <w:p>
            <w:pPr>
              <w:pStyle w:val="2"/>
              <w:ind w:left="0"/>
              <w:jc w:val="center"/>
            </w:pPr>
            <w:r>
              <w:t>投标文件的修改与撤回</w:t>
            </w:r>
          </w:p>
        </w:tc>
        <w:tc>
          <w:tcPr>
            <w:tcW w:w="7062" w:type="dxa"/>
            <w:shd w:val="clear" w:color="auto" w:fill="auto"/>
            <w:vAlign w:val="center"/>
          </w:tcPr>
          <w:p>
            <w:pPr>
              <w:pStyle w:val="2"/>
              <w:ind w:left="0"/>
            </w:pPr>
            <w:r>
              <w:t xml:space="preserve">（1） 在招标公告规定的投标截止时间前，投标人可以修改或撤回已递 交的投标文件。投标人投标文件进行撤回的，应在“成都市公共资源电 子交易云平台”直接进行撤回操作；投标人对投标文件进行修改的，应 在投标文件截止时间前在“成都市公共资源电子交易云平台”撤回原文 件后，重新上传修改后并加密的投标文件。 </w:t>
            </w:r>
          </w:p>
          <w:p>
            <w:pPr>
              <w:pStyle w:val="2"/>
              <w:ind w:left="0"/>
            </w:pPr>
            <w:r>
              <w:t>（2)修改后加密投标文件的递交，以投标截止时间前最后完成上传的文件为准。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5.1</w:t>
            </w:r>
          </w:p>
        </w:tc>
        <w:tc>
          <w:tcPr>
            <w:tcW w:w="1765" w:type="dxa"/>
            <w:shd w:val="clear" w:color="auto" w:fill="auto"/>
            <w:vAlign w:val="center"/>
          </w:tcPr>
          <w:p>
            <w:pPr>
              <w:pStyle w:val="2"/>
              <w:ind w:left="0"/>
              <w:jc w:val="center"/>
            </w:pPr>
            <w:r>
              <w:rPr>
                <w:rFonts w:hint="eastAsia"/>
              </w:rPr>
              <w:t>开标时间和地点</w:t>
            </w:r>
          </w:p>
        </w:tc>
        <w:tc>
          <w:tcPr>
            <w:tcW w:w="7062" w:type="dxa"/>
            <w:shd w:val="clear" w:color="auto" w:fill="auto"/>
            <w:vAlign w:val="center"/>
          </w:tcPr>
          <w:p>
            <w:pPr>
              <w:pStyle w:val="2"/>
              <w:ind w:left="0"/>
            </w:pPr>
            <w:r>
              <w:rPr>
                <w:rFonts w:hint="eastAsia"/>
              </w:rPr>
              <w:t>开标时间：同投标截止时间</w:t>
            </w:r>
          </w:p>
          <w:p>
            <w:pPr>
              <w:pStyle w:val="2"/>
              <w:ind w:left="0"/>
            </w:pPr>
            <w:r>
              <w:t xml:space="preserve">开标地点: </w:t>
            </w:r>
            <w:r>
              <w:rPr>
                <w:u w:val="single"/>
              </w:rPr>
              <w:t>成都市天府大道北段 966 号天府国际金融中心 7 号楼</w:t>
            </w:r>
            <w:r>
              <w:rPr>
                <w:rFonts w:hint="eastAsia"/>
                <w:u w:val="single"/>
              </w:rPr>
              <w:t>本项目开标室</w:t>
            </w:r>
            <w:r>
              <w:rPr>
                <w:u w:val="single"/>
              </w:rPr>
              <w:t>（具体开标室详见交易中心开标当天大屏幕显示）</w:t>
            </w:r>
          </w:p>
          <w:p>
            <w:pPr>
              <w:pStyle w:val="2"/>
              <w:ind w:left="0"/>
            </w:pPr>
            <w:r>
              <w:t>□</w:t>
            </w:r>
            <w:r>
              <w:rPr>
                <w:rFonts w:hint="eastAsia"/>
              </w:rPr>
              <w:t>分中心地址：</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5.2</w:t>
            </w:r>
          </w:p>
        </w:tc>
        <w:tc>
          <w:tcPr>
            <w:tcW w:w="1765" w:type="dxa"/>
            <w:shd w:val="clear" w:color="auto" w:fill="auto"/>
            <w:vAlign w:val="center"/>
          </w:tcPr>
          <w:p>
            <w:pPr>
              <w:pStyle w:val="2"/>
              <w:ind w:left="0"/>
              <w:jc w:val="center"/>
            </w:pPr>
            <w:r>
              <w:rPr>
                <w:rFonts w:hint="eastAsia"/>
              </w:rPr>
              <w:t>开标程序</w:t>
            </w:r>
          </w:p>
        </w:tc>
        <w:tc>
          <w:tcPr>
            <w:tcW w:w="7062" w:type="dxa"/>
            <w:shd w:val="clear" w:color="auto" w:fill="auto"/>
            <w:vAlign w:val="center"/>
          </w:tcPr>
          <w:p>
            <w:pPr>
              <w:pStyle w:val="2"/>
              <w:ind w:left="0"/>
            </w:pPr>
            <w:r>
              <w:rPr>
                <w:rFonts w:hint="eastAsia"/>
              </w:rPr>
              <w:t>○（现场开标）</w:t>
            </w:r>
          </w:p>
          <w:p>
            <w:pPr>
              <w:pStyle w:val="2"/>
              <w:ind w:left="0"/>
            </w:pPr>
            <w:r>
              <w:t>开标程序：</w:t>
            </w:r>
          </w:p>
          <w:p>
            <w:pPr>
              <w:pStyle w:val="2"/>
              <w:ind w:left="0"/>
            </w:pPr>
            <w:r>
              <w:rPr>
                <w:rFonts w:hint="eastAsia"/>
              </w:rPr>
              <w:t>(1)</w:t>
            </w:r>
            <w:r>
              <w:t xml:space="preserve"> 从业单位信用等级（得分）评价结果，以</w:t>
            </w:r>
            <w:r>
              <w:rPr>
                <w:rFonts w:hint="eastAsia"/>
              </w:rPr>
              <w:t>成都市公共资源电子交易云平台当日9时后从</w:t>
            </w:r>
            <w:r>
              <w:t>成都市工程建</w:t>
            </w:r>
            <w:r>
              <w:rPr>
                <w:rFonts w:hint="eastAsia"/>
              </w:rPr>
              <w:t>项目</w:t>
            </w:r>
            <w:r>
              <w:t>设招标投标从业单位信用信息平台上</w:t>
            </w:r>
            <w:r>
              <w:rPr>
                <w:rFonts w:hint="eastAsia"/>
              </w:rPr>
              <w:t>获取</w:t>
            </w:r>
            <w:r>
              <w:t>的结果为准</w:t>
            </w:r>
            <w:r>
              <w:rPr>
                <w:rFonts w:hint="eastAsia"/>
              </w:rPr>
              <w:t>并自动关联到《投标情况公示表》。</w:t>
            </w:r>
          </w:p>
          <w:p>
            <w:pPr>
              <w:pStyle w:val="2"/>
              <w:ind w:left="0"/>
            </w:pPr>
            <w:r>
              <w:t xml:space="preserve">（2）公示投标人投标情况，招标人确定是否接收标书。 </w:t>
            </w:r>
          </w:p>
          <w:p>
            <w:pPr>
              <w:pStyle w:val="2"/>
              <w:ind w:left="0"/>
            </w:pPr>
            <w:r>
              <w:t xml:space="preserve">（3）宣布并记录招标人、唱标人、记录人、监督人等有关人员姓名、 单位等信息。 </w:t>
            </w:r>
          </w:p>
          <w:p>
            <w:pPr>
              <w:pStyle w:val="2"/>
              <w:ind w:left="0"/>
            </w:pPr>
            <w:r>
              <w:t xml:space="preserve">（4）招标人组织投标人代表在现场使用投标人的企业 CA 数字证书解密 投标文件。 </w:t>
            </w:r>
          </w:p>
          <w:p>
            <w:pPr>
              <w:pStyle w:val="2"/>
              <w:ind w:left="0"/>
            </w:pPr>
            <w:r>
              <w:t>（5）招标人唱标或进行电声唱标完成后，确认开标记录表信息。</w:t>
            </w:r>
          </w:p>
          <w:p>
            <w:pPr>
              <w:pStyle w:val="2"/>
              <w:ind w:left="0"/>
            </w:pPr>
            <w:r>
              <w:t xml:space="preserve">（6）招标人打印开标记录表，组织有关人员在开标记录表上签字确认（如投标人未对开标记录表进行签字确认，则视为对开标程序和结果无 异议）。 </w:t>
            </w:r>
          </w:p>
          <w:p>
            <w:pPr>
              <w:pStyle w:val="2"/>
              <w:ind w:left="0"/>
            </w:pPr>
            <w:r>
              <w:t>注：</w:t>
            </w:r>
          </w:p>
          <w:p>
            <w:pPr>
              <w:pStyle w:val="2"/>
              <w:ind w:left="0"/>
            </w:pPr>
            <w:r>
              <w:rPr>
                <w:rFonts w:hint="eastAsia"/>
              </w:rPr>
              <w:t>（1）解密失败的投标人在投标截止时间以前递交的光盘中的投标文件为准。</w:t>
            </w:r>
          </w:p>
          <w:p>
            <w:pPr>
              <w:pStyle w:val="2"/>
              <w:ind w:left="0"/>
            </w:pPr>
            <w:r>
              <w:rPr>
                <w:rFonts w:hint="eastAsia"/>
              </w:rPr>
              <w:t>（2）</w:t>
            </w:r>
            <w:r>
              <w:t>投标人对开标有异议的，应当在开标现场提出，招标人当场作出答复，并制作记录。</w:t>
            </w:r>
          </w:p>
          <w:p>
            <w:pPr>
              <w:pStyle w:val="2"/>
              <w:ind w:left="0"/>
            </w:pPr>
            <w:r>
              <w:rPr>
                <w:rFonts w:hint="eastAsia"/>
              </w:rPr>
              <w:t>○（不见面开标）</w:t>
            </w:r>
          </w:p>
          <w:p>
            <w:pPr>
              <w:pStyle w:val="2"/>
              <w:ind w:left="0"/>
            </w:pPr>
            <w:r>
              <w:rPr>
                <w:rFonts w:hint="eastAsia"/>
              </w:rPr>
              <w:t>开标程序：</w:t>
            </w:r>
          </w:p>
          <w:p>
            <w:pPr>
              <w:pStyle w:val="2"/>
              <w:ind w:left="0"/>
            </w:pPr>
            <w:r>
              <w:t>1</w:t>
            </w:r>
            <w:r>
              <w:rPr>
                <w:rFonts w:hint="eastAsia"/>
              </w:rPr>
              <w:t>、</w:t>
            </w:r>
            <w:r>
              <w:t>从业单位信用等级（得分）评价结果，以</w:t>
            </w:r>
            <w:r>
              <w:rPr>
                <w:rFonts w:hint="eastAsia"/>
              </w:rPr>
              <w:t>云平台当日9时后从</w:t>
            </w:r>
            <w:r>
              <w:t>成都市工程建设招标投标从业单位信用信息平台上</w:t>
            </w:r>
            <w:r>
              <w:rPr>
                <w:rFonts w:hint="eastAsia"/>
              </w:rPr>
              <w:t>获取</w:t>
            </w:r>
            <w:r>
              <w:t>的结果为准</w:t>
            </w:r>
            <w:r>
              <w:rPr>
                <w:rFonts w:hint="eastAsia"/>
              </w:rPr>
              <w:t>并自动关联到《投标情况公示表》。</w:t>
            </w:r>
          </w:p>
          <w:p>
            <w:pPr>
              <w:pStyle w:val="2"/>
              <w:ind w:left="0"/>
            </w:pPr>
            <w:r>
              <w:t>2</w:t>
            </w:r>
            <w:r>
              <w:rPr>
                <w:rFonts w:hint="eastAsia"/>
              </w:rPr>
              <w:t>、招标人或其委托代理机构，以及已在投标截止时间前按规定上传投标文件的投标人，均应在开标当日投标截止时间前登录不见面开标系统（网址：</w:t>
            </w:r>
            <w:r>
              <w:t>www.cdggzy.com</w:t>
            </w:r>
            <w:r>
              <w:rPr>
                <w:rFonts w:hint="eastAsia"/>
              </w:rPr>
              <w:t>），录入相关人员姓名、电话等基本信息。</w:t>
            </w:r>
          </w:p>
          <w:p>
            <w:pPr>
              <w:pStyle w:val="2"/>
              <w:ind w:left="0"/>
            </w:pPr>
            <w:r>
              <w:t>3</w:t>
            </w:r>
            <w:r>
              <w:rPr>
                <w:rFonts w:hint="eastAsia"/>
              </w:rPr>
              <w:t>、</w:t>
            </w:r>
            <w:r>
              <w:t>投标时间截止后，招标人或其委托代理机构点击确认开标开始，系统进入正式开标环节，展示所有已上传投标文件的投标人名单、投标保证金交纳情况和投标人相关信用信息等投标基本情况。</w:t>
            </w:r>
          </w:p>
          <w:p>
            <w:pPr>
              <w:pStyle w:val="2"/>
              <w:ind w:left="0"/>
            </w:pPr>
            <w:r>
              <w:t>4</w:t>
            </w:r>
            <w:r>
              <w:rPr>
                <w:rFonts w:hint="eastAsia"/>
              </w:rPr>
              <w:t>、</w:t>
            </w:r>
            <w:r>
              <w:t>投标基本情况展示后，招标人或其委托代理机构应点击进入投标文件解密环节，投标人应在解密开始后</w:t>
            </w:r>
            <w:r>
              <w:rPr>
                <w:rFonts w:hint="eastAsia"/>
              </w:rPr>
              <w:t>30</w:t>
            </w:r>
            <w:r>
              <w:t>分钟内在线完成投标文件解密。</w:t>
            </w:r>
          </w:p>
          <w:p>
            <w:pPr>
              <w:pStyle w:val="2"/>
              <w:ind w:left="0"/>
            </w:pPr>
            <w:r>
              <w:rPr>
                <w:rFonts w:hint="eastAsia"/>
              </w:rPr>
              <w:t>5、</w:t>
            </w:r>
            <w:r>
              <w:t>所有投标人完成解密后或在规定解密时间截止后，经招标人或其委托代理机构确认进入唱标展示环节，由系统直接展示各投标人名称、投标报价等唱标内容，生成开标记录表。</w:t>
            </w:r>
          </w:p>
          <w:p>
            <w:pPr>
              <w:pStyle w:val="2"/>
              <w:ind w:left="0"/>
            </w:pPr>
            <w:r>
              <w:rPr>
                <w:rFonts w:hint="eastAsia"/>
              </w:rPr>
              <w:t>6、</w:t>
            </w:r>
            <w:r>
              <w:t>投标人对开标有异议的，应在线提出，由招标人或其委托代理机构在线即时答复处理。</w:t>
            </w:r>
            <w:r>
              <w:rPr>
                <w:rFonts w:hint="eastAsia"/>
              </w:rPr>
              <w:t>招标人或其委托代理机构应为投标人提供提出异议时间不少于10分钟（生成开标记录表开始起算）。</w:t>
            </w:r>
            <w:r>
              <w:t>所有异议处理完毕后，由招标人或其委托代理机构确认开标结束。</w:t>
            </w:r>
          </w:p>
          <w:p>
            <w:pPr>
              <w:pStyle w:val="2"/>
              <w:ind w:left="0"/>
            </w:pPr>
            <w:r>
              <w:rPr>
                <w:rFonts w:hint="eastAsia"/>
              </w:rPr>
              <w:t>注：</w:t>
            </w:r>
            <w:r>
              <w:t>投标人未提出异议的，视同其认可开标过程、开标内容和开标结果。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9" w:hRule="atLeast"/>
          <w:jc w:val="center"/>
        </w:trPr>
        <w:tc>
          <w:tcPr>
            <w:tcW w:w="959" w:type="dxa"/>
            <w:shd w:val="clear" w:color="auto" w:fill="auto"/>
            <w:vAlign w:val="center"/>
          </w:tcPr>
          <w:p>
            <w:pPr>
              <w:pStyle w:val="2"/>
              <w:ind w:left="0"/>
              <w:jc w:val="center"/>
            </w:pPr>
            <w:r>
              <w:rPr>
                <w:rFonts w:hint="eastAsia"/>
              </w:rPr>
              <w:t>6.1.1</w:t>
            </w:r>
          </w:p>
        </w:tc>
        <w:tc>
          <w:tcPr>
            <w:tcW w:w="1765" w:type="dxa"/>
            <w:shd w:val="clear" w:color="auto" w:fill="auto"/>
            <w:vAlign w:val="center"/>
          </w:tcPr>
          <w:p>
            <w:pPr>
              <w:pStyle w:val="2"/>
              <w:ind w:left="0"/>
              <w:jc w:val="center"/>
            </w:pPr>
            <w:r>
              <w:rPr>
                <w:rFonts w:hint="eastAsia"/>
              </w:rPr>
              <w:t>评标委员会的组建</w:t>
            </w:r>
          </w:p>
        </w:tc>
        <w:tc>
          <w:tcPr>
            <w:tcW w:w="7062" w:type="dxa"/>
            <w:shd w:val="clear" w:color="auto" w:fill="auto"/>
            <w:vAlign w:val="center"/>
          </w:tcPr>
          <w:p>
            <w:pPr>
              <w:pStyle w:val="2"/>
              <w:ind w:left="0"/>
            </w:pPr>
            <w:r>
              <w:t>评标委员会构成：</w:t>
            </w:r>
            <w:r>
              <w:rPr>
                <w:rFonts w:hint="eastAsia"/>
                <w:u w:val="single"/>
              </w:rPr>
              <w:t xml:space="preserve">      </w:t>
            </w:r>
            <w:r>
              <w:rPr>
                <w:rFonts w:hint="eastAsia"/>
              </w:rPr>
              <w:t>人（须为5</w:t>
            </w:r>
            <w:r>
              <w:t>人</w:t>
            </w:r>
            <w:r>
              <w:rPr>
                <w:rFonts w:hint="eastAsia"/>
              </w:rPr>
              <w:t>或5人</w:t>
            </w:r>
            <w:r>
              <w:t>以上单数</w:t>
            </w:r>
            <w:r>
              <w:rPr>
                <w:rFonts w:hint="eastAsia"/>
              </w:rPr>
              <w:t>）；</w:t>
            </w:r>
            <w:r>
              <w:t>其中招标人代表</w:t>
            </w:r>
            <w:r>
              <w:rPr>
                <w:rFonts w:hint="eastAsia"/>
                <w:u w:val="single"/>
              </w:rPr>
              <w:t xml:space="preserve">   </w:t>
            </w:r>
            <w:r>
              <w:t>人，评标专家</w:t>
            </w:r>
            <w:r>
              <w:rPr>
                <w:rFonts w:hint="eastAsia"/>
                <w:u w:val="single"/>
              </w:rPr>
              <w:t xml:space="preserve">   </w:t>
            </w:r>
            <w:r>
              <w:t>人</w:t>
            </w:r>
            <w:r>
              <w:rPr>
                <w:rFonts w:hint="eastAsia"/>
              </w:rPr>
              <w:t>。</w:t>
            </w:r>
            <w:r>
              <w:t xml:space="preserve"> </w:t>
            </w:r>
          </w:p>
          <w:p>
            <w:pPr>
              <w:pStyle w:val="2"/>
              <w:ind w:left="0"/>
            </w:pPr>
            <w:r>
              <w:t>评标专家确定方式：</w:t>
            </w:r>
            <w:r>
              <w:rPr>
                <w:rFonts w:hint="eastAsia"/>
              </w:rPr>
              <w:t>从四川省评标专家库内相关专业的专家名单中随机抽取。</w:t>
            </w:r>
          </w:p>
          <w:p>
            <w:pPr>
              <w:pStyle w:val="2"/>
              <w:ind w:left="0"/>
            </w:pPr>
            <w:r>
              <w:rPr>
                <w:rFonts w:hint="eastAsia"/>
              </w:rPr>
              <w:t>注：评标委员会组建时，可视情况调整并增加评标委员会人数。</w:t>
            </w:r>
          </w:p>
          <w:p>
            <w:pPr>
              <w:pStyle w:val="2"/>
              <w:ind w:left="0"/>
            </w:pPr>
            <w:r>
              <w:rPr>
                <w:rFonts w:hint="eastAsia"/>
              </w:rPr>
              <w:t>招标人代表人数不得超过评标委员会总数的1/3。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6.3</w:t>
            </w:r>
          </w:p>
        </w:tc>
        <w:tc>
          <w:tcPr>
            <w:tcW w:w="1765" w:type="dxa"/>
            <w:shd w:val="clear" w:color="auto" w:fill="auto"/>
            <w:vAlign w:val="center"/>
          </w:tcPr>
          <w:p>
            <w:pPr>
              <w:pStyle w:val="2"/>
              <w:ind w:left="0"/>
              <w:jc w:val="center"/>
            </w:pPr>
            <w:r>
              <w:rPr>
                <w:rFonts w:hint="eastAsia"/>
              </w:rPr>
              <w:t>评标办法</w:t>
            </w:r>
          </w:p>
        </w:tc>
        <w:tc>
          <w:tcPr>
            <w:tcW w:w="7062" w:type="dxa"/>
            <w:shd w:val="clear" w:color="auto" w:fill="auto"/>
            <w:vAlign w:val="center"/>
          </w:tcPr>
          <w:p>
            <w:pPr>
              <w:pStyle w:val="2"/>
              <w:ind w:left="0"/>
            </w:pPr>
            <w:r>
              <w:rPr>
                <w:rFonts w:hint="eastAsia"/>
              </w:rPr>
              <w:t>○经评审的最低投标价法</w:t>
            </w:r>
          </w:p>
          <w:p>
            <w:pPr>
              <w:pStyle w:val="2"/>
              <w:ind w:left="0"/>
            </w:pPr>
            <w:r>
              <w:rPr>
                <w:rFonts w:hint="eastAsia"/>
              </w:rPr>
              <w:t>○综合评估法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7.1</w:t>
            </w:r>
          </w:p>
        </w:tc>
        <w:tc>
          <w:tcPr>
            <w:tcW w:w="1765" w:type="dxa"/>
            <w:shd w:val="clear" w:color="auto" w:fill="auto"/>
            <w:vAlign w:val="center"/>
          </w:tcPr>
          <w:p>
            <w:pPr>
              <w:pStyle w:val="2"/>
              <w:ind w:left="0"/>
              <w:jc w:val="center"/>
            </w:pPr>
            <w:r>
              <w:rPr>
                <w:rFonts w:hint="eastAsia"/>
              </w:rPr>
              <w:t>是否授权评标委员会确定中标人</w:t>
            </w:r>
          </w:p>
        </w:tc>
        <w:tc>
          <w:tcPr>
            <w:tcW w:w="7062" w:type="dxa"/>
            <w:shd w:val="clear" w:color="auto" w:fill="auto"/>
            <w:vAlign w:val="center"/>
          </w:tcPr>
          <w:p>
            <w:pPr>
              <w:pStyle w:val="2"/>
              <w:ind w:left="0"/>
            </w:pPr>
            <w:r>
              <w:rPr>
                <w:rFonts w:hint="eastAsia"/>
              </w:rPr>
              <w:t>○是</w:t>
            </w:r>
          </w:p>
          <w:p>
            <w:pPr>
              <w:pStyle w:val="2"/>
              <w:ind w:left="0"/>
            </w:pPr>
            <w:r>
              <w:rPr>
                <w:rFonts w:hint="eastAsia"/>
              </w:rPr>
              <w:t>○否,推荐的中标候选人数：1-3名。</w:t>
            </w:r>
          </w:p>
          <w:p>
            <w:pPr>
              <w:pStyle w:val="2"/>
              <w:ind w:left="0"/>
            </w:pPr>
            <w:r>
              <w:t>如果中标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7.2</w:t>
            </w:r>
          </w:p>
        </w:tc>
        <w:tc>
          <w:tcPr>
            <w:tcW w:w="1765" w:type="dxa"/>
            <w:shd w:val="clear" w:color="auto" w:fill="auto"/>
            <w:vAlign w:val="center"/>
          </w:tcPr>
          <w:p>
            <w:pPr>
              <w:pStyle w:val="2"/>
              <w:ind w:left="0"/>
              <w:jc w:val="center"/>
            </w:pPr>
            <w:r>
              <w:rPr>
                <w:rFonts w:hint="eastAsia"/>
              </w:rPr>
              <w:t>中标候选人公示媒介</w:t>
            </w:r>
          </w:p>
        </w:tc>
        <w:tc>
          <w:tcPr>
            <w:tcW w:w="7062" w:type="dxa"/>
            <w:shd w:val="clear" w:color="auto" w:fill="auto"/>
            <w:vAlign w:val="center"/>
          </w:tcPr>
          <w:p>
            <w:pPr>
              <w:pStyle w:val="2"/>
              <w:ind w:left="0"/>
            </w:pPr>
            <w:r>
              <w:t>公示媒介：</w:t>
            </w:r>
            <w:r>
              <w:rPr>
                <w:u w:val="single"/>
              </w:rPr>
              <w:t>全国公共资源交易平台（四川省）、成都市公共资源交易服务中心（网址：http://ggzyjy.sc.gov.cn、www.cdggzy.com）</w:t>
            </w:r>
          </w:p>
          <w:p>
            <w:pPr>
              <w:pStyle w:val="2"/>
              <w:ind w:left="0"/>
            </w:pPr>
            <w:r>
              <w:t>公示期限：</w:t>
            </w:r>
            <w:r>
              <w:rPr>
                <w:rFonts w:hint="eastAsia"/>
                <w:u w:val="single"/>
              </w:rPr>
              <w:t xml:space="preserve">   </w:t>
            </w:r>
            <w:r>
              <w:rPr>
                <w:rFonts w:hint="eastAsia"/>
              </w:rPr>
              <w:t>个工作</w:t>
            </w:r>
            <w:r>
              <w:t>日</w:t>
            </w:r>
            <w:r>
              <w:rPr>
                <w:rFonts w:hint="eastAsia"/>
              </w:rPr>
              <w:t xml:space="preserve"> （不少于3个工作</w:t>
            </w:r>
            <w:r>
              <w:t>日</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7.3.1</w:t>
            </w:r>
          </w:p>
        </w:tc>
        <w:tc>
          <w:tcPr>
            <w:tcW w:w="1765" w:type="dxa"/>
            <w:shd w:val="clear" w:color="auto" w:fill="auto"/>
            <w:vAlign w:val="center"/>
          </w:tcPr>
          <w:p>
            <w:pPr>
              <w:pStyle w:val="2"/>
              <w:ind w:left="0"/>
              <w:jc w:val="center"/>
            </w:pPr>
            <w:r>
              <w:rPr>
                <w:rFonts w:hint="eastAsia"/>
              </w:rPr>
              <w:t>履约担保</w:t>
            </w:r>
          </w:p>
        </w:tc>
        <w:tc>
          <w:tcPr>
            <w:tcW w:w="7062" w:type="dxa"/>
            <w:shd w:val="clear" w:color="auto" w:fill="auto"/>
            <w:vAlign w:val="center"/>
          </w:tcPr>
          <w:p>
            <w:pPr>
              <w:pStyle w:val="2"/>
              <w:ind w:left="0"/>
            </w:pPr>
            <w:r>
              <w:rPr>
                <w:rFonts w:hint="eastAsia"/>
              </w:rPr>
              <w:t>○不提交；</w:t>
            </w:r>
          </w:p>
          <w:p>
            <w:pPr>
              <w:pStyle w:val="2"/>
              <w:ind w:left="0"/>
            </w:pPr>
            <w:r>
              <w:rPr>
                <w:rFonts w:hint="eastAsia"/>
              </w:rPr>
              <w:t>○提交：</w:t>
            </w:r>
          </w:p>
          <w:p>
            <w:pPr>
              <w:pStyle w:val="2"/>
              <w:ind w:left="0"/>
            </w:pPr>
            <w:r>
              <w:rPr>
                <w:rFonts w:hint="eastAsia"/>
              </w:rPr>
              <w:t>履约保证金的金额：履约保证金=（中标价-暂列金额）的</w:t>
            </w:r>
            <w:r>
              <w:rPr>
                <w:rFonts w:hint="eastAsia"/>
                <w:u w:val="single"/>
              </w:rPr>
              <w:t xml:space="preserve">   </w:t>
            </w:r>
            <w:r>
              <w:rPr>
                <w:rFonts w:hint="eastAsia"/>
              </w:rPr>
              <w:t>%</w:t>
            </w:r>
          </w:p>
          <w:p>
            <w:pPr>
              <w:pStyle w:val="2"/>
              <w:ind w:left="0"/>
            </w:pPr>
            <w:r>
              <w:rPr>
                <w:rFonts w:hint="eastAsia"/>
              </w:rPr>
              <w:t>履约保证金形式及提交时间：通过中标人的基本账户以银行转帐方式或</w:t>
            </w:r>
            <w:r>
              <w:t>银行保函</w:t>
            </w:r>
            <w:r>
              <w:rPr>
                <w:rFonts w:hint="eastAsia"/>
              </w:rPr>
              <w:t>方式、□</w:t>
            </w:r>
            <w:r>
              <w:rPr>
                <w:rFonts w:hint="eastAsia"/>
                <w:u w:val="single"/>
              </w:rPr>
              <w:t>保证保险方式</w:t>
            </w:r>
            <w:r>
              <w:rPr>
                <w:rFonts w:hint="eastAsia"/>
              </w:rPr>
              <w:t>缴纳，须在招标人发出中标通知书后</w:t>
            </w:r>
            <w:r>
              <w:rPr>
                <w:rFonts w:hint="eastAsia"/>
                <w:u w:val="single"/>
              </w:rPr>
              <w:t xml:space="preserve"> </w:t>
            </w:r>
            <w:r>
              <w:rPr>
                <w:u w:val="single"/>
              </w:rPr>
              <w:t xml:space="preserve">  </w:t>
            </w:r>
            <w:r>
              <w:rPr>
                <w:rFonts w:hint="eastAsia"/>
              </w:rPr>
              <w:t xml:space="preserve"> 个工作日内提交。</w:t>
            </w:r>
          </w:p>
          <w:p>
            <w:pPr>
              <w:pStyle w:val="2"/>
              <w:ind w:left="0"/>
            </w:pPr>
            <w:r>
              <w:t>注:</w:t>
            </w:r>
            <w:r>
              <w:rPr>
                <w:rFonts w:hint="eastAsia"/>
              </w:rPr>
              <w:t>履约保证金不得超过中标合同金额的10%，招标人不得要求没有法律法规依据的其他任何形式的各类保证金、押金等。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959" w:type="dxa"/>
            <w:shd w:val="clear" w:color="auto" w:fill="auto"/>
            <w:vAlign w:val="center"/>
          </w:tcPr>
          <w:p>
            <w:pPr>
              <w:pStyle w:val="2"/>
              <w:ind w:left="0"/>
              <w:jc w:val="center"/>
            </w:pPr>
            <w:r>
              <w:rPr>
                <w:rFonts w:hint="eastAsia"/>
              </w:rPr>
              <w:t>7.4.3</w:t>
            </w:r>
          </w:p>
        </w:tc>
        <w:tc>
          <w:tcPr>
            <w:tcW w:w="1765" w:type="dxa"/>
            <w:shd w:val="clear" w:color="auto" w:fill="auto"/>
            <w:vAlign w:val="center"/>
          </w:tcPr>
          <w:p>
            <w:pPr>
              <w:pStyle w:val="2"/>
              <w:ind w:left="0"/>
              <w:jc w:val="center"/>
            </w:pPr>
            <w:r>
              <w:rPr>
                <w:rFonts w:hint="eastAsia"/>
              </w:rPr>
              <w:t>签订合同</w:t>
            </w:r>
          </w:p>
        </w:tc>
        <w:tc>
          <w:tcPr>
            <w:tcW w:w="7062" w:type="dxa"/>
            <w:shd w:val="clear" w:color="auto" w:fill="auto"/>
            <w:vAlign w:val="center"/>
          </w:tcPr>
          <w:p>
            <w:pPr>
              <w:pStyle w:val="2"/>
              <w:ind w:left="0"/>
            </w:pPr>
            <w:r>
              <w:rPr>
                <w:rFonts w:hint="eastAsia"/>
              </w:rPr>
              <w:t>合同协议书经双方法定代表人或委托代理人签字并加盖公章后生效。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59" w:type="dxa"/>
            <w:shd w:val="clear" w:color="auto" w:fill="auto"/>
            <w:vAlign w:val="center"/>
          </w:tcPr>
          <w:p>
            <w:pPr>
              <w:pStyle w:val="2"/>
              <w:ind w:left="0"/>
              <w:jc w:val="center"/>
            </w:pPr>
            <w:r>
              <w:rPr>
                <w:rFonts w:hint="eastAsia"/>
              </w:rPr>
              <w:t>10</w:t>
            </w:r>
          </w:p>
        </w:tc>
        <w:tc>
          <w:tcPr>
            <w:tcW w:w="8827" w:type="dxa"/>
            <w:gridSpan w:val="2"/>
            <w:shd w:val="clear" w:color="auto" w:fill="auto"/>
            <w:vAlign w:val="center"/>
          </w:tcPr>
          <w:p>
            <w:pPr>
              <w:pStyle w:val="2"/>
              <w:ind w:left="0"/>
              <w:jc w:val="center"/>
            </w:pPr>
            <w:r>
              <w:rPr>
                <w:rFonts w:hint="eastAsia"/>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959" w:type="dxa"/>
            <w:shd w:val="clear" w:color="auto" w:fill="auto"/>
            <w:vAlign w:val="center"/>
          </w:tcPr>
          <w:p>
            <w:pPr>
              <w:pStyle w:val="2"/>
              <w:ind w:left="0"/>
              <w:jc w:val="center"/>
            </w:pPr>
            <w:r>
              <w:t>10.</w:t>
            </w:r>
            <w:r>
              <w:rPr>
                <w:rFonts w:hint="eastAsia"/>
              </w:rPr>
              <w:t>1</w:t>
            </w:r>
          </w:p>
        </w:tc>
        <w:tc>
          <w:tcPr>
            <w:tcW w:w="1765" w:type="dxa"/>
            <w:shd w:val="clear" w:color="auto" w:fill="auto"/>
            <w:vAlign w:val="center"/>
          </w:tcPr>
          <w:p>
            <w:pPr>
              <w:pStyle w:val="2"/>
              <w:ind w:left="0"/>
              <w:jc w:val="center"/>
            </w:pPr>
            <w:r>
              <w:rPr>
                <w:rFonts w:hint="eastAsia"/>
              </w:rPr>
              <w:t>★</w:t>
            </w:r>
            <w:r>
              <w:t>招标控制价</w:t>
            </w:r>
          </w:p>
        </w:tc>
        <w:tc>
          <w:tcPr>
            <w:tcW w:w="7062" w:type="dxa"/>
            <w:shd w:val="clear" w:color="auto" w:fill="auto"/>
            <w:vAlign w:val="center"/>
          </w:tcPr>
          <w:p>
            <w:pPr>
              <w:pStyle w:val="2"/>
              <w:ind w:left="0"/>
            </w:pPr>
            <w:r>
              <w:t>招标控制价为</w:t>
            </w:r>
            <w:r>
              <w:rPr>
                <w:rFonts w:hint="eastAsia"/>
                <w:u w:val="single"/>
              </w:rPr>
              <w:t xml:space="preserve">         </w:t>
            </w:r>
            <w:r>
              <w:rPr>
                <w:rFonts w:hint="eastAsia"/>
              </w:rPr>
              <w:t>，其中暂列金为</w:t>
            </w:r>
            <w:r>
              <w:rPr>
                <w:u w:val="single"/>
              </w:rPr>
              <w:t xml:space="preserve">         </w:t>
            </w:r>
            <w:r>
              <w:rPr>
                <w:rFonts w:hint="eastAsia"/>
              </w:rPr>
              <w:t>。投标人投标函中填报的金额不得超过招标控制价，否则应否决其投标。</w:t>
            </w:r>
          </w:p>
          <w:p>
            <w:pPr>
              <w:pStyle w:val="2"/>
              <w:ind w:left="0"/>
            </w:pPr>
            <w:r>
              <w:rPr>
                <w:rFonts w:hint="eastAsia"/>
              </w:rPr>
              <w:t>注：招标人在招标文件中公布招标控制价作为投标最高限价，采用工程量清单计价方式的，造价编制单位及造价执（从）业人员应当按照有关规定编制工程量清单和招标控制价，对其准确性负责（如有</w:t>
            </w:r>
            <w:r>
              <w:t>时</w:t>
            </w:r>
            <w:r>
              <w:rPr>
                <w:rFonts w:hint="eastAsia"/>
              </w:rPr>
              <w:t>）。招标文件公布的招标控制价不得作上浮或下调或政策性压价。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shd w:val="clear" w:color="auto" w:fill="auto"/>
            <w:vAlign w:val="center"/>
          </w:tcPr>
          <w:p>
            <w:pPr>
              <w:pStyle w:val="2"/>
              <w:ind w:left="0"/>
              <w:jc w:val="center"/>
            </w:pPr>
            <w:r>
              <w:rPr>
                <w:rFonts w:hint="eastAsia"/>
              </w:rPr>
              <w:t>10.2</w:t>
            </w:r>
          </w:p>
        </w:tc>
        <w:tc>
          <w:tcPr>
            <w:tcW w:w="1765" w:type="dxa"/>
            <w:shd w:val="clear" w:color="auto" w:fill="auto"/>
            <w:vAlign w:val="center"/>
          </w:tcPr>
          <w:p>
            <w:pPr>
              <w:pStyle w:val="2"/>
              <w:ind w:left="0"/>
              <w:jc w:val="center"/>
            </w:pPr>
            <w:r>
              <w:rPr>
                <w:rFonts w:hint="eastAsia"/>
              </w:rPr>
              <w:t>招标代理服务费</w:t>
            </w:r>
          </w:p>
        </w:tc>
        <w:tc>
          <w:tcPr>
            <w:tcW w:w="7062" w:type="dxa"/>
            <w:shd w:val="clear" w:color="auto" w:fill="auto"/>
            <w:vAlign w:val="center"/>
          </w:tcPr>
          <w:p>
            <w:pPr>
              <w:pStyle w:val="2"/>
              <w:ind w:left="0"/>
            </w:pPr>
            <w:r>
              <w:rPr>
                <w:rFonts w:hint="eastAsia"/>
              </w:rPr>
              <w:t>○</w:t>
            </w:r>
            <w:r>
              <w:t>不适</w:t>
            </w:r>
            <w:r>
              <w:rPr>
                <w:rFonts w:hint="eastAsia"/>
              </w:rPr>
              <w:t>用</w:t>
            </w:r>
            <w:r>
              <w:t xml:space="preserve">(自行招标)。 </w:t>
            </w:r>
          </w:p>
          <w:p>
            <w:pPr>
              <w:pStyle w:val="2"/>
              <w:ind w:left="0"/>
            </w:pPr>
            <w:r>
              <w:rPr>
                <w:rFonts w:hint="eastAsia"/>
              </w:rPr>
              <w:t>○招标人支付。</w:t>
            </w:r>
          </w:p>
          <w:p>
            <w:pPr>
              <w:pStyle w:val="2"/>
              <w:ind w:left="0"/>
            </w:pPr>
            <w:r>
              <w:rPr>
                <w:rFonts w:hint="eastAsia"/>
              </w:rPr>
              <w:t>○中标的投标人支付，支付标准：</w:t>
            </w:r>
            <w:r>
              <w:rPr>
                <w:u w:val="single"/>
              </w:rPr>
              <w:t xml:space="preserve">            </w:t>
            </w:r>
            <w:r>
              <w:rPr>
                <w:rFonts w:hint="eastAsia"/>
              </w:rPr>
              <w:t>（按照招标代理合同约定填写）。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9" w:hRule="atLeast"/>
          <w:jc w:val="center"/>
        </w:trPr>
        <w:tc>
          <w:tcPr>
            <w:tcW w:w="959" w:type="dxa"/>
            <w:shd w:val="clear" w:color="auto" w:fill="auto"/>
            <w:vAlign w:val="center"/>
          </w:tcPr>
          <w:p>
            <w:pPr>
              <w:pStyle w:val="2"/>
              <w:ind w:left="0"/>
              <w:jc w:val="center"/>
            </w:pPr>
            <w:r>
              <w:rPr>
                <w:rFonts w:hint="eastAsia"/>
              </w:rPr>
              <w:t>10.3</w:t>
            </w:r>
          </w:p>
        </w:tc>
        <w:tc>
          <w:tcPr>
            <w:tcW w:w="1765" w:type="dxa"/>
            <w:shd w:val="clear" w:color="auto" w:fill="auto"/>
            <w:vAlign w:val="center"/>
          </w:tcPr>
          <w:p>
            <w:pPr>
              <w:pStyle w:val="2"/>
              <w:ind w:left="0"/>
              <w:jc w:val="center"/>
            </w:pPr>
            <w:r>
              <w:rPr>
                <w:rFonts w:hint="eastAsia"/>
              </w:rPr>
              <w:t>★报价唯一</w:t>
            </w:r>
          </w:p>
        </w:tc>
        <w:tc>
          <w:tcPr>
            <w:tcW w:w="7062" w:type="dxa"/>
            <w:shd w:val="clear" w:color="auto" w:fill="auto"/>
            <w:vAlign w:val="center"/>
          </w:tcPr>
          <w:p>
            <w:pPr>
              <w:pStyle w:val="2"/>
              <w:ind w:left="0"/>
            </w:pPr>
            <w:r>
              <w:rPr>
                <w:rFonts w:hint="eastAsia"/>
              </w:rPr>
              <w:t>只能有一个有效报价。即：</w:t>
            </w:r>
          </w:p>
          <w:p>
            <w:pPr>
              <w:pStyle w:val="2"/>
              <w:ind w:left="0"/>
            </w:pPr>
            <w:r>
              <w:rPr>
                <w:rFonts w:hint="eastAsia"/>
              </w:rPr>
              <w:t>（1）投标报价文件（包括投标函）中的任何单价、合价或总价，不论其大写金额或小写金额均只能有一个，否则，报价评审组应否决其投标。</w:t>
            </w:r>
          </w:p>
          <w:p>
            <w:pPr>
              <w:pStyle w:val="2"/>
              <w:ind w:left="0"/>
            </w:pPr>
            <w:r>
              <w:rPr>
                <w:rFonts w:hint="eastAsia"/>
              </w:rPr>
              <w:t>（2）投标报价的单位应与公布的招标控制价一致（即以○</w:t>
            </w:r>
            <w:r>
              <w:rPr>
                <w:rFonts w:hint="eastAsia"/>
                <w:u w:val="single"/>
              </w:rPr>
              <w:t>万元</w:t>
            </w:r>
            <w:r>
              <w:rPr>
                <w:rFonts w:hint="eastAsia"/>
              </w:rPr>
              <w:t>○</w:t>
            </w:r>
            <w:r>
              <w:rPr>
                <w:rFonts w:hint="eastAsia"/>
                <w:u w:val="single"/>
              </w:rPr>
              <w:t>元</w:t>
            </w:r>
            <w:r>
              <w:rPr>
                <w:rFonts w:hint="eastAsia"/>
              </w:rPr>
              <w:t>○  为单位），小数点后保留位数不作实质性要求。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959" w:type="dxa"/>
            <w:shd w:val="clear" w:color="auto" w:fill="auto"/>
            <w:vAlign w:val="center"/>
          </w:tcPr>
          <w:p>
            <w:pPr>
              <w:pStyle w:val="2"/>
              <w:ind w:left="0"/>
              <w:jc w:val="center"/>
            </w:pPr>
            <w:r>
              <w:rPr>
                <w:rFonts w:hint="eastAsia"/>
              </w:rPr>
              <w:t>10.4</w:t>
            </w:r>
          </w:p>
        </w:tc>
        <w:tc>
          <w:tcPr>
            <w:tcW w:w="1765" w:type="dxa"/>
            <w:shd w:val="clear" w:color="auto" w:fill="auto"/>
            <w:vAlign w:val="center"/>
          </w:tcPr>
          <w:p>
            <w:pPr>
              <w:pStyle w:val="2"/>
              <w:ind w:left="0"/>
              <w:jc w:val="center"/>
            </w:pPr>
            <w:r>
              <w:t>★低于成本报价</w:t>
            </w:r>
          </w:p>
        </w:tc>
        <w:tc>
          <w:tcPr>
            <w:tcW w:w="7062" w:type="dxa"/>
            <w:shd w:val="clear" w:color="auto" w:fill="auto"/>
            <w:vAlign w:val="center"/>
          </w:tcPr>
          <w:p>
            <w:pPr>
              <w:pStyle w:val="2"/>
              <w:ind w:left="0"/>
            </w:pPr>
            <w:r>
              <w:rPr>
                <w:rFonts w:hint="eastAsia"/>
              </w:rPr>
              <w:t>在评标过程中，评标委员会发现投标人的报价（修正价）明显低于其他投标报价，使得其投标报价可能低于其个别成本的，应当要求该投标人作出书面说明并提供相关证明材料。投标人不能合理说明或者不能提供相关证明材料的，由评标委员会认定该投标人以低于成本报价竞标，其投标应作否决投标处理。</w:t>
            </w:r>
          </w:p>
          <w:p>
            <w:pPr>
              <w:pStyle w:val="2"/>
              <w:ind w:left="0"/>
            </w:pPr>
            <w:r>
              <w:rPr>
                <w:rFonts w:hint="eastAsia"/>
              </w:rPr>
              <w:t>某投标人的报价明显低于其他投标报价的量化评审方法:</w:t>
            </w:r>
          </w:p>
          <w:p>
            <w:pPr>
              <w:pStyle w:val="2"/>
              <w:ind w:left="0"/>
            </w:pPr>
            <w:r>
              <w:rPr>
                <w:rFonts w:hint="eastAsia"/>
              </w:rPr>
              <w:t>（1）由评标委员会对投标人的有效报价总价初步评审，如有明细影响投标报价的有效竞争性的，作为可能低于其个别成本的评审对象。</w:t>
            </w:r>
          </w:p>
          <w:p>
            <w:pPr>
              <w:pStyle w:val="2"/>
              <w:ind w:left="0"/>
            </w:pPr>
            <w:r>
              <w:rPr>
                <w:rFonts w:hint="eastAsia"/>
              </w:rPr>
              <w:t>（2）评标委员会对该投标人报价的单价（如有）等进行分析，对明显偏低的单项（不包括没有报价的单项）应当向其发出澄清函，要求该投标人作出书面说明并提供相关证明材料。</w:t>
            </w:r>
          </w:p>
          <w:p>
            <w:pPr>
              <w:pStyle w:val="2"/>
              <w:ind w:left="0"/>
            </w:pPr>
            <w:r>
              <w:rPr>
                <w:rFonts w:hint="eastAsia"/>
              </w:rPr>
              <w:t>（3）评标委员会全体成员半数以上认为该投标人不能合理说明或者不能提供相关证明材料的，认定该投标人以低于成本报价竞标，其投标应作否决投标处理。持有异议的评标委员会成员可以书面方式阐述其不同意见和理由，拒绝签字且不陈述其不同意见和理由的，视为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959" w:type="dxa"/>
            <w:shd w:val="clear" w:color="auto" w:fill="auto"/>
            <w:vAlign w:val="center"/>
          </w:tcPr>
          <w:p>
            <w:pPr>
              <w:pStyle w:val="2"/>
              <w:ind w:left="0"/>
              <w:jc w:val="center"/>
            </w:pPr>
            <w:r>
              <w:rPr>
                <w:rFonts w:hint="eastAsia"/>
              </w:rPr>
              <w:t>10.5</w:t>
            </w:r>
          </w:p>
        </w:tc>
        <w:tc>
          <w:tcPr>
            <w:tcW w:w="1765" w:type="dxa"/>
            <w:shd w:val="clear" w:color="auto" w:fill="auto"/>
            <w:vAlign w:val="center"/>
          </w:tcPr>
          <w:p>
            <w:pPr>
              <w:pStyle w:val="2"/>
              <w:ind w:left="0"/>
              <w:jc w:val="center"/>
            </w:pPr>
            <w:r>
              <w:rPr>
                <w:rFonts w:hint="eastAsia"/>
              </w:rPr>
              <w:t>中标价</w:t>
            </w:r>
          </w:p>
        </w:tc>
        <w:tc>
          <w:tcPr>
            <w:tcW w:w="7062" w:type="dxa"/>
            <w:shd w:val="clear" w:color="auto" w:fill="auto"/>
            <w:vAlign w:val="center"/>
          </w:tcPr>
          <w:p>
            <w:pPr>
              <w:pStyle w:val="2"/>
              <w:ind w:left="0"/>
            </w:pPr>
            <w:r>
              <w:rPr>
                <w:rFonts w:hint="eastAsia"/>
              </w:rPr>
              <w:t>按第三章“评标办法”3.1.3对投标报价进行修正的，以投标人接受的修正价格为中标价。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959" w:type="dxa"/>
            <w:shd w:val="clear" w:color="auto" w:fill="auto"/>
            <w:vAlign w:val="center"/>
          </w:tcPr>
          <w:p>
            <w:pPr>
              <w:pStyle w:val="2"/>
              <w:ind w:left="0"/>
              <w:jc w:val="center"/>
            </w:pPr>
            <w:r>
              <w:rPr>
                <w:rFonts w:hint="eastAsia"/>
              </w:rPr>
              <w:t>10.</w:t>
            </w:r>
            <w:r>
              <w:t>6</w:t>
            </w:r>
          </w:p>
        </w:tc>
        <w:tc>
          <w:tcPr>
            <w:tcW w:w="1765" w:type="dxa"/>
            <w:shd w:val="clear" w:color="auto" w:fill="auto"/>
            <w:vAlign w:val="center"/>
          </w:tcPr>
          <w:p>
            <w:pPr>
              <w:pStyle w:val="2"/>
              <w:ind w:left="0"/>
              <w:jc w:val="center"/>
            </w:pPr>
            <w:r>
              <w:rPr>
                <w:rFonts w:hint="eastAsia"/>
              </w:rPr>
              <w:t>确定中标人</w:t>
            </w:r>
          </w:p>
        </w:tc>
        <w:tc>
          <w:tcPr>
            <w:tcW w:w="7062" w:type="dxa"/>
            <w:shd w:val="clear" w:color="auto" w:fill="auto"/>
            <w:vAlign w:val="center"/>
          </w:tcPr>
          <w:p>
            <w:pPr>
              <w:pStyle w:val="2"/>
              <w:ind w:left="0"/>
            </w:pPr>
            <w:r>
              <w:rPr>
                <w:rFonts w:hint="eastAsia"/>
              </w:rPr>
              <w:t>招标人（或招标人授权的评标委员会）按照评标委员会推荐中标候选人的顺序确定中标人。但当投标人被推荐为中标候选人的合同段数量多于可以中标的合同数量时，按如下方式确定中标人：</w:t>
            </w:r>
          </w:p>
          <w:p>
            <w:pPr>
              <w:pStyle w:val="2"/>
              <w:ind w:left="0"/>
            </w:pPr>
            <w:r>
              <w:rPr>
                <w:rFonts w:hint="eastAsia"/>
              </w:rPr>
              <w:t>○由投标人选择中标的合同段。</w:t>
            </w:r>
          </w:p>
          <w:p>
            <w:pPr>
              <w:pStyle w:val="2"/>
              <w:ind w:left="0"/>
            </w:pPr>
            <w:r>
              <w:rPr>
                <w:rFonts w:hint="eastAsia"/>
              </w:rPr>
              <w:t>○由招标人选择中标的合同段。</w:t>
            </w:r>
          </w:p>
          <w:p>
            <w:pPr>
              <w:pStyle w:val="2"/>
              <w:ind w:left="0"/>
            </w:pPr>
            <w:r>
              <w:rPr>
                <w:rFonts w:hint="eastAsia"/>
              </w:rPr>
              <w:t>招标人选择该投标人中标的合同段的原则是：</w:t>
            </w:r>
            <w:r>
              <w:rPr>
                <w:rFonts w:hint="eastAsia"/>
                <w:u w:val="singl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959" w:type="dxa"/>
            <w:shd w:val="clear" w:color="auto" w:fill="auto"/>
            <w:vAlign w:val="center"/>
          </w:tcPr>
          <w:p>
            <w:pPr>
              <w:pStyle w:val="2"/>
              <w:ind w:left="0"/>
              <w:jc w:val="center"/>
            </w:pPr>
            <w:r>
              <w:rPr>
                <w:rFonts w:hint="eastAsia"/>
              </w:rPr>
              <w:t>10.</w:t>
            </w:r>
            <w:r>
              <w:t>7</w:t>
            </w:r>
          </w:p>
        </w:tc>
        <w:tc>
          <w:tcPr>
            <w:tcW w:w="1765" w:type="dxa"/>
            <w:shd w:val="clear" w:color="auto" w:fill="auto"/>
            <w:vAlign w:val="center"/>
          </w:tcPr>
          <w:p>
            <w:pPr>
              <w:pStyle w:val="2"/>
              <w:ind w:left="0"/>
              <w:jc w:val="center"/>
            </w:pPr>
            <w:r>
              <w:rPr>
                <w:rFonts w:hint="eastAsia"/>
              </w:rPr>
              <w:t>严禁转包和违法分包</w:t>
            </w:r>
          </w:p>
        </w:tc>
        <w:tc>
          <w:tcPr>
            <w:tcW w:w="7062" w:type="dxa"/>
            <w:shd w:val="clear" w:color="auto" w:fill="auto"/>
            <w:vAlign w:val="center"/>
          </w:tcPr>
          <w:p>
            <w:pPr>
              <w:pStyle w:val="2"/>
              <w:ind w:left="0"/>
            </w:pPr>
            <w:r>
              <w:rPr>
                <w:rFonts w:hint="eastAsia"/>
              </w:rPr>
              <w:t>严禁转包和违法分包。在项目实施全过程中未经招标人同意，凡招标文件未明确可以分包的，中标人不得进行任何形式的分包。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959" w:type="dxa"/>
            <w:shd w:val="clear" w:color="auto" w:fill="auto"/>
            <w:vAlign w:val="center"/>
          </w:tcPr>
          <w:p>
            <w:pPr>
              <w:pStyle w:val="2"/>
              <w:ind w:left="0"/>
              <w:jc w:val="center"/>
            </w:pPr>
            <w:r>
              <w:rPr>
                <w:rFonts w:hint="eastAsia"/>
              </w:rPr>
              <w:t>10.</w:t>
            </w:r>
            <w:r>
              <w:t>8</w:t>
            </w:r>
          </w:p>
        </w:tc>
        <w:tc>
          <w:tcPr>
            <w:tcW w:w="1765" w:type="dxa"/>
            <w:shd w:val="clear" w:color="auto" w:fill="auto"/>
            <w:vAlign w:val="center"/>
          </w:tcPr>
          <w:p>
            <w:pPr>
              <w:pStyle w:val="2"/>
              <w:ind w:left="0"/>
              <w:jc w:val="center"/>
            </w:pPr>
            <w:r>
              <w:rPr>
                <w:rFonts w:hint="eastAsia"/>
              </w:rPr>
              <w:t>★投标文件的真实性要求</w:t>
            </w:r>
          </w:p>
        </w:tc>
        <w:tc>
          <w:tcPr>
            <w:tcW w:w="7062" w:type="dxa"/>
            <w:shd w:val="clear" w:color="auto" w:fill="auto"/>
            <w:vAlign w:val="center"/>
          </w:tcPr>
          <w:p>
            <w:pPr>
              <w:pStyle w:val="2"/>
              <w:ind w:left="0"/>
            </w:pPr>
            <w:r>
              <w:t>投标人所递交的投标文件（包括有关资料、澄清）应不存在</w:t>
            </w:r>
            <w:r>
              <w:rPr>
                <w:rFonts w:hint="eastAsia"/>
              </w:rPr>
              <w:t>弄虚作假或隐瞒</w:t>
            </w:r>
            <w:r>
              <w:t>。投标人声明不存在限制投标情形但被发现存在限制投标情形的，</w:t>
            </w:r>
            <w:r>
              <w:rPr>
                <w:rFonts w:hint="eastAsia"/>
              </w:rPr>
              <w:t>属于隐瞒情形（单位负责人为同一人或者存在控股、管理关系的不同单位，在同一标段投标或者未划分标段的同一招标项目投标，若投标人在投标文件中已填报上述信息的，不属于隐瞒情形）。</w:t>
            </w:r>
          </w:p>
          <w:p>
            <w:pPr>
              <w:pStyle w:val="2"/>
              <w:ind w:left="0"/>
            </w:pPr>
            <w:r>
              <w:t>如投标文件存在</w:t>
            </w:r>
            <w:r>
              <w:rPr>
                <w:rFonts w:hint="eastAsia"/>
              </w:rPr>
              <w:t>弄虚作假或隐瞒</w:t>
            </w:r>
            <w:r>
              <w:t>，在评标阶段，评标委员会应将该投标文件作否决投标处理；中标候选人确定后发现的，</w:t>
            </w:r>
            <w:r>
              <w:rPr>
                <w:rFonts w:hint="eastAsia"/>
              </w:rPr>
              <w:t>招标人可以取消中标候选人或中标人资格</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959" w:type="dxa"/>
            <w:shd w:val="clear" w:color="auto" w:fill="auto"/>
            <w:vAlign w:val="center"/>
          </w:tcPr>
          <w:p>
            <w:pPr>
              <w:pStyle w:val="2"/>
              <w:ind w:left="0"/>
              <w:jc w:val="center"/>
            </w:pPr>
            <w:r>
              <w:rPr>
                <w:rFonts w:hint="eastAsia"/>
              </w:rPr>
              <w:t>10.</w:t>
            </w:r>
            <w:r>
              <w:t>9</w:t>
            </w:r>
          </w:p>
        </w:tc>
        <w:tc>
          <w:tcPr>
            <w:tcW w:w="1765" w:type="dxa"/>
            <w:shd w:val="clear" w:color="auto" w:fill="auto"/>
            <w:vAlign w:val="center"/>
          </w:tcPr>
          <w:p>
            <w:pPr>
              <w:pStyle w:val="2"/>
              <w:ind w:left="0"/>
              <w:jc w:val="center"/>
            </w:pPr>
            <w:r>
              <w:rPr>
                <w:rFonts w:hint="eastAsia"/>
              </w:rPr>
              <w:t>开标时投标人宜携带的资料</w:t>
            </w:r>
          </w:p>
        </w:tc>
        <w:tc>
          <w:tcPr>
            <w:tcW w:w="7062" w:type="dxa"/>
            <w:shd w:val="clear" w:color="auto" w:fill="auto"/>
            <w:vAlign w:val="center"/>
          </w:tcPr>
          <w:p>
            <w:pPr>
              <w:pStyle w:val="2"/>
              <w:ind w:left="0"/>
            </w:pPr>
            <w:r>
              <w:rPr>
                <w:rFonts w:hint="eastAsia"/>
              </w:rPr>
              <w:t>○（现场开标）</w:t>
            </w:r>
          </w:p>
          <w:p>
            <w:pPr>
              <w:pStyle w:val="2"/>
              <w:ind w:left="0"/>
            </w:pPr>
            <w:r>
              <w:t xml:space="preserve">一、投标人在开标时宜携带以下资料，以备查验投标保证金是否到账 以及投标文件解密时使用： </w:t>
            </w:r>
          </w:p>
          <w:p>
            <w:pPr>
              <w:pStyle w:val="2"/>
              <w:ind w:left="0"/>
            </w:pPr>
            <w:r>
              <w:t xml:space="preserve">1、加密此项目投标文件的企业 CA 数字证书；（必须携带） </w:t>
            </w:r>
          </w:p>
          <w:p>
            <w:pPr>
              <w:pStyle w:val="2"/>
              <w:ind w:left="0"/>
            </w:pPr>
            <w:r>
              <w:t>2、</w:t>
            </w:r>
            <w:r>
              <w:rPr>
                <w:rFonts w:hint="eastAsia"/>
              </w:rPr>
              <w:t>“拟投标项目回执”原件</w:t>
            </w:r>
            <w:r>
              <w:t xml:space="preserve">； </w:t>
            </w:r>
          </w:p>
          <w:p>
            <w:pPr>
              <w:pStyle w:val="2"/>
              <w:ind w:left="0"/>
            </w:pPr>
            <w:r>
              <w:t xml:space="preserve">3、网络投标文件上传成功回执单。 </w:t>
            </w:r>
          </w:p>
          <w:p>
            <w:pPr>
              <w:pStyle w:val="2"/>
              <w:ind w:left="0"/>
            </w:pPr>
            <w:r>
              <w:t>二、评标当天，投标人宜携带以下资料，以备评标委员会在需要查验时</w:t>
            </w:r>
            <w:r>
              <w:rPr>
                <w:rFonts w:hint="eastAsia"/>
              </w:rPr>
              <w:t xml:space="preserve">能及时提供。 </w:t>
            </w:r>
          </w:p>
          <w:p>
            <w:pPr>
              <w:pStyle w:val="2"/>
              <w:ind w:left="0"/>
            </w:pPr>
            <w:r>
              <w:rPr>
                <w:rFonts w:hint="eastAsia"/>
              </w:rPr>
              <w:t xml:space="preserve">1、类似工程业绩的相关证明材料原件。 </w:t>
            </w:r>
          </w:p>
          <w:p>
            <w:pPr>
              <w:pStyle w:val="2"/>
              <w:ind w:left="0"/>
            </w:pPr>
            <w:r>
              <w:rPr>
                <w:rFonts w:hint="eastAsia"/>
              </w:rPr>
              <w:t xml:space="preserve">2、加密此项目投标文件的企业 CA 数字证书。 </w:t>
            </w:r>
          </w:p>
          <w:p>
            <w:pPr>
              <w:pStyle w:val="2"/>
              <w:ind w:left="0"/>
            </w:pPr>
            <w:r>
              <w:rPr>
                <w:rFonts w:hint="eastAsia"/>
              </w:rPr>
              <w:t>注：投标人未按上述要求携带以上资料造成的后果由投标人自行承担。</w:t>
            </w:r>
          </w:p>
          <w:p>
            <w:pPr>
              <w:pStyle w:val="2"/>
              <w:ind w:left="0"/>
            </w:pPr>
            <w:r>
              <w:rPr>
                <w:rFonts w:hint="eastAsia"/>
              </w:rPr>
              <w:t>○（不见面开标）</w:t>
            </w:r>
          </w:p>
          <w:p>
            <w:pPr>
              <w:pStyle w:val="2"/>
              <w:ind w:left="0"/>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9" w:hRule="atLeast"/>
          <w:jc w:val="center"/>
        </w:trPr>
        <w:tc>
          <w:tcPr>
            <w:tcW w:w="959" w:type="dxa"/>
            <w:shd w:val="clear" w:color="auto" w:fill="auto"/>
            <w:vAlign w:val="center"/>
          </w:tcPr>
          <w:p>
            <w:pPr>
              <w:pStyle w:val="2"/>
              <w:ind w:left="0"/>
              <w:jc w:val="center"/>
            </w:pPr>
            <w:r>
              <w:rPr>
                <w:rFonts w:hint="eastAsia"/>
              </w:rPr>
              <w:t>10.1</w:t>
            </w:r>
            <w:r>
              <w:t>0</w:t>
            </w:r>
          </w:p>
        </w:tc>
        <w:tc>
          <w:tcPr>
            <w:tcW w:w="1765" w:type="dxa"/>
            <w:shd w:val="clear" w:color="auto" w:fill="auto"/>
            <w:vAlign w:val="center"/>
          </w:tcPr>
          <w:p>
            <w:pPr>
              <w:pStyle w:val="2"/>
              <w:ind w:left="0"/>
              <w:jc w:val="center"/>
            </w:pPr>
            <w:r>
              <w:rPr>
                <w:rFonts w:hint="eastAsia"/>
              </w:rPr>
              <w:t>招标文件内容冲突的解决及优先适用次序</w:t>
            </w:r>
          </w:p>
        </w:tc>
        <w:tc>
          <w:tcPr>
            <w:tcW w:w="7062" w:type="dxa"/>
            <w:shd w:val="clear" w:color="auto" w:fill="auto"/>
            <w:vAlign w:val="center"/>
          </w:tcPr>
          <w:p>
            <w:pPr>
              <w:pStyle w:val="2"/>
              <w:ind w:left="0"/>
            </w:pPr>
            <w:r>
              <w:rPr>
                <w:rFonts w:hint="eastAsia"/>
              </w:rPr>
              <w:t>招标文件中招标人编制的内容前后有矛盾或不一致，有时间先后顺序的，以时间在后的修改、澄清或补正文件为准；没有时间先后顺序的，以公平的原则进行处理。投标人须知前附表和招标文件中“注”的内容与正文不一致时，以投标人须知前附表和招标文件中“注”的内容为准。</w:t>
            </w:r>
          </w:p>
          <w:p>
            <w:pPr>
              <w:pStyle w:val="2"/>
              <w:ind w:left="0"/>
            </w:pPr>
            <w:r>
              <w:rPr>
                <w:rFonts w:hint="eastAsia"/>
              </w:rPr>
              <w:t>对招标文件的内容理解有争议的，由招标人按照招标文件所使用的词句、招标文件的有关条款、招标的目的、习惯以及诚实信用原则，确定该条款的真实意思，有两种以上解释的，作出不利于招标人一方的解释。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959" w:type="dxa"/>
            <w:shd w:val="clear" w:color="auto" w:fill="auto"/>
            <w:vAlign w:val="center"/>
          </w:tcPr>
          <w:p>
            <w:pPr>
              <w:pStyle w:val="2"/>
              <w:ind w:left="0"/>
              <w:jc w:val="center"/>
            </w:pPr>
            <w:r>
              <w:rPr>
                <w:rFonts w:hint="eastAsia"/>
              </w:rPr>
              <w:t>10.11</w:t>
            </w:r>
          </w:p>
        </w:tc>
        <w:tc>
          <w:tcPr>
            <w:tcW w:w="1765" w:type="dxa"/>
            <w:shd w:val="clear" w:color="auto" w:fill="auto"/>
            <w:vAlign w:val="center"/>
          </w:tcPr>
          <w:p>
            <w:pPr>
              <w:pStyle w:val="2"/>
              <w:ind w:left="0"/>
              <w:jc w:val="center"/>
            </w:pPr>
            <w:r>
              <w:rPr>
                <w:rFonts w:hint="eastAsia"/>
              </w:rPr>
              <w:t>知识产权</w:t>
            </w:r>
          </w:p>
        </w:tc>
        <w:tc>
          <w:tcPr>
            <w:tcW w:w="7062" w:type="dxa"/>
            <w:shd w:val="clear" w:color="auto" w:fill="auto"/>
            <w:vAlign w:val="center"/>
          </w:tcPr>
          <w:p>
            <w:pPr>
              <w:pStyle w:val="2"/>
              <w:ind w:left="0"/>
            </w:pPr>
            <w:r>
              <w:rPr>
                <w:rFonts w:hint="eastAsia"/>
              </w:rPr>
              <w:t>构成本招标文件各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3" w:hRule="atLeast"/>
          <w:jc w:val="center"/>
        </w:trPr>
        <w:tc>
          <w:tcPr>
            <w:tcW w:w="959" w:type="dxa"/>
            <w:vMerge w:val="restart"/>
            <w:shd w:val="clear" w:color="auto" w:fill="auto"/>
            <w:vAlign w:val="center"/>
          </w:tcPr>
          <w:p>
            <w:pPr>
              <w:pStyle w:val="2"/>
              <w:ind w:left="0"/>
              <w:jc w:val="center"/>
            </w:pPr>
          </w:p>
          <w:p>
            <w:pPr>
              <w:pStyle w:val="2"/>
              <w:ind w:left="0"/>
              <w:jc w:val="center"/>
            </w:pPr>
            <w:r>
              <w:rPr>
                <w:rFonts w:hint="eastAsia"/>
              </w:rPr>
              <w:t>10.12</w:t>
            </w:r>
          </w:p>
        </w:tc>
        <w:tc>
          <w:tcPr>
            <w:tcW w:w="1765" w:type="dxa"/>
            <w:vMerge w:val="restart"/>
            <w:shd w:val="clear" w:color="auto" w:fill="auto"/>
            <w:vAlign w:val="center"/>
          </w:tcPr>
          <w:p>
            <w:pPr>
              <w:pStyle w:val="2"/>
              <w:ind w:left="0"/>
              <w:jc w:val="center"/>
            </w:pPr>
            <w:r>
              <w:rPr>
                <w:rFonts w:hint="eastAsia"/>
              </w:rPr>
              <w:t>其他</w:t>
            </w:r>
          </w:p>
        </w:tc>
        <w:tc>
          <w:tcPr>
            <w:tcW w:w="7062" w:type="dxa"/>
            <w:shd w:val="clear" w:color="auto" w:fill="auto"/>
            <w:vAlign w:val="center"/>
          </w:tcPr>
          <w:p>
            <w:pPr>
              <w:pStyle w:val="2"/>
              <w:ind w:left="0"/>
            </w:pPr>
            <w:r>
              <w:rPr>
                <w:rFonts w:hint="eastAsia"/>
              </w:rPr>
              <w:t>如本招标文件投标人须知前附表所述内容与招标文件投标人须知正文</w:t>
            </w:r>
            <w:r>
              <w:t>部分</w:t>
            </w:r>
            <w:r>
              <w:rPr>
                <w:rFonts w:hint="eastAsia"/>
              </w:rPr>
              <w:t>所述内容不一致或招标文件投标人须知正文</w:t>
            </w:r>
            <w:r>
              <w:t>部分</w:t>
            </w:r>
            <w:r>
              <w:rPr>
                <w:rFonts w:hint="eastAsia"/>
              </w:rPr>
              <w:t>中表述不明时，以投标人须知前附表的所述内容为准。招标文件投标人须知前附表所述内容与清单总说明（如有时</w:t>
            </w:r>
            <w:r>
              <w:t>）</w:t>
            </w:r>
            <w:r>
              <w:rPr>
                <w:rFonts w:hint="eastAsia"/>
              </w:rPr>
              <w:t>不一致处，以招标文件投标人须知前附表所述内容为准。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9" w:type="dxa"/>
            <w:vMerge w:val="continue"/>
            <w:shd w:val="clear" w:color="auto" w:fill="auto"/>
            <w:vAlign w:val="center"/>
          </w:tcPr>
          <w:p>
            <w:pPr>
              <w:pStyle w:val="2"/>
              <w:ind w:left="0"/>
              <w:jc w:val="center"/>
            </w:pPr>
          </w:p>
        </w:tc>
        <w:tc>
          <w:tcPr>
            <w:tcW w:w="1765" w:type="dxa"/>
            <w:vMerge w:val="continue"/>
            <w:shd w:val="clear" w:color="auto" w:fill="auto"/>
            <w:vAlign w:val="center"/>
          </w:tcPr>
          <w:p>
            <w:pPr>
              <w:pStyle w:val="2"/>
              <w:ind w:left="0"/>
              <w:jc w:val="center"/>
            </w:pPr>
          </w:p>
        </w:tc>
        <w:tc>
          <w:tcPr>
            <w:tcW w:w="7062" w:type="dxa"/>
            <w:shd w:val="clear" w:color="auto" w:fill="auto"/>
            <w:vAlign w:val="center"/>
          </w:tcPr>
          <w:p>
            <w:pPr>
              <w:pStyle w:val="2"/>
              <w:ind w:left="0"/>
            </w:pPr>
            <w:r>
              <w:rPr>
                <w:rFonts w:hint="eastAsia"/>
              </w:rPr>
              <w:t>招标文件中 “★”号条款为招标文件规定的实质性要求。未实质性响应招标文件中 “★”号条款，视为重大偏差（报价详细评审的重大偏差另行约定），评标委员会在评审时应作否决投标处理。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959" w:type="dxa"/>
            <w:shd w:val="clear" w:color="auto" w:fill="auto"/>
            <w:vAlign w:val="center"/>
          </w:tcPr>
          <w:p>
            <w:pPr>
              <w:pStyle w:val="2"/>
              <w:ind w:left="0"/>
              <w:jc w:val="center"/>
            </w:pPr>
            <w:r>
              <w:rPr>
                <w:rFonts w:hint="eastAsia"/>
              </w:rPr>
              <w:t>10.13</w:t>
            </w:r>
          </w:p>
        </w:tc>
        <w:tc>
          <w:tcPr>
            <w:tcW w:w="8827" w:type="dxa"/>
            <w:gridSpan w:val="2"/>
            <w:shd w:val="clear" w:color="auto" w:fill="auto"/>
          </w:tcPr>
          <w:p>
            <w:pPr>
              <w:pStyle w:val="2"/>
              <w:ind w:left="0"/>
              <w:jc w:val="center"/>
            </w:pPr>
            <w:r>
              <w:rPr>
                <w:rFonts w:hint="eastAsia"/>
              </w:rPr>
              <w:t>根据川发改招管【2011】1210号文件规定，严格执行“一地受罚，处处受制”的信用管理制度，任何投标人弄虚作假中标的行为一旦查实，在全省范围内的投标活动将受到制约。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59"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11</w:t>
            </w:r>
          </w:p>
        </w:tc>
        <w:tc>
          <w:tcPr>
            <w:tcW w:w="176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电子招标投标</w:t>
            </w:r>
          </w:p>
        </w:tc>
        <w:tc>
          <w:tcPr>
            <w:tcW w:w="7062"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 xml:space="preserve">投标人应按照《成都市发展和改革委员会等 8 部门关于启动成都市公共资源电子交易云平台工程建设项目招标投标系统（2017 版）试运行的通知》（成发改招投标〔2017〕1098 号）规定编制投标文件。 注意事项： </w:t>
            </w:r>
          </w:p>
          <w:p>
            <w:pPr>
              <w:pStyle w:val="2"/>
              <w:ind w:left="0"/>
            </w:pPr>
            <w:r>
              <w:rPr>
                <w:rFonts w:hint="eastAsia"/>
              </w:rPr>
              <w:t xml:space="preserve">（1）投标人应办理 CA 数字证书及电子签章，使用“成都市电子投标文件编制系统（2017 版）”制作电子投标文件，请使用最新版系统（可对照成都市公共资源电子交易云平台检查版本号是否为最新）。 </w:t>
            </w:r>
          </w:p>
          <w:p>
            <w:pPr>
              <w:pStyle w:val="2"/>
              <w:ind w:left="0"/>
            </w:pPr>
            <w:r>
              <w:rPr>
                <w:rFonts w:hint="eastAsia"/>
              </w:rPr>
              <w:t xml:space="preserve">（2）电子投标文件为一个扩展名为 CDT 的文件。 </w:t>
            </w:r>
          </w:p>
          <w:p>
            <w:pPr>
              <w:pStyle w:val="2"/>
              <w:ind w:left="0"/>
            </w:pPr>
            <w:r>
              <w:rPr>
                <w:rFonts w:hint="eastAsia"/>
              </w:rPr>
              <w:t xml:space="preserve">（3）制作电子投标文件应按照文件制作导航系统建立目录并分级，不同内容按标签提示制作导入，应保证目录清晰、内容完整、方便评审。 涉及图片类的文件须保证图片清晰。 </w:t>
            </w:r>
          </w:p>
          <w:p>
            <w:pPr>
              <w:pStyle w:val="2"/>
              <w:ind w:left="0"/>
            </w:pPr>
            <w:r>
              <w:rPr>
                <w:rFonts w:hint="eastAsia"/>
              </w:rPr>
              <w:t xml:space="preserve">（4）电子投标文件制作完成后，应在相应位置加盖电子签章，使其电子投标文件具备法律效力。 </w:t>
            </w:r>
          </w:p>
          <w:p>
            <w:pPr>
              <w:pStyle w:val="2"/>
              <w:ind w:left="0"/>
              <w:rPr>
                <w:rFonts w:hint="eastAsia"/>
              </w:rPr>
            </w:pPr>
            <w:r>
              <w:rPr>
                <w:rFonts w:hint="eastAsia"/>
              </w:rPr>
              <w:t>（5）电子投标文件制作完成后，应使用投标人的企业 CA 数字证书对投 标文件进行加密。</w:t>
            </w:r>
          </w:p>
          <w:p>
            <w:pPr>
              <w:pStyle w:val="2"/>
              <w:ind w:left="0"/>
            </w:pPr>
            <w:r>
              <w:rPr>
                <w:rFonts w:hint="eastAsia"/>
              </w:rPr>
              <w:t>（6）招标文件所述“复印件”等内容，均可理解为采用对应电子方式的资料形式。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59"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12</w:t>
            </w:r>
          </w:p>
        </w:tc>
        <w:tc>
          <w:tcPr>
            <w:tcW w:w="176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特别注意</w:t>
            </w:r>
          </w:p>
        </w:tc>
        <w:tc>
          <w:tcPr>
            <w:tcW w:w="7062" w:type="dxa"/>
            <w:tcBorders>
              <w:top w:val="single" w:color="auto" w:sz="4" w:space="0"/>
              <w:left w:val="single" w:color="auto" w:sz="4" w:space="0"/>
              <w:bottom w:val="single" w:color="auto" w:sz="4" w:space="0"/>
              <w:right w:val="single" w:color="auto" w:sz="4" w:space="0"/>
            </w:tcBorders>
            <w:vAlign w:val="center"/>
          </w:tcPr>
          <w:p>
            <w:pPr>
              <w:pStyle w:val="2"/>
              <w:ind w:left="0"/>
              <w:rPr>
                <w:b/>
                <w:bCs/>
              </w:rPr>
            </w:pPr>
            <w:r>
              <w:rPr>
                <w:rFonts w:hint="eastAsia"/>
                <w:b/>
                <w:bCs/>
              </w:rPr>
              <w:t>按照《成都市发展和改革委员会等8部门关于启动成都市公共资源电子交易云平台工程建设项目招标投标系统（2017版）试运行的通知》（成发改招投标〔2017〕1098号）、《成都市国家投资工程建设项目电子化招标投标技术导则》和《关于印发&lt;成都市工程建设项目不见面开标交易工作规程（试行）&gt;和&lt;成都市工程建设项目异地远程评标工作规程（试行）&gt;的通知》(成发改法规〔2020〕49号)相关规定友情提醒：</w:t>
            </w:r>
          </w:p>
          <w:p>
            <w:pPr>
              <w:pStyle w:val="2"/>
              <w:ind w:left="0"/>
              <w:rPr>
                <w:b/>
                <w:bCs/>
              </w:rPr>
            </w:pPr>
            <w:r>
              <w:rPr>
                <w:rFonts w:hint="eastAsia"/>
                <w:b/>
                <w:bCs/>
              </w:rPr>
              <w:t>一、其他事项：</w:t>
            </w:r>
          </w:p>
          <w:p>
            <w:pPr>
              <w:pStyle w:val="2"/>
              <w:ind w:left="0"/>
              <w:rPr>
                <w:b/>
                <w:bCs/>
              </w:rPr>
            </w:pPr>
            <w:r>
              <w:rPr>
                <w:rFonts w:hint="eastAsia"/>
                <w:b/>
                <w:bCs/>
              </w:rPr>
              <w:t>（1）评标结束之前，投标人应随时关注系统提示，及时通过本单位CA数字证书对评标委员会发出的质疑函进行澄清，并确认提交成功。逾时回复将不能提交。</w:t>
            </w:r>
          </w:p>
          <w:p>
            <w:pPr>
              <w:pStyle w:val="2"/>
              <w:ind w:left="0"/>
              <w:rPr>
                <w:b/>
                <w:bCs/>
              </w:rPr>
            </w:pPr>
            <w:r>
              <w:rPr>
                <w:rFonts w:hint="eastAsia"/>
                <w:b/>
                <w:bCs/>
              </w:rPr>
              <w:t>（2）投标人出现以下情形之一的，该次投标的有关业务办理将被系统拒绝，并自行承担责任：</w:t>
            </w:r>
          </w:p>
          <w:p>
            <w:pPr>
              <w:pStyle w:val="2"/>
              <w:ind w:left="0"/>
              <w:rPr>
                <w:b/>
                <w:bCs/>
              </w:rPr>
            </w:pPr>
            <w:r>
              <w:rPr>
                <w:rFonts w:hint="eastAsia"/>
                <w:b/>
                <w:bCs/>
              </w:rPr>
              <w:t>1投标人在获得“拟投标项目回执”成功后至评标结束期间，更换CA数字证书的，或投标人使用的CA数字证书不在有效期内的；</w:t>
            </w:r>
          </w:p>
          <w:p>
            <w:pPr>
              <w:pStyle w:val="2"/>
              <w:ind w:left="0"/>
              <w:rPr>
                <w:b/>
                <w:bCs/>
              </w:rPr>
            </w:pPr>
            <w:r>
              <w:rPr>
                <w:rFonts w:hint="eastAsia"/>
                <w:b/>
                <w:bCs/>
              </w:rPr>
              <w:t>2投标人在开标时，未携带加密投标文件时使用的CA数字证书的；</w:t>
            </w:r>
          </w:p>
          <w:p>
            <w:pPr>
              <w:pStyle w:val="2"/>
              <w:ind w:left="0"/>
              <w:rPr>
                <w:b/>
                <w:bCs/>
              </w:rPr>
            </w:pPr>
            <w:r>
              <w:rPr>
                <w:rFonts w:hint="eastAsia"/>
                <w:b/>
                <w:bCs/>
              </w:rPr>
              <w:t>3提交的电子投标文件使用格式错误、文件损坏或自身存在计算机病毒等缺陷的；</w:t>
            </w:r>
          </w:p>
          <w:p>
            <w:pPr>
              <w:pStyle w:val="2"/>
              <w:ind w:left="0"/>
              <w:rPr>
                <w:b/>
                <w:bCs/>
              </w:rPr>
            </w:pPr>
            <w:r>
              <w:rPr>
                <w:rFonts w:hint="eastAsia"/>
                <w:b/>
                <w:bCs/>
              </w:rPr>
              <w:t>4电子投标文件不是使用专用的“成都市电子投标文件制作系统（2017版）”制作生成CDT格式文件的；</w:t>
            </w:r>
          </w:p>
          <w:p>
            <w:pPr>
              <w:pStyle w:val="2"/>
              <w:ind w:left="0"/>
              <w:rPr>
                <w:b/>
                <w:bCs/>
              </w:rPr>
            </w:pPr>
            <w:r>
              <w:rPr>
                <w:rFonts w:hint="eastAsia"/>
                <w:b/>
                <w:bCs/>
              </w:rPr>
              <w:t>5其他不符合招标文件中有关要求的情形。</w:t>
            </w:r>
          </w:p>
          <w:p>
            <w:pPr>
              <w:pStyle w:val="2"/>
              <w:ind w:left="0"/>
              <w:rPr>
                <w:b/>
                <w:bCs/>
              </w:rPr>
            </w:pPr>
            <w:r>
              <w:rPr>
                <w:rFonts w:hint="eastAsia"/>
                <w:b/>
                <w:bCs/>
              </w:rPr>
              <w:t>二、突发系统故障处理</w:t>
            </w:r>
          </w:p>
          <w:p>
            <w:pPr>
              <w:pStyle w:val="2"/>
              <w:ind w:left="0"/>
              <w:rPr>
                <w:b/>
                <w:bCs/>
              </w:rPr>
            </w:pPr>
            <w:r>
              <w:rPr>
                <w:rFonts w:hint="eastAsia"/>
                <w:b/>
                <w:bCs/>
              </w:rPr>
              <w:t>（1）因非可控因素，导致系统不能正常运行的，由交易中心工作人员及时通知招标人和监督人，并进行处理，待系统恢复后再继续进行。如评标委员会成员已离场的，应重新抽取专家评标。</w:t>
            </w:r>
          </w:p>
          <w:p>
            <w:pPr>
              <w:pStyle w:val="2"/>
              <w:ind w:left="0"/>
              <w:rPr>
                <w:b/>
                <w:bCs/>
              </w:rPr>
            </w:pPr>
            <w:r>
              <w:rPr>
                <w:rFonts w:hint="eastAsia"/>
                <w:b/>
                <w:bCs/>
              </w:rPr>
              <w:t>（2）非可控因素包括以下内容：</w:t>
            </w:r>
          </w:p>
          <w:p>
            <w:pPr>
              <w:pStyle w:val="2"/>
              <w:ind w:left="0"/>
              <w:rPr>
                <w:b/>
                <w:bCs/>
              </w:rPr>
            </w:pPr>
            <w:r>
              <w:rPr>
                <w:rFonts w:hint="eastAsia"/>
                <w:b/>
                <w:bCs/>
              </w:rPr>
              <w:t>网络中断、停电等；</w:t>
            </w:r>
          </w:p>
          <w:p>
            <w:pPr>
              <w:pStyle w:val="2"/>
              <w:ind w:left="0"/>
              <w:rPr>
                <w:b/>
                <w:bCs/>
              </w:rPr>
            </w:pPr>
            <w:r>
              <w:rPr>
                <w:rFonts w:hint="eastAsia"/>
                <w:b/>
                <w:bCs/>
              </w:rPr>
              <w:t>系统服务器发生故障而无法访问系统或无法使用系统；</w:t>
            </w:r>
          </w:p>
          <w:p>
            <w:pPr>
              <w:pStyle w:val="2"/>
              <w:ind w:left="0"/>
              <w:rPr>
                <w:b/>
                <w:bCs/>
              </w:rPr>
            </w:pPr>
            <w:r>
              <w:rPr>
                <w:rFonts w:hint="eastAsia"/>
                <w:b/>
                <w:bCs/>
              </w:rPr>
              <w:t>系统的软件或数据库出现错误，不能进行正常操作；</w:t>
            </w:r>
          </w:p>
          <w:p>
            <w:pPr>
              <w:pStyle w:val="2"/>
              <w:ind w:left="0"/>
              <w:rPr>
                <w:b/>
                <w:bCs/>
              </w:rPr>
            </w:pPr>
            <w:r>
              <w:rPr>
                <w:rFonts w:hint="eastAsia"/>
                <w:b/>
                <w:bCs/>
              </w:rPr>
              <w:t>系统或服务器受到网络攻击，或受到计算机病毒的攻击；</w:t>
            </w:r>
          </w:p>
          <w:p>
            <w:pPr>
              <w:pStyle w:val="2"/>
              <w:ind w:left="0"/>
              <w:rPr>
                <w:b/>
                <w:bCs/>
              </w:rPr>
            </w:pPr>
            <w:r>
              <w:rPr>
                <w:rFonts w:hint="eastAsia"/>
                <w:b/>
                <w:bCs/>
              </w:rPr>
              <w:t>其他不可抗力等因素引起系统无法正常使用；</w:t>
            </w:r>
          </w:p>
          <w:p>
            <w:pPr>
              <w:pStyle w:val="2"/>
              <w:ind w:left="0"/>
              <w:rPr>
                <w:b/>
                <w:bCs/>
              </w:rPr>
            </w:pPr>
            <w:r>
              <w:rPr>
                <w:rFonts w:hint="eastAsia"/>
                <w:b/>
                <w:bCs/>
              </w:rPr>
              <w:t>其他无法保证招标投标过程公平、公正和信息安全的意外情形。</w:t>
            </w:r>
          </w:p>
          <w:p>
            <w:pPr>
              <w:pStyle w:val="2"/>
              <w:ind w:left="0"/>
              <w:rPr>
                <w:b/>
                <w:bCs/>
              </w:rPr>
            </w:pPr>
            <w:r>
              <w:rPr>
                <w:rFonts w:hint="eastAsia"/>
                <w:b/>
                <w:bCs/>
              </w:rPr>
              <w:t>如招标文件、投标文件自身错误的，评标不可中止或终止，后果由相应编制人员自行承担。</w:t>
            </w:r>
          </w:p>
          <w:p>
            <w:pPr>
              <w:pStyle w:val="2"/>
              <w:ind w:left="0"/>
              <w:rPr>
                <w:b/>
                <w:bCs/>
              </w:rPr>
            </w:pPr>
            <w:r>
              <w:rPr>
                <w:rFonts w:hint="eastAsia"/>
                <w:b/>
                <w:bCs/>
              </w:rPr>
              <w:t>（3）异地远程评标中，如遇停电、网络故障、电子设备、评标席位或者电子评标系统故障导致无法开展评标活动且短时间内无法修复的，由招标人和监督人确定是否暂停评标或解散当次评标委员会，并及时封标。</w:t>
            </w:r>
          </w:p>
          <w:p>
            <w:pPr>
              <w:pStyle w:val="2"/>
              <w:ind w:left="0"/>
            </w:pPr>
            <w:r>
              <w:rPr>
                <w:rFonts w:hint="eastAsia"/>
                <w:b/>
                <w:bCs/>
              </w:rPr>
              <w:t>评标开始后，如因副场停电、网络故障、电子设备或者电子评标系统等故障导致无法继续进行评标且短时间s内无法修复的，经招标人和监督人同意，可取消副场评标，由主场补充抽取专家完成所有评标。取消副场评标的，原副场已进入评标流程的专家需等待补抽专家进场后方可离场,等待期间的费用按评标费标准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jc w:val="center"/>
        </w:trPr>
        <w:tc>
          <w:tcPr>
            <w:tcW w:w="959" w:type="dxa"/>
            <w:tcBorders>
              <w:top w:val="single" w:color="auto" w:sz="4" w:space="0"/>
              <w:left w:val="single" w:color="auto" w:sz="4" w:space="0"/>
              <w:bottom w:val="single" w:color="auto" w:sz="4" w:space="0"/>
              <w:right w:val="single" w:color="auto" w:sz="4" w:space="0"/>
            </w:tcBorders>
          </w:tcPr>
          <w:p>
            <w:pPr>
              <w:pStyle w:val="2"/>
              <w:ind w:left="0"/>
              <w:jc w:val="center"/>
            </w:pPr>
            <w:r>
              <w:rPr>
                <w:rFonts w:hint="eastAsia"/>
              </w:rPr>
              <w:t>…</w:t>
            </w:r>
          </w:p>
        </w:tc>
        <w:tc>
          <w:tcPr>
            <w:tcW w:w="1765" w:type="dxa"/>
            <w:tcBorders>
              <w:top w:val="single" w:color="auto" w:sz="4" w:space="0"/>
              <w:left w:val="single" w:color="auto" w:sz="4" w:space="0"/>
              <w:bottom w:val="single" w:color="auto" w:sz="4" w:space="0"/>
              <w:right w:val="single" w:color="auto" w:sz="4" w:space="0"/>
            </w:tcBorders>
          </w:tcPr>
          <w:p>
            <w:pPr>
              <w:pStyle w:val="2"/>
              <w:ind w:left="0"/>
              <w:jc w:val="center"/>
            </w:pPr>
            <w:r>
              <w:t>…</w:t>
            </w:r>
          </w:p>
        </w:tc>
        <w:tc>
          <w:tcPr>
            <w:tcW w:w="7062" w:type="dxa"/>
            <w:tcBorders>
              <w:top w:val="single" w:color="auto" w:sz="4" w:space="0"/>
              <w:left w:val="single" w:color="auto" w:sz="4" w:space="0"/>
              <w:bottom w:val="single" w:color="auto" w:sz="4" w:space="0"/>
              <w:right w:val="single" w:color="auto" w:sz="4" w:space="0"/>
            </w:tcBorders>
          </w:tcPr>
          <w:p>
            <w:pPr>
              <w:pStyle w:val="2"/>
              <w:ind w:left="0"/>
              <w:jc w:val="center"/>
            </w:pPr>
            <w:r>
              <w:t>…</w:t>
            </w:r>
          </w:p>
        </w:tc>
      </w:tr>
    </w:tbl>
    <w:p>
      <w:pPr>
        <w:pStyle w:val="2"/>
        <w:ind w:left="0"/>
      </w:pPr>
    </w:p>
    <w:p>
      <w:pPr>
        <w:pStyle w:val="2"/>
        <w:ind w:left="0"/>
      </w:pPr>
      <w:r>
        <w:rPr>
          <w:rFonts w:hint="eastAsia"/>
        </w:rPr>
        <w:t>注：“投标人须知前附表”中内容仅能填空，如果因为招标项目的情况，需增加其他相关条款，应填入“投标人须知附表增加条款表”中，增加的条款不能与“投标人须知前附表”中内容相冲突。</w:t>
      </w:r>
    </w:p>
    <w:p>
      <w:pPr>
        <w:pStyle w:val="2"/>
        <w:ind w:left="0"/>
      </w:pPr>
    </w:p>
    <w:p>
      <w:pPr>
        <w:rPr>
          <w:b/>
          <w:bCs/>
        </w:rPr>
      </w:pPr>
      <w:r>
        <w:rPr>
          <w:rFonts w:hint="eastAsia"/>
          <w:b/>
          <w:bCs/>
        </w:rPr>
        <w:t>投标人须知前附表增加条款表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5032"/>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8" w:type="dxa"/>
            <w:vAlign w:val="center"/>
          </w:tcPr>
          <w:p>
            <w:pPr>
              <w:pStyle w:val="2"/>
              <w:ind w:left="0"/>
              <w:jc w:val="center"/>
            </w:pPr>
            <w:r>
              <w:rPr>
                <w:rFonts w:hint="eastAsia"/>
              </w:rPr>
              <w:t>条款号</w:t>
            </w:r>
          </w:p>
        </w:tc>
        <w:tc>
          <w:tcPr>
            <w:tcW w:w="5032" w:type="dxa"/>
            <w:vAlign w:val="center"/>
          </w:tcPr>
          <w:p>
            <w:pPr>
              <w:pStyle w:val="2"/>
              <w:ind w:left="0"/>
              <w:jc w:val="center"/>
            </w:pPr>
            <w:r>
              <w:rPr>
                <w:rFonts w:hint="eastAsia"/>
              </w:rPr>
              <w:t>条 款 名 称</w:t>
            </w:r>
          </w:p>
        </w:tc>
        <w:tc>
          <w:tcPr>
            <w:tcW w:w="3772" w:type="dxa"/>
            <w:vAlign w:val="center"/>
          </w:tcPr>
          <w:p>
            <w:pPr>
              <w:pStyle w:val="2"/>
              <w:ind w:left="0"/>
              <w:jc w:val="center"/>
            </w:pPr>
            <w:r>
              <w:rPr>
                <w:rFonts w:hint="eastAsia"/>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58" w:type="dxa"/>
          </w:tcPr>
          <w:p>
            <w:pPr>
              <w:pStyle w:val="2"/>
            </w:pPr>
          </w:p>
        </w:tc>
        <w:tc>
          <w:tcPr>
            <w:tcW w:w="5032" w:type="dxa"/>
          </w:tcPr>
          <w:p>
            <w:pPr>
              <w:pStyle w:val="2"/>
            </w:pPr>
          </w:p>
        </w:tc>
        <w:tc>
          <w:tcPr>
            <w:tcW w:w="3772" w:type="dxa"/>
          </w:tcPr>
          <w:p>
            <w:pPr>
              <w:pStyle w:val="2"/>
            </w:pPr>
          </w:p>
        </w:tc>
      </w:tr>
    </w:tbl>
    <w:p>
      <w:r>
        <w:rPr>
          <w:rFonts w:hint="eastAsia"/>
        </w:rPr>
        <w:br w:type="page"/>
      </w:r>
    </w:p>
    <w:p>
      <w:pPr>
        <w:pStyle w:val="5"/>
        <w:numPr>
          <w:ilvl w:val="0"/>
          <w:numId w:val="2"/>
        </w:numPr>
      </w:pPr>
      <w:r>
        <w:rPr>
          <w:rFonts w:hint="eastAsia"/>
        </w:rPr>
        <w:t>总则</w:t>
      </w:r>
    </w:p>
    <w:p>
      <w:pPr>
        <w:pStyle w:val="6"/>
        <w:numPr>
          <w:ilvl w:val="1"/>
          <w:numId w:val="2"/>
        </w:numPr>
      </w:pPr>
      <w:r>
        <w:t>项目概况</w:t>
      </w:r>
    </w:p>
    <w:p>
      <w:pPr>
        <w:pStyle w:val="2"/>
      </w:pPr>
      <w:r>
        <w:rPr>
          <w:rFonts w:hint="eastAsia"/>
        </w:rPr>
        <w:t>1.1.1 根据《中华人民共和国招标投标法》、《中华人民共和国招标投标法实施条例》、《工程建设项</w:t>
      </w:r>
    </w:p>
    <w:p>
      <w:pPr>
        <w:pStyle w:val="2"/>
        <w:ind w:left="0"/>
      </w:pPr>
      <w:r>
        <w:rPr>
          <w:rFonts w:hint="eastAsia"/>
        </w:rPr>
        <w:t>目货物招标投标办法》（修订）等有关法律、法规和规章的规定，本招标项目已具备招标条件，现对本标段进行招标。</w:t>
      </w:r>
    </w:p>
    <w:p>
      <w:pPr>
        <w:pStyle w:val="2"/>
      </w:pPr>
      <w:r>
        <w:rPr>
          <w:rFonts w:hint="eastAsia"/>
        </w:rPr>
        <w:t>1.1.2 本招标项目招标人：见投标人须知前附表。</w:t>
      </w:r>
    </w:p>
    <w:p>
      <w:pPr>
        <w:pStyle w:val="2"/>
      </w:pPr>
      <w:r>
        <w:rPr>
          <w:rFonts w:hint="eastAsia"/>
        </w:rPr>
        <w:t>1.1.3 本招标项目招标代理机构：见投标人须知前附表。</w:t>
      </w:r>
    </w:p>
    <w:p>
      <w:pPr>
        <w:pStyle w:val="2"/>
      </w:pPr>
      <w:r>
        <w:rPr>
          <w:rFonts w:hint="eastAsia"/>
        </w:rPr>
        <w:t>1.1.4 本招标项目名称：见投标人须知前附表。</w:t>
      </w:r>
    </w:p>
    <w:p>
      <w:pPr>
        <w:pStyle w:val="2"/>
      </w:pPr>
      <w:r>
        <w:rPr>
          <w:rFonts w:hint="eastAsia"/>
        </w:rPr>
        <w:t>1.1.5 本标段项目地点：见投标人须知前附表。</w:t>
      </w:r>
    </w:p>
    <w:p>
      <w:pPr>
        <w:pStyle w:val="2"/>
      </w:pPr>
      <w:r>
        <w:rPr>
          <w:rFonts w:hint="eastAsia"/>
        </w:rPr>
        <w:t>1.1.6 本标段招标范围：见投标人须知前附表。</w:t>
      </w:r>
    </w:p>
    <w:p>
      <w:pPr>
        <w:pStyle w:val="6"/>
        <w:numPr>
          <w:ilvl w:val="1"/>
          <w:numId w:val="2"/>
        </w:numPr>
      </w:pPr>
      <w:r>
        <w:t>资金来源和落实情况</w:t>
      </w:r>
    </w:p>
    <w:p>
      <w:pPr>
        <w:pStyle w:val="2"/>
      </w:pPr>
      <w:r>
        <w:rPr>
          <w:rFonts w:hint="eastAsia"/>
        </w:rPr>
        <w:t>1.2.1 本招标项目的资金来源：见投标人须知前附表。</w:t>
      </w:r>
    </w:p>
    <w:p>
      <w:pPr>
        <w:pStyle w:val="2"/>
      </w:pPr>
      <w:r>
        <w:rPr>
          <w:rFonts w:hint="eastAsia"/>
        </w:rPr>
        <w:t>1.2.2 本招标项目的出资比例：见投标人须知前附表。</w:t>
      </w:r>
    </w:p>
    <w:p>
      <w:pPr>
        <w:pStyle w:val="2"/>
      </w:pPr>
      <w:r>
        <w:rPr>
          <w:rFonts w:hint="eastAsia"/>
        </w:rPr>
        <w:t>1.2.3 本招标项目的资金落实情况：见投标人须知前附表。</w:t>
      </w:r>
    </w:p>
    <w:p>
      <w:pPr>
        <w:pStyle w:val="6"/>
        <w:numPr>
          <w:ilvl w:val="1"/>
          <w:numId w:val="2"/>
        </w:numPr>
      </w:pPr>
      <w:r>
        <w:t>招标范围、计划工期和质量要求</w:t>
      </w:r>
    </w:p>
    <w:p>
      <w:pPr>
        <w:pStyle w:val="2"/>
      </w:pPr>
      <w:r>
        <w:rPr>
          <w:rFonts w:hint="eastAsia"/>
        </w:rPr>
        <w:t>1.3.1 本次招标范围：见投标人须知前附表。</w:t>
      </w:r>
    </w:p>
    <w:p>
      <w:pPr>
        <w:pStyle w:val="2"/>
      </w:pPr>
      <w:r>
        <w:rPr>
          <w:rFonts w:hint="eastAsia"/>
        </w:rPr>
        <w:t>1.3.2 本项目的计划供货期：见投标人须知前附表。</w:t>
      </w:r>
    </w:p>
    <w:p>
      <w:pPr>
        <w:pStyle w:val="2"/>
      </w:pPr>
      <w:r>
        <w:rPr>
          <w:rFonts w:hint="eastAsia"/>
        </w:rPr>
        <w:t>1.3.3 本项目的质量要求：见投标人须知前附表。</w:t>
      </w:r>
    </w:p>
    <w:p>
      <w:pPr>
        <w:pStyle w:val="6"/>
        <w:numPr>
          <w:ilvl w:val="1"/>
          <w:numId w:val="2"/>
        </w:numPr>
      </w:pPr>
      <w:r>
        <w:t>投标人资格要求（适用于已进行资格预审的）</w:t>
      </w:r>
    </w:p>
    <w:p>
      <w:pPr>
        <w:pStyle w:val="2"/>
      </w:pPr>
      <w:r>
        <w:rPr>
          <w:rFonts w:hint="eastAsia"/>
        </w:rPr>
        <w:t>投标人应是收到招标人发出投标邀请书的单位。</w:t>
      </w:r>
    </w:p>
    <w:p>
      <w:pPr>
        <w:pStyle w:val="6"/>
      </w:pPr>
      <w:r>
        <w:rPr>
          <w:rFonts w:hint="eastAsia"/>
        </w:rPr>
        <w:t xml:space="preserve">1.4 </w:t>
      </w:r>
      <w:r>
        <w:t>投标人资格要求（适用于未进行资格预审的）</w:t>
      </w:r>
    </w:p>
    <w:p>
      <w:pPr>
        <w:pStyle w:val="2"/>
      </w:pPr>
      <w:r>
        <w:rPr>
          <w:rFonts w:hint="eastAsia"/>
        </w:rPr>
        <w:t>1.4.1投标人应具备承担本项目（采购标的名称）采购的资质条件、能力和信誉。</w:t>
      </w:r>
    </w:p>
    <w:p>
      <w:pPr>
        <w:pStyle w:val="2"/>
      </w:pPr>
      <w:r>
        <w:rPr>
          <w:rFonts w:hint="eastAsia"/>
        </w:rPr>
        <w:t>（1）法人资格：见投标人须知前附表；</w:t>
      </w:r>
    </w:p>
    <w:p>
      <w:pPr>
        <w:pStyle w:val="2"/>
      </w:pPr>
      <w:r>
        <w:rPr>
          <w:rFonts w:hint="eastAsia"/>
        </w:rPr>
        <w:t>（2）资格要求：见投标人须知前附表；</w:t>
      </w:r>
    </w:p>
    <w:p>
      <w:pPr>
        <w:pStyle w:val="2"/>
      </w:pPr>
      <w:r>
        <w:rPr>
          <w:rFonts w:hint="eastAsia"/>
        </w:rPr>
        <w:t>（</w:t>
      </w:r>
      <w:r>
        <w:t>3</w:t>
      </w:r>
      <w:r>
        <w:rPr>
          <w:rFonts w:hint="eastAsia"/>
        </w:rPr>
        <w:t>）财务要求：见投标人须知前附表；</w:t>
      </w:r>
    </w:p>
    <w:p>
      <w:pPr>
        <w:pStyle w:val="2"/>
      </w:pPr>
      <w:r>
        <w:rPr>
          <w:rFonts w:hint="eastAsia"/>
        </w:rPr>
        <w:t>（4）信誉要求：见投标人须知前附表;</w:t>
      </w:r>
    </w:p>
    <w:p>
      <w:pPr>
        <w:pStyle w:val="2"/>
      </w:pPr>
      <w:r>
        <w:rPr>
          <w:rFonts w:hint="eastAsia"/>
        </w:rPr>
        <w:t>（</w:t>
      </w:r>
      <w:r>
        <w:t>5</w:t>
      </w:r>
      <w:r>
        <w:rPr>
          <w:rFonts w:hint="eastAsia"/>
        </w:rPr>
        <w:t>）其他要求：见投标人须知前附表。</w:t>
      </w:r>
    </w:p>
    <w:p>
      <w:pPr>
        <w:pStyle w:val="2"/>
      </w:pPr>
      <w:r>
        <w:rPr>
          <w:rFonts w:hint="eastAsia"/>
        </w:rPr>
        <w:t>1.4.2 投标人须知前附表规定接受联合体投标的，除应符合本章第1.4.1项和投标人须知前附表的</w:t>
      </w:r>
    </w:p>
    <w:p>
      <w:pPr>
        <w:pStyle w:val="2"/>
        <w:ind w:left="0"/>
      </w:pPr>
      <w:r>
        <w:rPr>
          <w:rFonts w:hint="eastAsia"/>
        </w:rPr>
        <w:t xml:space="preserve">要求外，还应遵守以下规定： </w:t>
      </w:r>
    </w:p>
    <w:p>
      <w:pPr>
        <w:pStyle w:val="2"/>
      </w:pPr>
      <w:r>
        <w:rPr>
          <w:rFonts w:hint="eastAsia"/>
        </w:rPr>
        <w:t xml:space="preserve">（1）联合体各方应按招标文件提供的格式签订联合体协议书，明确联合体牵头人和各方权利义务； </w:t>
      </w:r>
    </w:p>
    <w:p>
      <w:pPr>
        <w:pStyle w:val="2"/>
      </w:pPr>
      <w:r>
        <w:rPr>
          <w:rFonts w:hint="eastAsia"/>
        </w:rPr>
        <w:t>（</w:t>
      </w:r>
      <w:r>
        <w:t>2</w:t>
      </w:r>
      <w:r>
        <w:rPr>
          <w:rFonts w:hint="eastAsia"/>
        </w:rPr>
        <w:t>）联合体各方不得再以自己名义单独或参加其他联合体在同一标段中投标。</w:t>
      </w:r>
    </w:p>
    <w:p>
      <w:pPr>
        <w:pStyle w:val="2"/>
      </w:pPr>
      <w:r>
        <w:rPr>
          <w:rFonts w:hint="eastAsia"/>
        </w:rPr>
        <w:t>1.4.3 投标人不得存在下列情形之一：</w:t>
      </w:r>
    </w:p>
    <w:p>
      <w:pPr>
        <w:pStyle w:val="2"/>
      </w:pPr>
      <w:r>
        <w:rPr>
          <w:rFonts w:hint="eastAsia"/>
        </w:rPr>
        <w:t>（1）与招标人存在利害关系且可能影响招标公正性；</w:t>
      </w:r>
    </w:p>
    <w:p>
      <w:pPr>
        <w:pStyle w:val="2"/>
      </w:pPr>
      <w:r>
        <w:rPr>
          <w:rFonts w:hint="eastAsia"/>
        </w:rPr>
        <w:t>（2）与本招标项目的其他投标人为同一个单位负责人；</w:t>
      </w:r>
    </w:p>
    <w:p>
      <w:pPr>
        <w:pStyle w:val="2"/>
      </w:pPr>
      <w:r>
        <w:rPr>
          <w:rFonts w:hint="eastAsia"/>
        </w:rPr>
        <w:t>（3）与本招标项目的其他投标人存在控股、管理关系；</w:t>
      </w:r>
    </w:p>
    <w:p>
      <w:pPr>
        <w:pStyle w:val="2"/>
      </w:pPr>
      <w:r>
        <w:rPr>
          <w:rFonts w:hint="eastAsia"/>
        </w:rPr>
        <w:t>（4）与本招标项目其他投标人代理同一个制造商同一品牌同一型号的设备投标；</w:t>
      </w:r>
    </w:p>
    <w:p>
      <w:pPr>
        <w:pStyle w:val="2"/>
      </w:pPr>
      <w:r>
        <w:rPr>
          <w:rFonts w:hint="eastAsia"/>
        </w:rPr>
        <w:t>（5）为本招标项目提供过设计、编制技术规范和其他文件的咨询服务；</w:t>
      </w:r>
    </w:p>
    <w:p>
      <w:pPr>
        <w:pStyle w:val="2"/>
      </w:pPr>
      <w:r>
        <w:rPr>
          <w:rFonts w:hint="eastAsia"/>
        </w:rPr>
        <w:t>（6）为本工程项目的相关监理人，或者与本工程项目的相关监理人存在隶属关系或者其他利害关</w:t>
      </w:r>
    </w:p>
    <w:p>
      <w:pPr>
        <w:pStyle w:val="2"/>
        <w:ind w:left="0"/>
      </w:pPr>
      <w:r>
        <w:rPr>
          <w:rFonts w:hint="eastAsia"/>
        </w:rPr>
        <w:t>系；</w:t>
      </w:r>
    </w:p>
    <w:p>
      <w:pPr>
        <w:pStyle w:val="2"/>
      </w:pPr>
      <w:r>
        <w:rPr>
          <w:rFonts w:hint="eastAsia"/>
        </w:rPr>
        <w:t>（7）为本招标项目的代建人；</w:t>
      </w:r>
    </w:p>
    <w:p>
      <w:pPr>
        <w:pStyle w:val="2"/>
      </w:pPr>
      <w:r>
        <w:rPr>
          <w:rFonts w:hint="eastAsia"/>
        </w:rPr>
        <w:t>（8）为本招标项目的招标代理机构；</w:t>
      </w:r>
    </w:p>
    <w:p>
      <w:pPr>
        <w:pStyle w:val="2"/>
      </w:pPr>
      <w:r>
        <w:rPr>
          <w:rFonts w:hint="eastAsia"/>
        </w:rPr>
        <w:t>（9）与本招标项目的监理人或代建人或招标代理机构同为一个法定代表人（单位负责人）；</w:t>
      </w:r>
    </w:p>
    <w:p>
      <w:pPr>
        <w:pStyle w:val="2"/>
      </w:pPr>
      <w:r>
        <w:rPr>
          <w:rFonts w:hint="eastAsia"/>
        </w:rPr>
        <w:t>（10）与本招标项目的监理人或代建人或招标代理机构存在控股或参股关系；</w:t>
      </w:r>
    </w:p>
    <w:p>
      <w:pPr>
        <w:pStyle w:val="2"/>
      </w:pPr>
      <w:r>
        <w:rPr>
          <w:rFonts w:hint="eastAsia"/>
        </w:rPr>
        <w:t>（11）被依法暂停或者取消投标资格；</w:t>
      </w:r>
    </w:p>
    <w:p>
      <w:pPr>
        <w:pStyle w:val="2"/>
      </w:pPr>
      <w:r>
        <w:rPr>
          <w:rFonts w:hint="eastAsia"/>
        </w:rPr>
        <w:t>（12）被责令停产停业、暂扣或者吊销许可证、暂扣或者吊销执照；</w:t>
      </w:r>
    </w:p>
    <w:p>
      <w:pPr>
        <w:pStyle w:val="2"/>
      </w:pPr>
      <w:r>
        <w:rPr>
          <w:rFonts w:hint="eastAsia"/>
        </w:rPr>
        <w:t>（13）进入清算程序，或被宣告破产，或其他丧失履约能力的情形；</w:t>
      </w:r>
    </w:p>
    <w:p>
      <w:pPr>
        <w:pStyle w:val="2"/>
      </w:pPr>
      <w:r>
        <w:rPr>
          <w:rFonts w:hint="eastAsia"/>
        </w:rPr>
        <w:t>（14）在最近三年内发生重大产品质量问题；</w:t>
      </w:r>
    </w:p>
    <w:p>
      <w:pPr>
        <w:pStyle w:val="2"/>
      </w:pPr>
      <w:r>
        <w:rPr>
          <w:rFonts w:hint="eastAsia"/>
        </w:rPr>
        <w:t>（15）被工商行政管理机关在全国企业信用信息公示系统中列入严重违法失信企业名单；</w:t>
      </w:r>
    </w:p>
    <w:p>
      <w:pPr>
        <w:pStyle w:val="2"/>
      </w:pPr>
      <w:r>
        <w:rPr>
          <w:rFonts w:hint="eastAsia"/>
        </w:rPr>
        <w:t>（16）被最高人民法院在“信用中国”网站（www.creditchina.gov.cn）或各级信用信息共享平台</w:t>
      </w:r>
    </w:p>
    <w:p>
      <w:pPr>
        <w:pStyle w:val="2"/>
        <w:ind w:left="0"/>
      </w:pPr>
      <w:r>
        <w:rPr>
          <w:rFonts w:hint="eastAsia"/>
        </w:rPr>
        <w:t>中列入失信被执行人名单；</w:t>
      </w:r>
    </w:p>
    <w:p>
      <w:pPr>
        <w:pStyle w:val="2"/>
      </w:pPr>
      <w:r>
        <w:rPr>
          <w:rFonts w:hint="eastAsia"/>
        </w:rPr>
        <w:t>（17）在近三年内投标人或其法定代表人（单位负责人）有行贿犯罪行为的；</w:t>
      </w:r>
    </w:p>
    <w:p>
      <w:pPr>
        <w:pStyle w:val="2"/>
      </w:pPr>
      <w:r>
        <w:rPr>
          <w:rFonts w:hint="eastAsia"/>
        </w:rPr>
        <w:t>（18）法律法规或投标人须知前附表规定的其他情形。</w:t>
      </w:r>
    </w:p>
    <w:p>
      <w:pPr>
        <w:pStyle w:val="6"/>
        <w:numPr>
          <w:ilvl w:val="1"/>
          <w:numId w:val="2"/>
        </w:numPr>
      </w:pPr>
      <w:r>
        <w:rPr>
          <w:rFonts w:hint="eastAsia"/>
        </w:rPr>
        <w:t>费用承担</w:t>
      </w:r>
    </w:p>
    <w:p>
      <w:pPr>
        <w:pStyle w:val="2"/>
      </w:pPr>
      <w:r>
        <w:rPr>
          <w:rFonts w:hint="eastAsia"/>
        </w:rPr>
        <w:t>投标人准备和参加投标活动发生的费用自理。</w:t>
      </w:r>
    </w:p>
    <w:p>
      <w:pPr>
        <w:pStyle w:val="6"/>
        <w:numPr>
          <w:ilvl w:val="1"/>
          <w:numId w:val="2"/>
        </w:numPr>
      </w:pPr>
      <w:r>
        <w:rPr>
          <w:rFonts w:hint="eastAsia"/>
        </w:rPr>
        <w:t>保密</w:t>
      </w:r>
    </w:p>
    <w:p>
      <w:pPr>
        <w:pStyle w:val="2"/>
      </w:pPr>
      <w:r>
        <w:rPr>
          <w:rFonts w:hint="eastAsia"/>
        </w:rPr>
        <w:t>参与招标投标活动的各方应对招标文件和投标文件中的商业和技术等秘密保密，违者应对由此造成</w:t>
      </w:r>
    </w:p>
    <w:p>
      <w:pPr>
        <w:pStyle w:val="2"/>
        <w:ind w:left="0"/>
      </w:pPr>
      <w:r>
        <w:rPr>
          <w:rFonts w:hint="eastAsia"/>
        </w:rPr>
        <w:t>的后果承担法律责任。</w:t>
      </w:r>
    </w:p>
    <w:p>
      <w:pPr>
        <w:pStyle w:val="6"/>
        <w:numPr>
          <w:ilvl w:val="1"/>
          <w:numId w:val="2"/>
        </w:numPr>
      </w:pPr>
      <w:r>
        <w:rPr>
          <w:rFonts w:hint="eastAsia"/>
        </w:rPr>
        <w:t>语言文字</w:t>
      </w:r>
    </w:p>
    <w:p>
      <w:pPr>
        <w:pStyle w:val="2"/>
      </w:pPr>
      <w:r>
        <w:rPr>
          <w:rFonts w:hint="eastAsia"/>
        </w:rPr>
        <w:t>除专用术语外，与招标投标有关的语言均使用中文。必要时专用术语应附有中文注释。</w:t>
      </w:r>
    </w:p>
    <w:p>
      <w:pPr>
        <w:pStyle w:val="6"/>
        <w:numPr>
          <w:ilvl w:val="1"/>
          <w:numId w:val="2"/>
        </w:numPr>
      </w:pPr>
      <w:r>
        <w:rPr>
          <w:rFonts w:hint="eastAsia"/>
        </w:rPr>
        <w:t>计量单位</w:t>
      </w:r>
    </w:p>
    <w:p>
      <w:pPr>
        <w:pStyle w:val="2"/>
      </w:pPr>
      <w:r>
        <w:rPr>
          <w:rFonts w:hint="eastAsia"/>
        </w:rPr>
        <w:t>所有计量均采用中华人民共和国法定计量单位。</w:t>
      </w:r>
    </w:p>
    <w:p>
      <w:pPr>
        <w:pStyle w:val="6"/>
        <w:numPr>
          <w:ilvl w:val="1"/>
          <w:numId w:val="2"/>
        </w:numPr>
      </w:pPr>
      <w:r>
        <w:rPr>
          <w:rFonts w:hint="eastAsia"/>
        </w:rPr>
        <w:t>踏勘现场</w:t>
      </w:r>
    </w:p>
    <w:p>
      <w:pPr>
        <w:pStyle w:val="2"/>
      </w:pPr>
      <w:r>
        <w:rPr>
          <w:rFonts w:hint="eastAsia"/>
        </w:rPr>
        <w:t>1.9.1 投标人须知前附表规定组织踏勘现场的，招标人按投标人须知前附表规定的时间、地点组织</w:t>
      </w:r>
    </w:p>
    <w:p>
      <w:pPr>
        <w:pStyle w:val="2"/>
        <w:ind w:left="0"/>
      </w:pPr>
      <w:r>
        <w:rPr>
          <w:rFonts w:hint="eastAsia"/>
        </w:rPr>
        <w:t xml:space="preserve">投标人踏勘项目现场。 </w:t>
      </w:r>
    </w:p>
    <w:p>
      <w:pPr>
        <w:pStyle w:val="2"/>
      </w:pPr>
      <w:r>
        <w:rPr>
          <w:rFonts w:hint="eastAsia"/>
        </w:rPr>
        <w:t>1.9.2 投标人踏勘现场发生的费用自理。</w:t>
      </w:r>
    </w:p>
    <w:p>
      <w:pPr>
        <w:pStyle w:val="2"/>
      </w:pPr>
      <w:r>
        <w:rPr>
          <w:rFonts w:hint="eastAsia"/>
        </w:rPr>
        <w:t>1.9.3 除招标人的原因外，投标人自行负责在踏勘现场中所发生的人员伤亡和财产损失。</w:t>
      </w:r>
    </w:p>
    <w:p>
      <w:pPr>
        <w:pStyle w:val="2"/>
      </w:pPr>
      <w:r>
        <w:rPr>
          <w:rFonts w:hint="eastAsia"/>
        </w:rPr>
        <w:t>1.9.4 招标人在踏勘现场中介绍的工程场地和相关的周边环境情况，供投标人在编制投标文件时参</w:t>
      </w:r>
    </w:p>
    <w:p>
      <w:pPr>
        <w:pStyle w:val="2"/>
        <w:ind w:left="0"/>
      </w:pPr>
      <w:r>
        <w:rPr>
          <w:rFonts w:hint="eastAsia"/>
        </w:rPr>
        <w:t>考，招标人不对投标人据此作出的判断和决策负责。</w:t>
      </w:r>
    </w:p>
    <w:p>
      <w:pPr>
        <w:pStyle w:val="6"/>
        <w:numPr>
          <w:ilvl w:val="1"/>
          <w:numId w:val="2"/>
        </w:numPr>
      </w:pPr>
      <w:r>
        <w:rPr>
          <w:rFonts w:hint="eastAsia"/>
        </w:rPr>
        <w:t>投标预备会</w:t>
      </w:r>
    </w:p>
    <w:p>
      <w:pPr>
        <w:pStyle w:val="2"/>
      </w:pPr>
      <w:r>
        <w:rPr>
          <w:rFonts w:hint="eastAsia"/>
        </w:rPr>
        <w:t>1.10.1 投标人须知前附表规定召开投标预备会的，招标人按投标人须知前附表规定的时间和地点</w:t>
      </w:r>
    </w:p>
    <w:p>
      <w:pPr>
        <w:pStyle w:val="2"/>
        <w:ind w:left="0"/>
      </w:pPr>
      <w:r>
        <w:rPr>
          <w:rFonts w:hint="eastAsia"/>
        </w:rPr>
        <w:t>召开投标预备会，澄清投标人提出的问题。</w:t>
      </w:r>
    </w:p>
    <w:p>
      <w:pPr>
        <w:pStyle w:val="2"/>
      </w:pPr>
      <w:r>
        <w:rPr>
          <w:rFonts w:hint="eastAsia"/>
        </w:rPr>
        <w:t>1.10.2 投标人应在投标人须知前附表规定的时间前，以书面形式将提出的问题送达招标人，以便</w:t>
      </w:r>
    </w:p>
    <w:p>
      <w:pPr>
        <w:pStyle w:val="2"/>
        <w:ind w:left="0"/>
      </w:pPr>
      <w:r>
        <w:rPr>
          <w:rFonts w:hint="eastAsia"/>
        </w:rPr>
        <w:t>招标人在会议期间澄清。</w:t>
      </w:r>
    </w:p>
    <w:p>
      <w:pPr>
        <w:pStyle w:val="2"/>
      </w:pPr>
      <w:r>
        <w:rPr>
          <w:rFonts w:hint="eastAsia"/>
        </w:rPr>
        <w:t>1.10.3 投标预备会后，招标人在投标人须知前附表规定的时间内，将对投标人所提问题的澄清，</w:t>
      </w:r>
    </w:p>
    <w:p>
      <w:pPr>
        <w:pStyle w:val="2"/>
        <w:ind w:left="0"/>
      </w:pPr>
      <w:r>
        <w:rPr>
          <w:rFonts w:hint="eastAsia"/>
        </w:rPr>
        <w:t>以书面方式通知所有购买招标文件的投标人。该澄清内容为招标文件的组成部分。</w:t>
      </w:r>
    </w:p>
    <w:p>
      <w:pPr>
        <w:pStyle w:val="6"/>
        <w:numPr>
          <w:ilvl w:val="1"/>
          <w:numId w:val="2"/>
        </w:numPr>
      </w:pPr>
      <w:r>
        <w:rPr>
          <w:rFonts w:hint="eastAsia"/>
        </w:rPr>
        <w:t>分包</w:t>
      </w:r>
    </w:p>
    <w:p>
      <w:pPr>
        <w:pStyle w:val="2"/>
        <w:ind w:left="0" w:firstLine="440" w:firstLineChars="200"/>
      </w:pPr>
      <w:r>
        <w:rPr>
          <w:rFonts w:hint="eastAsia"/>
        </w:rPr>
        <w:t>投标人拟在中标后将中标项目的非主体货物进行分包的，应符合投标人须知前附表1.11规定的条件。</w:t>
      </w:r>
    </w:p>
    <w:p>
      <w:pPr>
        <w:pStyle w:val="6"/>
        <w:numPr>
          <w:ilvl w:val="1"/>
          <w:numId w:val="2"/>
        </w:numPr>
      </w:pPr>
      <w:r>
        <w:rPr>
          <w:rFonts w:hint="eastAsia"/>
        </w:rPr>
        <w:t>偏离</w:t>
      </w:r>
    </w:p>
    <w:p>
      <w:pPr>
        <w:pStyle w:val="2"/>
        <w:ind w:left="0" w:firstLine="440" w:firstLineChars="200"/>
      </w:pPr>
      <w:r>
        <w:rPr>
          <w:rFonts w:hint="eastAsia"/>
        </w:rPr>
        <w:t>投标人须知前附表允许投标文件偏离招标文件某些要求的，偏离应当符合招标文件规定的偏离范围和幅度。</w:t>
      </w:r>
    </w:p>
    <w:p>
      <w:pPr>
        <w:pStyle w:val="5"/>
        <w:numPr>
          <w:ilvl w:val="0"/>
          <w:numId w:val="2"/>
        </w:numPr>
      </w:pPr>
      <w:r>
        <w:rPr>
          <w:rFonts w:hint="eastAsia"/>
        </w:rPr>
        <w:t>招标文件</w:t>
      </w:r>
    </w:p>
    <w:p>
      <w:pPr>
        <w:pStyle w:val="6"/>
        <w:numPr>
          <w:ilvl w:val="1"/>
          <w:numId w:val="2"/>
        </w:numPr>
      </w:pPr>
      <w:r>
        <w:rPr>
          <w:rFonts w:hint="eastAsia"/>
        </w:rPr>
        <w:t>招标文件的组成</w:t>
      </w:r>
    </w:p>
    <w:p>
      <w:pPr>
        <w:pStyle w:val="2"/>
      </w:pPr>
      <w:r>
        <w:rPr>
          <w:rFonts w:hint="eastAsia"/>
        </w:rPr>
        <w:t>本招标文件包括：</w:t>
      </w:r>
    </w:p>
    <w:p>
      <w:pPr>
        <w:pStyle w:val="2"/>
      </w:pPr>
      <w:r>
        <w:rPr>
          <w:rFonts w:hint="eastAsia"/>
        </w:rPr>
        <w:t>（1）招标公告；</w:t>
      </w:r>
    </w:p>
    <w:p>
      <w:pPr>
        <w:pStyle w:val="2"/>
      </w:pPr>
      <w:r>
        <w:rPr>
          <w:rFonts w:hint="eastAsia"/>
        </w:rPr>
        <w:t>（2）投标人须知；</w:t>
      </w:r>
    </w:p>
    <w:p>
      <w:pPr>
        <w:pStyle w:val="2"/>
      </w:pPr>
      <w:r>
        <w:rPr>
          <w:rFonts w:hint="eastAsia"/>
        </w:rPr>
        <w:t>（3）评标办法；</w:t>
      </w:r>
    </w:p>
    <w:p>
      <w:pPr>
        <w:pStyle w:val="2"/>
      </w:pPr>
      <w:r>
        <w:rPr>
          <w:rFonts w:hint="eastAsia"/>
        </w:rPr>
        <w:t>（4）合同条款及格式；</w:t>
      </w:r>
    </w:p>
    <w:p>
      <w:pPr>
        <w:pStyle w:val="2"/>
      </w:pPr>
      <w:r>
        <w:rPr>
          <w:rFonts w:hint="eastAsia"/>
        </w:rPr>
        <w:t xml:space="preserve">（5）技术标准和要求； </w:t>
      </w:r>
    </w:p>
    <w:p>
      <w:pPr>
        <w:pStyle w:val="2"/>
      </w:pPr>
      <w:r>
        <w:rPr>
          <w:rFonts w:hint="eastAsia"/>
        </w:rPr>
        <w:t xml:space="preserve">（6）投标文件格式。 </w:t>
      </w:r>
    </w:p>
    <w:p>
      <w:pPr>
        <w:pStyle w:val="2"/>
      </w:pPr>
      <w:r>
        <w:rPr>
          <w:rFonts w:hint="eastAsia"/>
        </w:rPr>
        <w:t>根据本章第1.10款、第2.2款和第2.3款对招标文件所作的澄清、修改，构成招标文件的组成部</w:t>
      </w:r>
    </w:p>
    <w:p>
      <w:pPr>
        <w:pStyle w:val="2"/>
        <w:ind w:left="0"/>
      </w:pPr>
      <w:r>
        <w:rPr>
          <w:rFonts w:hint="eastAsia"/>
        </w:rPr>
        <w:t>分。</w:t>
      </w:r>
    </w:p>
    <w:p>
      <w:pPr>
        <w:pStyle w:val="6"/>
        <w:numPr>
          <w:ilvl w:val="1"/>
          <w:numId w:val="2"/>
        </w:numPr>
      </w:pPr>
      <w:r>
        <w:rPr>
          <w:rFonts w:hint="eastAsia"/>
        </w:rPr>
        <w:t>招标文件的澄清</w:t>
      </w:r>
    </w:p>
    <w:p>
      <w:pPr>
        <w:pStyle w:val="2"/>
      </w:pPr>
      <w:r>
        <w:rPr>
          <w:rFonts w:hint="eastAsia"/>
        </w:rPr>
        <w:t>详见投标人须知前附表</w:t>
      </w:r>
    </w:p>
    <w:p>
      <w:pPr>
        <w:pStyle w:val="6"/>
        <w:numPr>
          <w:ilvl w:val="1"/>
          <w:numId w:val="2"/>
        </w:numPr>
      </w:pPr>
      <w:r>
        <w:rPr>
          <w:rFonts w:hint="eastAsia"/>
        </w:rPr>
        <w:t>招标文件的修改</w:t>
      </w:r>
    </w:p>
    <w:p>
      <w:pPr>
        <w:pStyle w:val="2"/>
      </w:pPr>
      <w:r>
        <w:rPr>
          <w:rFonts w:hint="eastAsia"/>
        </w:rPr>
        <w:t>详见投标人须知前附表</w:t>
      </w:r>
    </w:p>
    <w:p>
      <w:pPr>
        <w:pStyle w:val="5"/>
        <w:numPr>
          <w:ilvl w:val="0"/>
          <w:numId w:val="2"/>
        </w:numPr>
      </w:pPr>
      <w:r>
        <w:rPr>
          <w:rFonts w:hint="eastAsia"/>
        </w:rPr>
        <w:t>投标文件</w:t>
      </w:r>
    </w:p>
    <w:p>
      <w:pPr>
        <w:pStyle w:val="6"/>
        <w:numPr>
          <w:ilvl w:val="1"/>
          <w:numId w:val="2"/>
        </w:numPr>
      </w:pPr>
      <w:r>
        <w:rPr>
          <w:rFonts w:hint="eastAsia"/>
        </w:rPr>
        <w:t>投标文件的组成</w:t>
      </w:r>
    </w:p>
    <w:p>
      <w:pPr>
        <w:pStyle w:val="2"/>
      </w:pPr>
      <w:r>
        <w:rPr>
          <w:rFonts w:hint="eastAsia"/>
        </w:rPr>
        <w:t xml:space="preserve">3.1.1 投标文件应包括的内容见“第六章 投标文件格式”。 </w:t>
      </w:r>
    </w:p>
    <w:p>
      <w:pPr>
        <w:pStyle w:val="2"/>
      </w:pPr>
      <w:r>
        <w:rPr>
          <w:rFonts w:hint="eastAsia"/>
        </w:rPr>
        <w:t>3.1.2 投标人须知前附表规定不接受联合体投标的，或投标人没有组成联合体的，投标文件无须提</w:t>
      </w:r>
    </w:p>
    <w:p>
      <w:pPr>
        <w:pStyle w:val="2"/>
        <w:ind w:left="0"/>
      </w:pPr>
      <w:r>
        <w:rPr>
          <w:rFonts w:hint="eastAsia"/>
        </w:rPr>
        <w:t>供联合体协议书。</w:t>
      </w:r>
    </w:p>
    <w:p>
      <w:pPr>
        <w:pStyle w:val="6"/>
        <w:numPr>
          <w:ilvl w:val="1"/>
          <w:numId w:val="2"/>
        </w:numPr>
      </w:pPr>
      <w:r>
        <w:rPr>
          <w:rFonts w:hint="eastAsia"/>
        </w:rPr>
        <w:t>投标报价</w:t>
      </w:r>
    </w:p>
    <w:p>
      <w:pPr>
        <w:pStyle w:val="2"/>
      </w:pPr>
      <w:r>
        <w:rPr>
          <w:rFonts w:hint="eastAsia"/>
        </w:rPr>
        <w:t>3.2.1 投标人应按招标文件的要求填写相应表格。</w:t>
      </w:r>
    </w:p>
    <w:p>
      <w:pPr>
        <w:pStyle w:val="2"/>
      </w:pPr>
      <w:r>
        <w:rPr>
          <w:rFonts w:hint="eastAsia"/>
        </w:rPr>
        <w:t>3.2.2 投标人在投标截止时间前修改投标函中的投标总报价，应同时修改相应报价。此修改须符合</w:t>
      </w:r>
    </w:p>
    <w:p>
      <w:pPr>
        <w:pStyle w:val="2"/>
        <w:ind w:left="0"/>
      </w:pPr>
      <w:r>
        <w:rPr>
          <w:rFonts w:hint="eastAsia"/>
        </w:rPr>
        <w:t>本章第4.3款的有关要求。</w:t>
      </w:r>
    </w:p>
    <w:p>
      <w:pPr>
        <w:pStyle w:val="6"/>
        <w:numPr>
          <w:ilvl w:val="1"/>
          <w:numId w:val="2"/>
        </w:numPr>
      </w:pPr>
      <w:r>
        <w:rPr>
          <w:rFonts w:hint="eastAsia"/>
        </w:rPr>
        <w:t>投标有效期</w:t>
      </w:r>
    </w:p>
    <w:p>
      <w:pPr>
        <w:pStyle w:val="2"/>
      </w:pPr>
      <w:r>
        <w:rPr>
          <w:rFonts w:hint="eastAsia"/>
        </w:rPr>
        <w:t>3.3.1 在投标人须知前附表规定的投标有效期内，投标人不得要求撤销或修改其投标文件。</w:t>
      </w:r>
    </w:p>
    <w:p>
      <w:pPr>
        <w:pStyle w:val="2"/>
      </w:pPr>
      <w:r>
        <w:rPr>
          <w:rFonts w:hint="eastAsia"/>
        </w:rPr>
        <w:t>3.3.2出现特殊情况需要延长投标有效期的，招标人以书面形式通知所有投标人延长投标有效期。</w:t>
      </w:r>
    </w:p>
    <w:p>
      <w:pPr>
        <w:pStyle w:val="2"/>
        <w:ind w:left="0"/>
      </w:pPr>
      <w:r>
        <w:rPr>
          <w:rFonts w:hint="eastAsia"/>
        </w:rPr>
        <w:t>投标人同意延长的，应相应延长其投标保证金的有效期，但不得要求或被允许修改或撤销其投标文件；投标人拒绝延长的，其投标失效，但投标人有权收回其投标保证金。</w:t>
      </w:r>
    </w:p>
    <w:p>
      <w:pPr>
        <w:pStyle w:val="6"/>
        <w:numPr>
          <w:ilvl w:val="1"/>
          <w:numId w:val="2"/>
        </w:numPr>
      </w:pPr>
      <w:r>
        <w:rPr>
          <w:rFonts w:hint="eastAsia"/>
        </w:rPr>
        <w:t>投标保证金</w:t>
      </w:r>
    </w:p>
    <w:p>
      <w:pPr>
        <w:pStyle w:val="2"/>
      </w:pPr>
      <w:r>
        <w:rPr>
          <w:rFonts w:hint="eastAsia"/>
        </w:rPr>
        <w:t>3.4.1投标人在递交投标文件的同时，应按投标人须知前附表规定的金额、担保形式递交投标保证</w:t>
      </w:r>
    </w:p>
    <w:p>
      <w:pPr>
        <w:pStyle w:val="2"/>
        <w:ind w:left="0"/>
      </w:pPr>
      <w:r>
        <w:rPr>
          <w:rFonts w:hint="eastAsia"/>
        </w:rPr>
        <w:t>金。联合体投标的，其投标保证金由牵头人递交，并应符合投标人须知前附表的规定。</w:t>
      </w:r>
    </w:p>
    <w:p>
      <w:pPr>
        <w:pStyle w:val="2"/>
      </w:pPr>
      <w:r>
        <w:rPr>
          <w:rFonts w:hint="eastAsia"/>
        </w:rPr>
        <w:t>3.4.2 投标人不按本章第3.4.1项要求提交投标保证金的，其投标文件作否决投标处理。</w:t>
      </w:r>
    </w:p>
    <w:p>
      <w:pPr>
        <w:pStyle w:val="2"/>
      </w:pPr>
      <w:r>
        <w:rPr>
          <w:rFonts w:hint="eastAsia"/>
        </w:rPr>
        <w:t>3.4.3投标保证金的退还：详见投标须知前附表。</w:t>
      </w:r>
    </w:p>
    <w:p>
      <w:pPr>
        <w:pStyle w:val="2"/>
      </w:pPr>
      <w:r>
        <w:rPr>
          <w:rFonts w:hint="eastAsia"/>
        </w:rPr>
        <w:t>3.4.4 有下列情形之一的，投标保证金将不予退还：</w:t>
      </w:r>
    </w:p>
    <w:p>
      <w:pPr>
        <w:pStyle w:val="2"/>
      </w:pPr>
      <w:r>
        <w:rPr>
          <w:rFonts w:hint="eastAsia"/>
        </w:rPr>
        <w:t>（1）投标人在规定的投标有效期内撤销或修改其投标文件；</w:t>
      </w:r>
    </w:p>
    <w:p>
      <w:pPr>
        <w:pStyle w:val="2"/>
      </w:pPr>
      <w:r>
        <w:rPr>
          <w:rFonts w:hint="eastAsia"/>
        </w:rPr>
        <w:t>（2）中标人在收到中标通知书后，无正当理由拒签合同协议书或未按招标文件规定提交履约担保。</w:t>
      </w:r>
    </w:p>
    <w:p>
      <w:pPr>
        <w:pStyle w:val="6"/>
        <w:numPr>
          <w:ilvl w:val="1"/>
          <w:numId w:val="2"/>
        </w:numPr>
      </w:pPr>
      <w:r>
        <w:rPr>
          <w:rFonts w:hint="eastAsia"/>
        </w:rPr>
        <w:t>资格审查资料</w:t>
      </w:r>
    </w:p>
    <w:p>
      <w:pPr>
        <w:pStyle w:val="2"/>
      </w:pPr>
      <w:r>
        <w:rPr>
          <w:rFonts w:hint="eastAsia"/>
        </w:rPr>
        <w:t>3.5.1“投标人基本情况表”应包括的内容详见“第六章 投标文件格式”。</w:t>
      </w:r>
    </w:p>
    <w:p>
      <w:pPr>
        <w:pStyle w:val="2"/>
      </w:pPr>
      <w:r>
        <w:rPr>
          <w:rFonts w:hint="eastAsia"/>
        </w:rPr>
        <w:t>3.5.2“近年财务状况表”：应附经会计师事务所或审计机构出具的财务会计报表，包括资产负债表、</w:t>
      </w:r>
    </w:p>
    <w:p>
      <w:pPr>
        <w:pStyle w:val="2"/>
        <w:ind w:left="0"/>
      </w:pPr>
      <w:r>
        <w:rPr>
          <w:rFonts w:hint="eastAsia"/>
        </w:rPr>
        <w:t>现金流量表、利润表的复印件或扫描件，具体年份要求见投标人须知前附表。</w:t>
      </w:r>
    </w:p>
    <w:p>
      <w:pPr>
        <w:pStyle w:val="2"/>
      </w:pPr>
      <w:r>
        <w:rPr>
          <w:rFonts w:hint="eastAsia"/>
        </w:rPr>
        <w:t>3.5.3 “类似项目业绩表”：具体要求以投标人须知前附表为准。每张表格只填写一个项目，宜标</w:t>
      </w:r>
    </w:p>
    <w:p>
      <w:pPr>
        <w:pStyle w:val="2"/>
        <w:ind w:left="0"/>
      </w:pPr>
      <w:r>
        <w:rPr>
          <w:rFonts w:hint="eastAsia"/>
        </w:rPr>
        <w:t>明序号。</w:t>
      </w:r>
    </w:p>
    <w:p>
      <w:pPr>
        <w:pStyle w:val="2"/>
      </w:pPr>
      <w:r>
        <w:rPr>
          <w:rFonts w:hint="eastAsia"/>
        </w:rPr>
        <w:t>3.5.4“近年发生的诉讼及仲裁情况”：不提供。</w:t>
      </w:r>
    </w:p>
    <w:p>
      <w:pPr>
        <w:pStyle w:val="2"/>
      </w:pPr>
      <w:r>
        <w:rPr>
          <w:rFonts w:hint="eastAsia"/>
        </w:rPr>
        <w:t>3.5.5 投标人须知前附表规定接受联合体投标的，本章第3.5.1 项至第3.5.4 项规定的表格和资</w:t>
      </w:r>
    </w:p>
    <w:p>
      <w:pPr>
        <w:pStyle w:val="2"/>
        <w:ind w:left="0"/>
      </w:pPr>
      <w:r>
        <w:rPr>
          <w:rFonts w:hint="eastAsia"/>
        </w:rPr>
        <w:t>料应包括联合体各方相关情况。</w:t>
      </w:r>
    </w:p>
    <w:p>
      <w:pPr>
        <w:pStyle w:val="6"/>
        <w:numPr>
          <w:ilvl w:val="1"/>
          <w:numId w:val="2"/>
        </w:numPr>
      </w:pPr>
      <w:r>
        <w:rPr>
          <w:rFonts w:hint="eastAsia"/>
        </w:rPr>
        <w:t>备选投标方案</w:t>
      </w:r>
    </w:p>
    <w:p>
      <w:pPr>
        <w:pStyle w:val="2"/>
      </w:pPr>
      <w:r>
        <w:rPr>
          <w:rFonts w:hint="eastAsia"/>
        </w:rPr>
        <w:t>除投标人须知前附表另有规定外，投标人不得递交备选投标方案。允许投标人递交备选投标方案的，</w:t>
      </w:r>
    </w:p>
    <w:p>
      <w:pPr>
        <w:pStyle w:val="2"/>
        <w:ind w:left="0"/>
      </w:pPr>
      <w:r>
        <w:rPr>
          <w:rFonts w:hint="eastAsia"/>
        </w:rPr>
        <w:t>只有中标人所递交的备选投标方案方可予以考虑。评标委员会认为中标人的备选投标方案优于其按照招标文件要求编制的投标方案的，招标人可以接受该备选投标方案。</w:t>
      </w:r>
    </w:p>
    <w:p>
      <w:pPr>
        <w:pStyle w:val="6"/>
        <w:numPr>
          <w:ilvl w:val="1"/>
          <w:numId w:val="2"/>
        </w:numPr>
      </w:pPr>
      <w:r>
        <w:rPr>
          <w:rFonts w:hint="eastAsia"/>
        </w:rPr>
        <w:t>投标文件的编制</w:t>
      </w:r>
    </w:p>
    <w:p>
      <w:pPr>
        <w:pStyle w:val="2"/>
      </w:pPr>
      <w:r>
        <w:rPr>
          <w:rFonts w:hint="eastAsia"/>
        </w:rPr>
        <w:t>3.7.1投标文件应按第六章“投标文件格式”进行编写，如有必要，可以增加附页，作为投标文件</w:t>
      </w:r>
    </w:p>
    <w:p>
      <w:pPr>
        <w:pStyle w:val="2"/>
        <w:ind w:left="0"/>
      </w:pPr>
      <w:r>
        <w:rPr>
          <w:rFonts w:hint="eastAsia"/>
        </w:rPr>
        <w:t>的组成部分。其中，投标函附录在满足招标文件实质性要求的基础上，可以提出比招标文件要求更有利于招标人的承诺。</w:t>
      </w:r>
    </w:p>
    <w:p>
      <w:pPr>
        <w:pStyle w:val="2"/>
      </w:pPr>
      <w:r>
        <w:rPr>
          <w:rFonts w:hint="eastAsia"/>
        </w:rPr>
        <w:t>3.7.3盖章的具体要求见投标人须知前附表。</w:t>
      </w:r>
    </w:p>
    <w:p>
      <w:pPr>
        <w:pStyle w:val="2"/>
      </w:pPr>
      <w:r>
        <w:rPr>
          <w:rFonts w:hint="eastAsia"/>
        </w:rPr>
        <w:t>3.7.4投标人应提供一份格式正确、内容完整、加密的电子投标文件。电子投标文件应使用“成都</w:t>
      </w:r>
    </w:p>
    <w:p>
      <w:pPr>
        <w:pStyle w:val="2"/>
        <w:ind w:left="0"/>
      </w:pPr>
      <w:r>
        <w:rPr>
          <w:rFonts w:hint="eastAsia"/>
        </w:rPr>
        <w:t>市电子投标文件制作系统（2017版）”制作，并通过CA数字证书进行加密，存储为扩展名为CDT的文件。（现场开标适用）投标人自愿提交一张包含相同内容的投标文件光盘以备CA解密失败时使用（光盘中投标文件应使用“成都市电子投标文件制作系统（2017版）”制作，存储为扩展名为CDT2的未加密文件），CA解密失败的投标人的投标文件以光盘中的为准。光盘应密封完好（包装及密封形式不限）在投标截止时间前上交给招标人，投标文件截止时间后，概不补交。</w:t>
      </w:r>
    </w:p>
    <w:p>
      <w:pPr>
        <w:pStyle w:val="5"/>
        <w:numPr>
          <w:ilvl w:val="0"/>
          <w:numId w:val="2"/>
        </w:numPr>
      </w:pPr>
      <w:r>
        <w:rPr>
          <w:rFonts w:hint="eastAsia"/>
        </w:rPr>
        <w:t>投标</w:t>
      </w:r>
    </w:p>
    <w:p>
      <w:pPr>
        <w:pStyle w:val="6"/>
        <w:numPr>
          <w:ilvl w:val="1"/>
          <w:numId w:val="2"/>
        </w:numPr>
      </w:pPr>
      <w:r>
        <w:rPr>
          <w:rFonts w:hint="eastAsia"/>
        </w:rPr>
        <w:t>投标文件的密封和标记</w:t>
      </w:r>
    </w:p>
    <w:p>
      <w:pPr>
        <w:ind w:firstLine="440" w:firstLineChars="200"/>
        <w:rPr>
          <w:rFonts w:ascii="宋体" w:hAnsi="宋体"/>
        </w:rPr>
      </w:pPr>
      <w:r>
        <w:rPr>
          <w:rFonts w:hint="eastAsia" w:ascii="宋体" w:hAnsi="宋体"/>
        </w:rPr>
        <w:t>○（现场开标）4.1.1</w:t>
      </w:r>
      <w:r>
        <w:rPr>
          <w:rFonts w:hint="eastAsia" w:ascii="宋体" w:hAnsi="宋体"/>
          <w:szCs w:val="21"/>
        </w:rPr>
        <w:t>电子投标文件未使用CA数字证书进行加密的，将无法上传至云平台。若投标人投标文件因密封不严、标志不明、未加密而造成过早启封、失密等情况，招标人及招标代理机构概不负责。投标人自愿提交一张包含相同内容的投标文件光盘以备CA解密失败时使用，光盘应密封完好（包装及密封形式不限）。</w:t>
      </w:r>
    </w:p>
    <w:p>
      <w:pPr>
        <w:widowControl/>
        <w:ind w:left="418" w:leftChars="190"/>
        <w:rPr>
          <w:rFonts w:ascii="宋体" w:hAnsi="宋体"/>
        </w:rPr>
      </w:pPr>
      <w:r>
        <w:rPr>
          <w:rFonts w:hint="eastAsia" w:ascii="宋体" w:hAnsi="宋体"/>
        </w:rPr>
        <w:t>○（不见面开标）</w:t>
      </w:r>
      <w:r>
        <w:rPr>
          <w:rFonts w:ascii="宋体" w:hAnsi="宋体"/>
        </w:rPr>
        <w:t>4.1.1电子投标文件未使用CA</w:t>
      </w:r>
      <w:r>
        <w:rPr>
          <w:rFonts w:hint="eastAsia" w:ascii="宋体" w:hAnsi="宋体"/>
        </w:rPr>
        <w:t>数字证书进行加密的，将无法上传至云平台。若投标人投标文件因未加密而造成过早失密等情况，招标人及招标代理机构概不负责。不见面开标项目不接受投标人现场递交光盘等形式的投标文件，不接受投标人现场解密投标文件。</w:t>
      </w:r>
    </w:p>
    <w:p>
      <w:pPr>
        <w:ind w:firstLine="440" w:firstLineChars="200"/>
        <w:rPr>
          <w:rFonts w:ascii="宋体" w:hAnsi="宋体"/>
        </w:rPr>
      </w:pPr>
      <w:r>
        <w:rPr>
          <w:rFonts w:hint="eastAsia" w:ascii="宋体" w:hAnsi="宋体"/>
          <w:szCs w:val="21"/>
        </w:rPr>
        <w:t>○（现场开标）</w:t>
      </w:r>
      <w:r>
        <w:rPr>
          <w:rFonts w:ascii="宋体" w:hAnsi="宋体"/>
          <w:bCs/>
          <w:szCs w:val="21"/>
        </w:rPr>
        <w:t>4.1.2 投标文件的封套上应写明的内容见投标人须知前附表。</w:t>
      </w:r>
    </w:p>
    <w:p>
      <w:pPr>
        <w:pStyle w:val="6"/>
        <w:numPr>
          <w:ilvl w:val="1"/>
          <w:numId w:val="2"/>
        </w:numPr>
      </w:pPr>
      <w:r>
        <w:rPr>
          <w:rFonts w:hint="eastAsia"/>
        </w:rPr>
        <w:t>投标文件的递交</w:t>
      </w:r>
    </w:p>
    <w:p>
      <w:pPr>
        <w:pStyle w:val="2"/>
      </w:pPr>
      <w:r>
        <w:rPr>
          <w:rFonts w:hint="eastAsia"/>
        </w:rPr>
        <w:t>○（现场开标）</w:t>
      </w:r>
    </w:p>
    <w:p>
      <w:pPr>
        <w:pStyle w:val="2"/>
      </w:pPr>
      <w:r>
        <w:rPr>
          <w:rFonts w:hint="eastAsia"/>
        </w:rPr>
        <w:t>4.2.1 投标人应在本章第2.2.2项规定的投标截止时间前递交投标文件。</w:t>
      </w:r>
    </w:p>
    <w:p>
      <w:pPr>
        <w:pStyle w:val="2"/>
      </w:pPr>
      <w:r>
        <w:rPr>
          <w:rFonts w:hint="eastAsia"/>
        </w:rPr>
        <w:t>4.2.2 投标人递交投标文件的地点：见投标人须知前附表。</w:t>
      </w:r>
    </w:p>
    <w:p>
      <w:pPr>
        <w:pStyle w:val="2"/>
      </w:pPr>
      <w:r>
        <w:rPr>
          <w:rFonts w:hint="eastAsia"/>
        </w:rPr>
        <w:t>4.2.3 除投标人须知前附表另有规定外，投标人所递交的投标文件不予退还。</w:t>
      </w:r>
    </w:p>
    <w:p>
      <w:pPr>
        <w:pStyle w:val="2"/>
      </w:pPr>
      <w:r>
        <w:rPr>
          <w:rFonts w:hint="eastAsia"/>
        </w:rPr>
        <w:t>4.2.4 逾期送达的或者未送达指定地点的投标文件，招标人不予受理。</w:t>
      </w:r>
    </w:p>
    <w:p>
      <w:pPr>
        <w:pStyle w:val="2"/>
      </w:pPr>
      <w:r>
        <w:rPr>
          <w:rFonts w:hint="eastAsia"/>
        </w:rPr>
        <w:t>○（不见面开标）</w:t>
      </w:r>
    </w:p>
    <w:p>
      <w:pPr>
        <w:pStyle w:val="2"/>
      </w:pPr>
      <w:r>
        <w:t xml:space="preserve">4.2.1 </w:t>
      </w:r>
      <w:r>
        <w:rPr>
          <w:rFonts w:hint="eastAsia"/>
        </w:rPr>
        <w:t>投标人应在本章第</w:t>
      </w:r>
      <w:r>
        <w:t>2.2.2</w:t>
      </w:r>
      <w:r>
        <w:rPr>
          <w:rFonts w:hint="eastAsia"/>
        </w:rPr>
        <w:t>项规定的投标截止时间前递交投标文件。</w:t>
      </w:r>
    </w:p>
    <w:p>
      <w:pPr>
        <w:pStyle w:val="2"/>
      </w:pPr>
      <w:r>
        <w:t>4.2.2</w:t>
      </w:r>
      <w:r>
        <w:rPr>
          <w:rFonts w:hint="eastAsia"/>
        </w:rPr>
        <w:t>投标人递交投标文件的地点：见投标人须知前附表。</w:t>
      </w:r>
    </w:p>
    <w:p>
      <w:pPr>
        <w:pStyle w:val="2"/>
      </w:pPr>
      <w:r>
        <w:rPr>
          <w:rFonts w:hint="eastAsia"/>
        </w:rPr>
        <w:t>4.2.3除投标人须知前附表另有规定外，投标人所递交的投标文件不予退还。</w:t>
      </w:r>
    </w:p>
    <w:p>
      <w:pPr>
        <w:pStyle w:val="2"/>
      </w:pPr>
      <w:r>
        <w:rPr>
          <w:rFonts w:hint="eastAsia"/>
        </w:rPr>
        <w:t>4.2.4投标文件未能在规定时间内成功解密的，视为投标人未在规定时间内提交投标文件，由投标人自行承担责任。不见面开标项目不接受投标人现场递交光盘等形式的投标文件，不接受投标人现场解密投标文件。</w:t>
      </w:r>
      <w:r>
        <w:t xml:space="preserve"> </w:t>
      </w:r>
    </w:p>
    <w:p>
      <w:pPr>
        <w:pStyle w:val="2"/>
      </w:pPr>
    </w:p>
    <w:p>
      <w:pPr>
        <w:pStyle w:val="5"/>
        <w:numPr>
          <w:ilvl w:val="0"/>
          <w:numId w:val="2"/>
        </w:numPr>
      </w:pPr>
      <w:r>
        <w:rPr>
          <w:rFonts w:hint="eastAsia"/>
        </w:rPr>
        <w:t>开标</w:t>
      </w:r>
    </w:p>
    <w:p>
      <w:pPr>
        <w:pStyle w:val="2"/>
      </w:pPr>
      <w:r>
        <w:rPr>
          <w:rFonts w:hint="eastAsia"/>
        </w:rPr>
        <w:t>○（现场开标）5.1 开标时间和地点</w:t>
      </w:r>
    </w:p>
    <w:p>
      <w:pPr>
        <w:pStyle w:val="2"/>
      </w:pPr>
      <w:r>
        <w:rPr>
          <w:rFonts w:hint="eastAsia"/>
        </w:rPr>
        <w:t>招标人在本章第2.2.2项规定的投标截止时间（开标时间）和投标人须知前附表规定的地点公开开标，并邀请所有投标人的法定代表人或其委托代理人准时参加。</w:t>
      </w:r>
    </w:p>
    <w:p>
      <w:pPr>
        <w:pStyle w:val="2"/>
      </w:pPr>
      <w:r>
        <w:rPr>
          <w:rFonts w:hint="eastAsia"/>
        </w:rPr>
        <w:t>○（不见面开标）5.1 开标时间和地点</w:t>
      </w:r>
    </w:p>
    <w:p>
      <w:pPr>
        <w:pStyle w:val="2"/>
      </w:pPr>
      <w:r>
        <w:rPr>
          <w:rFonts w:hint="eastAsia"/>
        </w:rPr>
        <w:t>招标人在本章第2.2.2项规定的投标截止时间（开标时间）开标。招标人或其委托代理机构，以及已在投标截止时间前按规定上传投标文件的投标人，均应在开标当日投标截止时间前登录不见面开标系统（网址：www.cdggzy.com），录入相关人员姓名、电话等基本信息。投标人未按时登录不见面开标系统，错过开标解密时间的，由投标人自行承担不利后果。</w:t>
      </w:r>
    </w:p>
    <w:p>
      <w:pPr>
        <w:pStyle w:val="2"/>
      </w:pPr>
      <w:r>
        <w:rPr>
          <w:rFonts w:hint="eastAsia"/>
        </w:rPr>
        <w:t>○（现场开标）5.2 开标程序</w:t>
      </w:r>
    </w:p>
    <w:p>
      <w:pPr>
        <w:pStyle w:val="2"/>
      </w:pPr>
      <w:r>
        <w:rPr>
          <w:rFonts w:hint="eastAsia"/>
        </w:rPr>
        <w:t>主持人按下列程序进行开标：</w:t>
      </w:r>
    </w:p>
    <w:p>
      <w:pPr>
        <w:pStyle w:val="2"/>
      </w:pPr>
      <w:r>
        <w:rPr>
          <w:rFonts w:hint="eastAsia"/>
        </w:rPr>
        <w:t>（1）宣布开标纪律；</w:t>
      </w:r>
    </w:p>
    <w:p>
      <w:pPr>
        <w:pStyle w:val="2"/>
      </w:pPr>
      <w:r>
        <w:rPr>
          <w:rFonts w:hint="eastAsia"/>
        </w:rPr>
        <w:t>（2）公布在投标截止时间前递交投标文件的投标人名称，并点名确认投标人是否派人到场；</w:t>
      </w:r>
    </w:p>
    <w:p>
      <w:pPr>
        <w:pStyle w:val="2"/>
      </w:pPr>
      <w:r>
        <w:rPr>
          <w:rFonts w:hint="eastAsia"/>
        </w:rPr>
        <w:t>（3）招标人获取投标人的从业单位信用等级（得分）评价结果，以成都市公共资源电子交易云平台开标当日9时后从成都市工程建设项目招标投标行政监督平台上获取的结果为准，递交给评标委员会。（如有）</w:t>
      </w:r>
    </w:p>
    <w:p>
      <w:pPr>
        <w:pStyle w:val="2"/>
      </w:pPr>
      <w:r>
        <w:rPr>
          <w:rFonts w:hint="eastAsia"/>
        </w:rPr>
        <w:t>（4）公示投标人投标情况，招标人确定是否接收标书；</w:t>
      </w:r>
    </w:p>
    <w:p>
      <w:pPr>
        <w:pStyle w:val="2"/>
      </w:pPr>
      <w:r>
        <w:rPr>
          <w:rFonts w:hint="eastAsia"/>
        </w:rPr>
        <w:t>（5）宣布并记录招标人、唱标人、记录人、监督人等有关人员姓名、单位等信息；</w:t>
      </w:r>
    </w:p>
    <w:p>
      <w:pPr>
        <w:pStyle w:val="2"/>
      </w:pPr>
      <w:r>
        <w:rPr>
          <w:rFonts w:hint="eastAsia"/>
        </w:rPr>
        <w:t>（6）招标人组织投标人代表在现场使用投标人的企业CA数字证书解密投标文件（CA未能解密成功的，使用投标人递交的光盘进行导入投标文件）；</w:t>
      </w:r>
    </w:p>
    <w:p>
      <w:pPr>
        <w:pStyle w:val="2"/>
      </w:pPr>
      <w:r>
        <w:rPr>
          <w:rFonts w:hint="eastAsia"/>
        </w:rPr>
        <w:t>（7）招标人唱标或进行电声唱标完成后，确认开标记录表信息；招标人打印开标记录表，组织有关人员在开标记录表上签字确认；</w:t>
      </w:r>
    </w:p>
    <w:p>
      <w:pPr>
        <w:pStyle w:val="2"/>
      </w:pPr>
      <w:r>
        <w:rPr>
          <w:rFonts w:hint="eastAsia"/>
        </w:rPr>
        <w:t>（8）开标结束。</w:t>
      </w:r>
    </w:p>
    <w:p>
      <w:pPr>
        <w:pStyle w:val="2"/>
      </w:pPr>
      <w:r>
        <w:rPr>
          <w:rFonts w:hint="eastAsia"/>
        </w:rPr>
        <w:t>○（不见面开标）5.2 开标程序</w:t>
      </w:r>
    </w:p>
    <w:p>
      <w:pPr>
        <w:pStyle w:val="2"/>
      </w:pPr>
      <w:r>
        <w:rPr>
          <w:rFonts w:hint="eastAsia"/>
        </w:rPr>
        <w:t>（1）招标人获取投标人的从业单位信用等级（得分）评价结果，以成都市公共资源电子交易云平台开标当日9时后从成都市工程建设项目招标投标行政监督平台上获取的结果为准，递交给评标委员会。（如有）</w:t>
      </w:r>
    </w:p>
    <w:p>
      <w:pPr>
        <w:pStyle w:val="2"/>
      </w:pPr>
      <w:r>
        <w:rPr>
          <w:rFonts w:hint="eastAsia"/>
        </w:rPr>
        <w:t>（2）招标人或其委托代理机构，以及已在投标截止时间前按规定上传投标文件的投标人，均应在开标当日投标截止时间前登录不见面开标系统（网址：www.cdggzy.com），录入相关人员姓名、电话等基本信息。</w:t>
      </w:r>
    </w:p>
    <w:p>
      <w:pPr>
        <w:pStyle w:val="2"/>
      </w:pPr>
      <w:r>
        <w:rPr>
          <w:rFonts w:hint="eastAsia"/>
        </w:rPr>
        <w:t>（3）投标时间截止后，招标人或其委托代理机构点击确认开标开始，系统进入正式开标环节，展示所有已上传投标文件的投标人名单、投标保证金交纳情况和投标人相关信用信息等投标基本情况。</w:t>
      </w:r>
    </w:p>
    <w:p>
      <w:pPr>
        <w:pStyle w:val="2"/>
      </w:pPr>
      <w:r>
        <w:rPr>
          <w:rFonts w:hint="eastAsia"/>
        </w:rPr>
        <w:t>（4）投标基本情况展示后，招标人或其委托代理机构应点击进入投标文件解密环节，投标人应在解密开始后30分钟内在线完成投标文件解密。</w:t>
      </w:r>
    </w:p>
    <w:p>
      <w:pPr>
        <w:pStyle w:val="2"/>
      </w:pPr>
      <w:r>
        <w:rPr>
          <w:rFonts w:hint="eastAsia"/>
        </w:rPr>
        <w:t>（5）所有投标人完成解密后或在规定解密时间截止后，经招标人或其委托代理机构确认进入唱标展示环节，由系统直接展示各投标人名称、投标报价等唱标内容，生成开标记录表。</w:t>
      </w:r>
    </w:p>
    <w:p>
      <w:pPr>
        <w:pStyle w:val="2"/>
      </w:pPr>
      <w:r>
        <w:rPr>
          <w:rFonts w:hint="eastAsia"/>
        </w:rPr>
        <w:t>（6）投标人对开标有异议的，应在线提出，由招标人或其委托代理机构在线即时答复处理。招标人或其委托代理机构应为投标人提供提出异议时间不少于10分钟（生成开标记录表开始起算）。所有异议处理完毕后，由招标人或其委托代理机构确认开标结束。</w:t>
      </w:r>
    </w:p>
    <w:p>
      <w:pPr>
        <w:pStyle w:val="2"/>
      </w:pPr>
      <w:r>
        <w:rPr>
          <w:rFonts w:hint="eastAsia"/>
        </w:rPr>
        <w:t>○（现场开标）5.3  开标异议</w:t>
      </w:r>
    </w:p>
    <w:p>
      <w:pPr>
        <w:pStyle w:val="2"/>
      </w:pPr>
      <w:r>
        <w:rPr>
          <w:rFonts w:hint="eastAsia"/>
        </w:rPr>
        <w:t>投标人对开标有异议的，应当在开标现场提出，招标人当场作出答复，并制作记录。</w:t>
      </w:r>
    </w:p>
    <w:p>
      <w:pPr>
        <w:pStyle w:val="2"/>
      </w:pPr>
      <w:r>
        <w:rPr>
          <w:rFonts w:hint="eastAsia"/>
        </w:rPr>
        <w:t>○（不见面开标）5.3  开标异议</w:t>
      </w:r>
    </w:p>
    <w:p>
      <w:pPr>
        <w:pStyle w:val="2"/>
      </w:pPr>
      <w:r>
        <w:rPr>
          <w:rFonts w:hint="eastAsia"/>
        </w:rPr>
        <w:t>投标人对开标有异议的，应在线提出，由招标人或其委托代理机构在线即时答复处理。招标人或其委托代理机构应为投标人提供提出异议时间不少于10分钟（生成开标记录表开始起算）。所有异议处理完毕后，由招标人或其委托代理机构确认开标结束。</w:t>
      </w:r>
    </w:p>
    <w:p>
      <w:pPr>
        <w:pStyle w:val="2"/>
      </w:pPr>
    </w:p>
    <w:p>
      <w:pPr>
        <w:pStyle w:val="5"/>
        <w:numPr>
          <w:ilvl w:val="0"/>
          <w:numId w:val="2"/>
        </w:numPr>
      </w:pPr>
      <w:r>
        <w:rPr>
          <w:rFonts w:hint="eastAsia"/>
        </w:rPr>
        <w:t>评标</w:t>
      </w:r>
    </w:p>
    <w:p>
      <w:pPr>
        <w:pStyle w:val="6"/>
        <w:numPr>
          <w:ilvl w:val="1"/>
          <w:numId w:val="2"/>
        </w:numPr>
      </w:pPr>
      <w:r>
        <w:rPr>
          <w:rFonts w:hint="eastAsia"/>
        </w:rPr>
        <w:t>评标委员会</w:t>
      </w:r>
    </w:p>
    <w:p>
      <w:pPr>
        <w:pStyle w:val="2"/>
      </w:pPr>
      <w:r>
        <w:rPr>
          <w:rFonts w:hint="eastAsia"/>
        </w:rPr>
        <w:t>6.1.1 评标由招标人依法组建的评标委员会负责。评标委员会由招标人或其委托的招标代理机构熟</w:t>
      </w:r>
    </w:p>
    <w:p>
      <w:pPr>
        <w:pStyle w:val="2"/>
        <w:ind w:left="0"/>
      </w:pPr>
      <w:r>
        <w:rPr>
          <w:rFonts w:hint="eastAsia"/>
        </w:rPr>
        <w:t>悉相关业务的代表，以及有关技术、经济等方面的专家组成。评标委员会成员人数以及技术、经济等方面专家的确定方式见投标人须知前附表。</w:t>
      </w:r>
    </w:p>
    <w:p>
      <w:pPr>
        <w:pStyle w:val="2"/>
      </w:pPr>
      <w:r>
        <w:rPr>
          <w:rFonts w:hint="eastAsia"/>
        </w:rPr>
        <w:t>6.1.2 评标委员会成员有下列情形之一的，应当回避：</w:t>
      </w:r>
    </w:p>
    <w:p>
      <w:pPr>
        <w:pStyle w:val="2"/>
      </w:pPr>
      <w:r>
        <w:rPr>
          <w:rFonts w:hint="eastAsia"/>
        </w:rPr>
        <w:t>（1）招标人或投标人的主要负责人的近亲属；</w:t>
      </w:r>
    </w:p>
    <w:p>
      <w:pPr>
        <w:pStyle w:val="2"/>
      </w:pPr>
      <w:r>
        <w:rPr>
          <w:rFonts w:hint="eastAsia"/>
        </w:rPr>
        <w:t>（2）项目主管部门或者行政监督部门的人员；</w:t>
      </w:r>
    </w:p>
    <w:p>
      <w:pPr>
        <w:pStyle w:val="2"/>
      </w:pPr>
      <w:r>
        <w:rPr>
          <w:rFonts w:hint="eastAsia"/>
        </w:rPr>
        <w:t>（3）与投标人有经济利益关系，可能影响对投标公正评审的；</w:t>
      </w:r>
    </w:p>
    <w:p>
      <w:pPr>
        <w:pStyle w:val="2"/>
      </w:pPr>
      <w:r>
        <w:rPr>
          <w:rFonts w:hint="eastAsia"/>
        </w:rPr>
        <w:t>（4）曾因在招标、评标以及其他与招标投标有关活动中从事违法行为而受过行政处罚或刑事处罚</w:t>
      </w:r>
    </w:p>
    <w:p>
      <w:pPr>
        <w:pStyle w:val="2"/>
        <w:ind w:left="0"/>
      </w:pPr>
      <w:r>
        <w:rPr>
          <w:rFonts w:hint="eastAsia"/>
        </w:rPr>
        <w:t>的。</w:t>
      </w:r>
    </w:p>
    <w:p>
      <w:pPr>
        <w:pStyle w:val="2"/>
      </w:pPr>
      <w:r>
        <w:rPr>
          <w:rFonts w:hint="eastAsia"/>
        </w:rPr>
        <w:t>（5）与投标人有其他利害关系。</w:t>
      </w:r>
    </w:p>
    <w:p>
      <w:pPr>
        <w:pStyle w:val="6"/>
        <w:numPr>
          <w:ilvl w:val="1"/>
          <w:numId w:val="2"/>
        </w:numPr>
      </w:pPr>
      <w:r>
        <w:rPr>
          <w:rFonts w:hint="eastAsia"/>
        </w:rPr>
        <w:t>评标原则</w:t>
      </w:r>
    </w:p>
    <w:p>
      <w:pPr>
        <w:pStyle w:val="2"/>
      </w:pPr>
      <w:r>
        <w:rPr>
          <w:rFonts w:hint="eastAsia"/>
        </w:rPr>
        <w:t>评标活动遵循公平、公正、科学和择优的原则。</w:t>
      </w:r>
    </w:p>
    <w:p>
      <w:pPr>
        <w:pStyle w:val="6"/>
        <w:numPr>
          <w:ilvl w:val="1"/>
          <w:numId w:val="2"/>
        </w:numPr>
      </w:pPr>
      <w:r>
        <w:rPr>
          <w:rFonts w:hint="eastAsia"/>
        </w:rPr>
        <w:t>评标</w:t>
      </w:r>
    </w:p>
    <w:p>
      <w:pPr>
        <w:pStyle w:val="2"/>
      </w:pPr>
      <w:r>
        <w:rPr>
          <w:rFonts w:hint="eastAsia"/>
        </w:rPr>
        <w:t>评标委员会按照第三章“评标办法”规定的方法、评审因素、标准和程序对投标文件进行评审。第</w:t>
      </w:r>
    </w:p>
    <w:p>
      <w:pPr>
        <w:pStyle w:val="2"/>
        <w:ind w:left="0"/>
      </w:pPr>
      <w:r>
        <w:rPr>
          <w:rFonts w:hint="eastAsia"/>
        </w:rPr>
        <w:t>三章“评标办法”没有规定的方法、评审因素和标准，不作为评标依据。</w:t>
      </w:r>
    </w:p>
    <w:p>
      <w:pPr>
        <w:pStyle w:val="5"/>
        <w:numPr>
          <w:ilvl w:val="0"/>
          <w:numId w:val="2"/>
        </w:numPr>
      </w:pPr>
      <w:bookmarkStart w:id="14" w:name="_Toc18183"/>
      <w:r>
        <w:rPr>
          <w:rFonts w:hint="eastAsia"/>
        </w:rPr>
        <w:t>合同授予</w:t>
      </w:r>
      <w:bookmarkEnd w:id="14"/>
    </w:p>
    <w:p>
      <w:pPr>
        <w:pStyle w:val="6"/>
        <w:numPr>
          <w:ilvl w:val="1"/>
          <w:numId w:val="2"/>
        </w:numPr>
      </w:pPr>
      <w:r>
        <w:rPr>
          <w:rFonts w:hint="eastAsia"/>
        </w:rPr>
        <w:t>定标方式</w:t>
      </w:r>
    </w:p>
    <w:p>
      <w:pPr>
        <w:pStyle w:val="2"/>
      </w:pPr>
      <w:r>
        <w:rPr>
          <w:rFonts w:hint="eastAsia"/>
        </w:rPr>
        <w:t>除投标人须知前附表规定评标委员会直接确定中标人外，招标人依据评标委员会推荐的中标候选人</w:t>
      </w:r>
    </w:p>
    <w:p>
      <w:pPr>
        <w:pStyle w:val="2"/>
        <w:ind w:left="0"/>
      </w:pPr>
      <w:r>
        <w:rPr>
          <w:rFonts w:hint="eastAsia"/>
        </w:rPr>
        <w:t>确定中标人，评标委员会推荐中标候选人的人数见投标人须知前附表。</w:t>
      </w:r>
    </w:p>
    <w:p>
      <w:pPr>
        <w:pStyle w:val="6"/>
        <w:numPr>
          <w:ilvl w:val="1"/>
          <w:numId w:val="2"/>
        </w:numPr>
      </w:pPr>
      <w:r>
        <w:rPr>
          <w:rFonts w:hint="eastAsia"/>
        </w:rPr>
        <w:t>中标通知</w:t>
      </w:r>
    </w:p>
    <w:p>
      <w:pPr>
        <w:pStyle w:val="2"/>
      </w:pPr>
      <w:r>
        <w:rPr>
          <w:rFonts w:hint="eastAsia"/>
        </w:rPr>
        <w:t>在本章第3.3款规定的投标有效期内，招标人以书面形式向中标人发出中标通知书，同时将中标结</w:t>
      </w:r>
    </w:p>
    <w:p>
      <w:pPr>
        <w:pStyle w:val="2"/>
        <w:ind w:left="0"/>
      </w:pPr>
      <w:r>
        <w:rPr>
          <w:rFonts w:hint="eastAsia"/>
        </w:rPr>
        <w:t>果通知未中标的投标人。</w:t>
      </w:r>
    </w:p>
    <w:p>
      <w:pPr>
        <w:pStyle w:val="6"/>
        <w:numPr>
          <w:ilvl w:val="1"/>
          <w:numId w:val="2"/>
        </w:numPr>
      </w:pPr>
      <w:r>
        <w:rPr>
          <w:rFonts w:hint="eastAsia"/>
        </w:rPr>
        <w:t>履约担保</w:t>
      </w:r>
    </w:p>
    <w:p>
      <w:pPr>
        <w:pStyle w:val="2"/>
      </w:pPr>
      <w:r>
        <w:rPr>
          <w:rFonts w:hint="eastAsia"/>
        </w:rPr>
        <w:t>7.3.1 在签订合同前，中标人应按投标人须知前附表规定的金额、担保形式和招标文件第四章“合</w:t>
      </w:r>
    </w:p>
    <w:p>
      <w:pPr>
        <w:pStyle w:val="2"/>
        <w:ind w:left="0"/>
      </w:pPr>
      <w:r>
        <w:rPr>
          <w:rFonts w:hint="eastAsia"/>
        </w:rPr>
        <w:t>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pPr>
        <w:pStyle w:val="2"/>
      </w:pPr>
      <w:r>
        <w:rPr>
          <w:rFonts w:hint="eastAsia"/>
        </w:rPr>
        <w:t>7.3.2 中标人不能按本章第7.3.1项要求提交履约担保的，视为放弃中标，其投标保证金不予退还，</w:t>
      </w:r>
    </w:p>
    <w:p>
      <w:pPr>
        <w:pStyle w:val="2"/>
        <w:ind w:left="0"/>
      </w:pPr>
      <w:r>
        <w:rPr>
          <w:rFonts w:hint="eastAsia"/>
        </w:rPr>
        <w:t>给招标人造成的损失超过投标保证金数额的，中标人还应当对超过部分予以赔偿。</w:t>
      </w:r>
    </w:p>
    <w:p>
      <w:pPr>
        <w:pStyle w:val="6"/>
        <w:numPr>
          <w:ilvl w:val="1"/>
          <w:numId w:val="2"/>
        </w:numPr>
      </w:pPr>
      <w:r>
        <w:rPr>
          <w:rFonts w:hint="eastAsia"/>
        </w:rPr>
        <w:t>签订合同</w:t>
      </w:r>
    </w:p>
    <w:p>
      <w:pPr>
        <w:pStyle w:val="2"/>
      </w:pPr>
      <w:r>
        <w:rPr>
          <w:rFonts w:hint="eastAsia"/>
        </w:rPr>
        <w:t>7.4.1 招标人和中标人应当自中标通知书发出之日起30天内，根据招标文件和中标人的投标文件</w:t>
      </w:r>
    </w:p>
    <w:p>
      <w:pPr>
        <w:pStyle w:val="2"/>
        <w:ind w:left="0"/>
      </w:pPr>
      <w:r>
        <w:rPr>
          <w:rFonts w:hint="eastAsia"/>
        </w:rPr>
        <w:t xml:space="preserve">订立书面合同。中标人无正当理由拒签合同的，招标人取消其中标资格，其投标保证金不予退还；给招标人造成的损失超过投标保证金数额的，中标人还应当对超过部分予以赔偿。 </w:t>
      </w:r>
    </w:p>
    <w:p>
      <w:pPr>
        <w:pStyle w:val="2"/>
      </w:pPr>
      <w:r>
        <w:rPr>
          <w:rFonts w:hint="eastAsia"/>
        </w:rPr>
        <w:t>7.4.2 发出中标通知书后，招标人无正当理由拒签合同的，招标人向中标人退还投标保证金；给中</w:t>
      </w:r>
    </w:p>
    <w:p>
      <w:pPr>
        <w:pStyle w:val="2"/>
        <w:ind w:left="0"/>
      </w:pPr>
      <w:r>
        <w:rPr>
          <w:rFonts w:hint="eastAsia"/>
        </w:rPr>
        <w:t>标人造成损失的，还应当赔偿损失。</w:t>
      </w:r>
    </w:p>
    <w:p>
      <w:pPr>
        <w:pStyle w:val="5"/>
        <w:numPr>
          <w:ilvl w:val="0"/>
          <w:numId w:val="2"/>
        </w:numPr>
      </w:pPr>
      <w:bookmarkStart w:id="15" w:name="_Toc152042347"/>
      <w:bookmarkStart w:id="16" w:name="_Toc144974539"/>
      <w:bookmarkStart w:id="17" w:name="_Toc152045571"/>
      <w:bookmarkStart w:id="18" w:name="_Toc179632589"/>
      <w:r>
        <w:rPr>
          <w:rFonts w:hint="eastAsia"/>
        </w:rPr>
        <w:t>重新招标和不再招标</w:t>
      </w:r>
      <w:bookmarkEnd w:id="15"/>
      <w:bookmarkEnd w:id="16"/>
      <w:bookmarkEnd w:id="17"/>
      <w:bookmarkEnd w:id="18"/>
    </w:p>
    <w:p>
      <w:pPr>
        <w:pStyle w:val="6"/>
        <w:numPr>
          <w:ilvl w:val="1"/>
          <w:numId w:val="2"/>
        </w:numPr>
      </w:pPr>
      <w:bookmarkStart w:id="19" w:name="_Toc152045572"/>
      <w:bookmarkStart w:id="20" w:name="_Toc144974540"/>
      <w:bookmarkStart w:id="21" w:name="_Toc152042348"/>
      <w:bookmarkStart w:id="22" w:name="_Toc179632590"/>
      <w:r>
        <w:rPr>
          <w:rFonts w:hint="eastAsia"/>
        </w:rPr>
        <w:t>重新招标</w:t>
      </w:r>
      <w:bookmarkEnd w:id="19"/>
      <w:bookmarkEnd w:id="20"/>
      <w:bookmarkEnd w:id="21"/>
      <w:bookmarkEnd w:id="22"/>
    </w:p>
    <w:p>
      <w:pPr>
        <w:pStyle w:val="2"/>
      </w:pPr>
      <w:r>
        <w:rPr>
          <w:rFonts w:hint="eastAsia"/>
        </w:rPr>
        <w:t>有下列情形之一的，招标人将重新招标：</w:t>
      </w:r>
    </w:p>
    <w:p>
      <w:pPr>
        <w:pStyle w:val="2"/>
      </w:pPr>
      <w:r>
        <w:rPr>
          <w:rFonts w:hint="eastAsia"/>
        </w:rPr>
        <w:t>（1）投标截止时间止，投标人少于3个的；</w:t>
      </w:r>
    </w:p>
    <w:p>
      <w:pPr>
        <w:pStyle w:val="2"/>
      </w:pPr>
      <w:r>
        <w:rPr>
          <w:rFonts w:hint="eastAsia"/>
        </w:rPr>
        <w:t>（2）经评标委员会评审后否决所有投标的。</w:t>
      </w:r>
    </w:p>
    <w:p>
      <w:pPr>
        <w:pStyle w:val="6"/>
        <w:numPr>
          <w:ilvl w:val="1"/>
          <w:numId w:val="2"/>
        </w:numPr>
      </w:pPr>
      <w:bookmarkStart w:id="23" w:name="_Toc179632591"/>
      <w:bookmarkStart w:id="24" w:name="_Toc152042349"/>
      <w:bookmarkStart w:id="25" w:name="_Toc144974541"/>
      <w:bookmarkStart w:id="26" w:name="_Toc152045573"/>
      <w:r>
        <w:rPr>
          <w:rFonts w:hint="eastAsia"/>
        </w:rPr>
        <w:t>不再招标</w:t>
      </w:r>
      <w:bookmarkEnd w:id="23"/>
      <w:bookmarkEnd w:id="24"/>
      <w:bookmarkEnd w:id="25"/>
      <w:bookmarkEnd w:id="26"/>
    </w:p>
    <w:p>
      <w:pPr>
        <w:pStyle w:val="2"/>
      </w:pPr>
      <w:r>
        <w:rPr>
          <w:rFonts w:hint="eastAsia"/>
        </w:rPr>
        <w:t>重新招标后投标人仍少于3 个或者所有投标被否决的，按国家有关规定需要履行审批、核准手续的</w:t>
      </w:r>
    </w:p>
    <w:p>
      <w:pPr>
        <w:pStyle w:val="2"/>
        <w:ind w:left="0"/>
      </w:pPr>
      <w:r>
        <w:rPr>
          <w:rFonts w:hint="eastAsia"/>
        </w:rPr>
        <w:t>依法必须进行招标的项目，报项目审批、核准部门审批、核准后可以不再进行招标。</w:t>
      </w:r>
    </w:p>
    <w:p>
      <w:pPr>
        <w:pStyle w:val="5"/>
        <w:numPr>
          <w:ilvl w:val="0"/>
          <w:numId w:val="2"/>
        </w:numPr>
      </w:pPr>
      <w:bookmarkStart w:id="27" w:name="_Toc10091"/>
      <w:r>
        <w:rPr>
          <w:rFonts w:hint="eastAsia"/>
        </w:rPr>
        <w:t>纪律和监督</w:t>
      </w:r>
      <w:bookmarkEnd w:id="27"/>
    </w:p>
    <w:p>
      <w:pPr>
        <w:pStyle w:val="6"/>
        <w:numPr>
          <w:ilvl w:val="1"/>
          <w:numId w:val="2"/>
        </w:numPr>
      </w:pPr>
      <w:r>
        <w:rPr>
          <w:rFonts w:hint="eastAsia"/>
        </w:rPr>
        <w:t>对招标人的纪律要求</w:t>
      </w:r>
    </w:p>
    <w:p>
      <w:pPr>
        <w:pStyle w:val="2"/>
      </w:pPr>
      <w:r>
        <w:rPr>
          <w:rFonts w:hint="eastAsia"/>
        </w:rPr>
        <w:t>招标人不得泄漏招标投标活动中应当保密的情况和资料，不得与投标人串通损害国家利益、社会公</w:t>
      </w:r>
    </w:p>
    <w:p>
      <w:pPr>
        <w:pStyle w:val="2"/>
        <w:ind w:left="0"/>
      </w:pPr>
      <w:r>
        <w:rPr>
          <w:rFonts w:hint="eastAsia"/>
        </w:rPr>
        <w:t>共利益或者他人合法权益。</w:t>
      </w:r>
    </w:p>
    <w:p>
      <w:pPr>
        <w:pStyle w:val="6"/>
        <w:numPr>
          <w:ilvl w:val="1"/>
          <w:numId w:val="2"/>
        </w:numPr>
      </w:pPr>
      <w:r>
        <w:rPr>
          <w:rFonts w:hint="eastAsia"/>
        </w:rPr>
        <w:t>对投标人的纪律要求</w:t>
      </w:r>
    </w:p>
    <w:p>
      <w:pPr>
        <w:pStyle w:val="2"/>
      </w:pPr>
      <w:r>
        <w:rPr>
          <w:rFonts w:hint="eastAsia"/>
        </w:rPr>
        <w:t>投标人不得相互串通投标或者与招标人串通投标，不得向招标人或者评标委员会成员行贿谋取中标</w:t>
      </w:r>
    </w:p>
    <w:p>
      <w:pPr>
        <w:pStyle w:val="2"/>
        <w:ind w:left="0"/>
      </w:pPr>
      <w:r>
        <w:rPr>
          <w:rFonts w:hint="eastAsia"/>
        </w:rPr>
        <w:t>不得以他人名义投标或者以其他方式弄虚作假骗取中标；投标人不得以任何方式干扰、影响评标工作。</w:t>
      </w:r>
    </w:p>
    <w:p>
      <w:pPr>
        <w:pStyle w:val="6"/>
        <w:numPr>
          <w:ilvl w:val="1"/>
          <w:numId w:val="2"/>
        </w:numPr>
      </w:pPr>
      <w:r>
        <w:rPr>
          <w:rFonts w:hint="eastAsia"/>
        </w:rPr>
        <w:t>对评标委员会成员的纪律要求</w:t>
      </w:r>
    </w:p>
    <w:p>
      <w:pPr>
        <w:pStyle w:val="2"/>
      </w:pPr>
      <w:r>
        <w:rPr>
          <w:rFonts w:hint="eastAsia"/>
        </w:rPr>
        <w:t>评标委员会成员不得收受他人的财物或者其他好处，不得向他人透露对投标文件的评审和比较、中</w:t>
      </w:r>
    </w:p>
    <w:p>
      <w:pPr>
        <w:pStyle w:val="2"/>
        <w:ind w:left="0"/>
      </w:pPr>
      <w:r>
        <w:rPr>
          <w:rFonts w:hint="eastAsia"/>
        </w:rPr>
        <w:t>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numPr>
          <w:ilvl w:val="1"/>
          <w:numId w:val="2"/>
        </w:numPr>
      </w:pPr>
      <w:r>
        <w:rPr>
          <w:rFonts w:hint="eastAsia"/>
        </w:rPr>
        <w:t>对与评标活动有关的工作人员的纪律要求</w:t>
      </w:r>
    </w:p>
    <w:p>
      <w:pPr>
        <w:pStyle w:val="2"/>
      </w:pPr>
      <w:r>
        <w:rPr>
          <w:rFonts w:hint="eastAsia"/>
        </w:rPr>
        <w:t>与评标活动有关的工作人员不得收受他人的财物或者其他好处，不得向他人透露对投标文件的评审</w:t>
      </w:r>
    </w:p>
    <w:p>
      <w:pPr>
        <w:pStyle w:val="2"/>
        <w:ind w:left="0"/>
      </w:pPr>
      <w:r>
        <w:rPr>
          <w:rFonts w:hint="eastAsia"/>
        </w:rPr>
        <w:t>和比较、中标候选人的推荐情况以及评标有关的其他情况。在评标活动中，与评标活动有关的工作人员不得擅离职守，影响评标程序正常进行。</w:t>
      </w:r>
    </w:p>
    <w:p>
      <w:pPr>
        <w:pStyle w:val="6"/>
        <w:numPr>
          <w:ilvl w:val="1"/>
          <w:numId w:val="2"/>
        </w:numPr>
      </w:pPr>
      <w:r>
        <w:rPr>
          <w:rFonts w:hint="eastAsia"/>
        </w:rPr>
        <w:t>投诉</w:t>
      </w:r>
    </w:p>
    <w:p>
      <w:pPr>
        <w:pStyle w:val="2"/>
      </w:pPr>
      <w:r>
        <w:rPr>
          <w:rFonts w:hint="eastAsia"/>
        </w:rPr>
        <w:t>投标人和其他利害关系人认为本次招标活动违反法律、法规和规章规定的，有权向有关行政监督部</w:t>
      </w:r>
    </w:p>
    <w:p>
      <w:pPr>
        <w:pStyle w:val="2"/>
        <w:ind w:left="0"/>
      </w:pPr>
      <w:r>
        <w:rPr>
          <w:rFonts w:hint="eastAsia"/>
        </w:rPr>
        <w:t>门投诉。</w:t>
      </w:r>
    </w:p>
    <w:p>
      <w:pPr>
        <w:pStyle w:val="5"/>
        <w:numPr>
          <w:ilvl w:val="0"/>
          <w:numId w:val="2"/>
        </w:numPr>
      </w:pPr>
      <w:bookmarkStart w:id="28" w:name="_Toc31106"/>
      <w:r>
        <w:rPr>
          <w:rFonts w:hint="eastAsia"/>
        </w:rPr>
        <w:t>需要补充的其他内容</w:t>
      </w:r>
      <w:bookmarkEnd w:id="28"/>
    </w:p>
    <w:p>
      <w:pPr>
        <w:pStyle w:val="2"/>
      </w:pPr>
      <w:r>
        <w:rPr>
          <w:rFonts w:hint="eastAsia"/>
        </w:rPr>
        <w:t>需要补充的其他内容：见投标人须知前附表。</w:t>
      </w:r>
    </w:p>
    <w:p>
      <w:pPr>
        <w:rPr>
          <w:b/>
          <w:bCs/>
        </w:rPr>
      </w:pPr>
      <w:r>
        <w:rPr>
          <w:rFonts w:hint="eastAsia"/>
          <w:b/>
          <w:bCs/>
        </w:rPr>
        <w:br w:type="page"/>
      </w:r>
    </w:p>
    <w:p>
      <w:pPr>
        <w:pStyle w:val="5"/>
      </w:pPr>
      <w:r>
        <w:rPr>
          <w:rFonts w:hint="eastAsia"/>
        </w:rPr>
        <w:t>附表一：串通投标行为认定表</w:t>
      </w:r>
    </w:p>
    <w:p>
      <w:pPr>
        <w:pStyle w:val="2"/>
        <w:ind w:left="0"/>
        <w:jc w:val="center"/>
        <w:rPr>
          <w:b/>
          <w:bCs/>
          <w:sz w:val="30"/>
          <w:szCs w:val="30"/>
        </w:rPr>
      </w:pPr>
      <w:r>
        <w:rPr>
          <w:rFonts w:hint="eastAsia"/>
          <w:b/>
          <w:bCs/>
          <w:sz w:val="30"/>
          <w:szCs w:val="30"/>
        </w:rPr>
        <w:t>串通投标行为认定表</w:t>
      </w:r>
    </w:p>
    <w:p>
      <w:pPr>
        <w:pStyle w:val="2"/>
      </w:pPr>
    </w:p>
    <w:p>
      <w:pPr>
        <w:pStyle w:val="2"/>
      </w:pPr>
      <w:r>
        <w:rPr>
          <w:rFonts w:hint="eastAsia"/>
        </w:rPr>
        <w:t>在评标过程中，是否发现有投标人存在以下情形：</w:t>
      </w:r>
    </w:p>
    <w:p>
      <w:pPr>
        <w:pStyle w:val="2"/>
        <w:numPr>
          <w:ilvl w:val="0"/>
          <w:numId w:val="3"/>
        </w:numPr>
      </w:pPr>
      <w:r>
        <w:rPr>
          <w:rFonts w:hint="eastAsia"/>
        </w:rPr>
        <w:t>不同投标人的投标文件内容存在非正常一致；</w:t>
      </w:r>
    </w:p>
    <w:p>
      <w:pPr>
        <w:pStyle w:val="2"/>
        <w:numPr>
          <w:ilvl w:val="0"/>
          <w:numId w:val="3"/>
        </w:numPr>
      </w:pPr>
      <w:r>
        <w:rPr>
          <w:rFonts w:hint="eastAsia"/>
        </w:rPr>
        <w:t>不同投标人的投标文件错漏之处一致；</w:t>
      </w:r>
    </w:p>
    <w:p>
      <w:pPr>
        <w:pStyle w:val="2"/>
        <w:numPr>
          <w:ilvl w:val="0"/>
          <w:numId w:val="3"/>
        </w:numPr>
      </w:pPr>
      <w:r>
        <w:rPr>
          <w:rFonts w:hint="eastAsia"/>
        </w:rPr>
        <w:t>不同投标人的投标文件异常一致或者投标报价呈规律性差异；</w:t>
      </w:r>
    </w:p>
    <w:p>
      <w:pPr>
        <w:pStyle w:val="2"/>
        <w:numPr>
          <w:ilvl w:val="0"/>
          <w:numId w:val="3"/>
        </w:numPr>
      </w:pPr>
      <w:r>
        <w:rPr>
          <w:rFonts w:hint="eastAsia"/>
        </w:rPr>
        <w:t>不同投标人的投标文件由同一单位或者同一个人编制；</w:t>
      </w:r>
    </w:p>
    <w:p>
      <w:pPr>
        <w:pStyle w:val="2"/>
        <w:numPr>
          <w:ilvl w:val="0"/>
          <w:numId w:val="3"/>
        </w:numPr>
      </w:pPr>
      <w:r>
        <w:rPr>
          <w:rFonts w:hint="eastAsia"/>
        </w:rPr>
        <w:t>不同投标人的投标文件载明的项目管理班子成员出现同一人；</w:t>
      </w:r>
    </w:p>
    <w:p>
      <w:pPr>
        <w:pStyle w:val="2"/>
        <w:numPr>
          <w:ilvl w:val="0"/>
          <w:numId w:val="3"/>
        </w:numPr>
      </w:pPr>
      <w:r>
        <w:rPr>
          <w:rFonts w:hint="eastAsia"/>
        </w:rPr>
        <w:t>不同投标人的投标文件相互混装；</w:t>
      </w:r>
    </w:p>
    <w:p>
      <w:pPr>
        <w:pStyle w:val="2"/>
        <w:numPr>
          <w:ilvl w:val="0"/>
          <w:numId w:val="3"/>
        </w:numPr>
      </w:pPr>
      <w:r>
        <w:rPr>
          <w:rFonts w:hint="eastAsia"/>
        </w:rPr>
        <w:t>不同投标人的投标文件由同一台电脑编制(即机器码相同)；</w:t>
      </w:r>
    </w:p>
    <w:p>
      <w:pPr>
        <w:pStyle w:val="2"/>
        <w:numPr>
          <w:ilvl w:val="0"/>
          <w:numId w:val="3"/>
        </w:numPr>
      </w:pPr>
      <w:r>
        <w:rPr>
          <w:rFonts w:hint="eastAsia"/>
        </w:rPr>
        <w:t>不同投标人委托同一单位或者个人办理投标事宜；</w:t>
      </w:r>
    </w:p>
    <w:p>
      <w:pPr>
        <w:pStyle w:val="2"/>
        <w:numPr>
          <w:ilvl w:val="0"/>
          <w:numId w:val="3"/>
        </w:numPr>
      </w:pPr>
      <w:r>
        <w:rPr>
          <w:rFonts w:hint="eastAsia"/>
        </w:rPr>
        <w:t>不同投标人的投标保证金从同一单位或者个人的账户转出；</w:t>
      </w:r>
    </w:p>
    <w:p>
      <w:pPr>
        <w:pStyle w:val="2"/>
        <w:numPr>
          <w:ilvl w:val="3"/>
          <w:numId w:val="0"/>
        </w:numPr>
        <w:ind w:left="440" w:leftChars="200"/>
      </w:pPr>
      <w:r>
        <w:rPr>
          <w:rFonts w:hint="eastAsia"/>
        </w:rPr>
        <w:t>10. 不同投标人聘请同一人为其投标提供技术或者经济咨询服务，但招投标项目本身要求采用专有技术的除外；</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shd w:val="clear" w:color="auto" w:fill="auto"/>
          </w:tcPr>
          <w:p>
            <w:pPr>
              <w:pStyle w:val="2"/>
              <w:ind w:left="0"/>
              <w:jc w:val="center"/>
            </w:pPr>
            <w:r>
              <w:rPr>
                <w:rFonts w:hint="eastAsia"/>
              </w:rPr>
              <w:t>有</w:t>
            </w:r>
          </w:p>
        </w:tc>
        <w:tc>
          <w:tcPr>
            <w:tcW w:w="4261" w:type="dxa"/>
            <w:shd w:val="clear" w:color="auto" w:fill="auto"/>
          </w:tcPr>
          <w:p>
            <w:pPr>
              <w:pStyle w:val="2"/>
              <w:ind w:left="0"/>
              <w:jc w:val="center"/>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shd w:val="clear" w:color="auto" w:fill="auto"/>
          </w:tcPr>
          <w:p>
            <w:pPr>
              <w:spacing w:line="400" w:lineRule="exact"/>
              <w:rPr>
                <w:rFonts w:asciiTheme="minorEastAsia" w:hAnsiTheme="minorEastAsia"/>
                <w:sz w:val="28"/>
                <w:szCs w:val="28"/>
              </w:rPr>
            </w:pPr>
          </w:p>
        </w:tc>
        <w:tc>
          <w:tcPr>
            <w:tcW w:w="4261" w:type="dxa"/>
            <w:shd w:val="clear" w:color="auto" w:fill="auto"/>
          </w:tcPr>
          <w:p>
            <w:pPr>
              <w:spacing w:line="400" w:lineRule="exact"/>
              <w:rPr>
                <w:rFonts w:asciiTheme="minorEastAsia" w:hAnsiTheme="minorEastAsia"/>
                <w:sz w:val="28"/>
                <w:szCs w:val="28"/>
              </w:rPr>
            </w:pPr>
          </w:p>
        </w:tc>
      </w:tr>
    </w:tbl>
    <w:p>
      <w:pPr>
        <w:pStyle w:val="2"/>
      </w:pPr>
    </w:p>
    <w:p>
      <w:pPr>
        <w:pStyle w:val="2"/>
        <w:rPr>
          <w:rFonts w:asciiTheme="minorEastAsia" w:hAnsiTheme="minorEastAsia" w:eastAsiaTheme="minorEastAsia"/>
        </w:rPr>
      </w:pPr>
      <w:r>
        <w:rPr>
          <w:rFonts w:hint="eastAsia" w:asciiTheme="minorEastAsia" w:hAnsiTheme="minorEastAsia" w:eastAsiaTheme="minorEastAsia"/>
        </w:rPr>
        <w:t>评标专家签字：</w:t>
      </w:r>
    </w:p>
    <w:p>
      <w:pPr>
        <w:pStyle w:val="2"/>
        <w:rPr>
          <w:rFonts w:asciiTheme="minorEastAsia" w:hAnsiTheme="minorEastAsia" w:eastAsiaTheme="minorEastAsia"/>
        </w:rPr>
      </w:pPr>
    </w:p>
    <w:p>
      <w:pPr>
        <w:pStyle w:val="2"/>
        <w:rPr>
          <w:rFonts w:asciiTheme="minorEastAsia" w:hAnsiTheme="minorEastAsia" w:eastAsiaTheme="minorEastAsia"/>
        </w:rPr>
      </w:pPr>
      <w:r>
        <w:rPr>
          <w:rFonts w:hint="eastAsia" w:asciiTheme="minorEastAsia" w:hAnsiTheme="minorEastAsia" w:eastAsiaTheme="minorEastAsia"/>
        </w:rPr>
        <w:t>说明：本认定书为评标报告组成部分，请评标委员会根据投标文件如实在 “无”或“有”处打“√”，并签字确认，作为评标报告一部分。如“有”请填写附表二说明具体情况并附在评标报告中，如“无”则无需填写附表二。有以上情形之一的，应认定为串通投标。若评标委员会发现投标人在投标过程中有串标、围标行为的，应及时以书面形式向行政监管部门报告。</w:t>
      </w:r>
    </w:p>
    <w:p>
      <w:pPr>
        <w:rPr>
          <w:rFonts w:asciiTheme="minorEastAsia" w:hAnsiTheme="minorEastAsia" w:eastAsiaTheme="minorEastAsia"/>
        </w:rPr>
      </w:pPr>
      <w:r>
        <w:rPr>
          <w:rFonts w:hint="eastAsia" w:asciiTheme="minorEastAsia" w:hAnsiTheme="minorEastAsia" w:eastAsiaTheme="minorEastAsia"/>
        </w:rPr>
        <w:br w:type="page"/>
      </w:r>
    </w:p>
    <w:p>
      <w:pPr>
        <w:pStyle w:val="5"/>
      </w:pPr>
      <w:r>
        <w:rPr>
          <w:rFonts w:hint="eastAsia"/>
        </w:rPr>
        <w:t>附表二：串通投标行为认定表</w:t>
      </w:r>
    </w:p>
    <w:p>
      <w:pPr>
        <w:pStyle w:val="2"/>
        <w:ind w:left="0"/>
        <w:jc w:val="center"/>
        <w:rPr>
          <w:b/>
          <w:bCs/>
          <w:sz w:val="30"/>
          <w:szCs w:val="30"/>
        </w:rPr>
      </w:pPr>
      <w:r>
        <w:rPr>
          <w:rFonts w:hint="eastAsia"/>
          <w:b/>
          <w:bCs/>
          <w:sz w:val="30"/>
          <w:szCs w:val="30"/>
        </w:rPr>
        <w:t>串通投标行为认定表</w:t>
      </w:r>
    </w:p>
    <w:p>
      <w:pPr>
        <w:pStyle w:val="2"/>
        <w:ind w:left="0"/>
        <w:jc w:val="center"/>
        <w:rPr>
          <w:rFonts w:asciiTheme="minorEastAsia" w:hAnsiTheme="minorEastAsia" w:eastAsiaTheme="minorEastAsia"/>
          <w:b/>
          <w:bCs/>
        </w:rPr>
      </w:pPr>
    </w:p>
    <w:tbl>
      <w:tblPr>
        <w:tblStyle w:val="16"/>
        <w:tblW w:w="9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1"/>
        <w:gridCol w:w="7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jc w:val="center"/>
        </w:trPr>
        <w:tc>
          <w:tcPr>
            <w:tcW w:w="2351" w:type="dxa"/>
            <w:shd w:val="clear" w:color="auto" w:fill="auto"/>
            <w:vAlign w:val="center"/>
          </w:tcPr>
          <w:p>
            <w:pPr>
              <w:pStyle w:val="2"/>
              <w:ind w:left="0"/>
              <w:jc w:val="center"/>
            </w:pPr>
            <w:r>
              <w:rPr>
                <w:rFonts w:hint="eastAsia"/>
              </w:rPr>
              <w:t>标段名称</w:t>
            </w:r>
          </w:p>
        </w:tc>
        <w:tc>
          <w:tcPr>
            <w:tcW w:w="7554"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jc w:val="center"/>
        </w:trPr>
        <w:tc>
          <w:tcPr>
            <w:tcW w:w="2351" w:type="dxa"/>
            <w:shd w:val="clear" w:color="auto" w:fill="auto"/>
            <w:vAlign w:val="center"/>
          </w:tcPr>
          <w:p>
            <w:pPr>
              <w:pStyle w:val="2"/>
              <w:ind w:left="0"/>
              <w:jc w:val="center"/>
            </w:pPr>
            <w:r>
              <w:rPr>
                <w:rFonts w:hint="eastAsia"/>
              </w:rPr>
              <w:t>投标人名称</w:t>
            </w:r>
          </w:p>
        </w:tc>
        <w:tc>
          <w:tcPr>
            <w:tcW w:w="7554"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4" w:hRule="atLeast"/>
          <w:jc w:val="center"/>
        </w:trPr>
        <w:tc>
          <w:tcPr>
            <w:tcW w:w="2351" w:type="dxa"/>
            <w:shd w:val="clear" w:color="auto" w:fill="auto"/>
            <w:vAlign w:val="center"/>
          </w:tcPr>
          <w:p>
            <w:pPr>
              <w:pStyle w:val="2"/>
              <w:ind w:left="0"/>
              <w:jc w:val="center"/>
            </w:pPr>
            <w:r>
              <w:rPr>
                <w:rFonts w:hint="eastAsia"/>
              </w:rPr>
              <w:t>对串通投标行为的具体描述</w:t>
            </w:r>
          </w:p>
        </w:tc>
        <w:tc>
          <w:tcPr>
            <w:tcW w:w="7554" w:type="dxa"/>
            <w:shd w:val="clear" w:color="auto" w:fill="auto"/>
            <w:vAlign w:val="center"/>
          </w:tcPr>
          <w:p>
            <w:pPr>
              <w:jc w:val="center"/>
              <w:rPr>
                <w:rFonts w:asciiTheme="minorEastAsia" w:hAnsiTheme="minorEastAsia"/>
                <w:szCs w:val="21"/>
              </w:rPr>
            </w:pPr>
          </w:p>
        </w:tc>
      </w:tr>
    </w:tbl>
    <w:p>
      <w:pPr>
        <w:rPr>
          <w:rFonts w:asciiTheme="minorEastAsia" w:hAnsiTheme="minorEastAsia" w:eastAsiaTheme="minorEastAsia"/>
          <w:b/>
          <w:bCs/>
        </w:rPr>
      </w:pPr>
    </w:p>
    <w:p>
      <w:pPr>
        <w:pStyle w:val="2"/>
        <w:ind w:left="0"/>
        <w:jc w:val="both"/>
        <w:rPr>
          <w:rFonts w:asciiTheme="minorEastAsia" w:hAnsiTheme="minorEastAsia" w:eastAsiaTheme="minorEastAsia"/>
          <w:b/>
          <w:bCs/>
        </w:rPr>
      </w:pPr>
    </w:p>
    <w:p>
      <w:pPr>
        <w:pStyle w:val="2"/>
        <w:ind w:left="0"/>
        <w:jc w:val="both"/>
        <w:rPr>
          <w:rFonts w:asciiTheme="minorEastAsia" w:hAnsiTheme="minorEastAsia" w:eastAsiaTheme="minorEastAsia"/>
          <w:b/>
          <w:bCs/>
        </w:rPr>
      </w:pPr>
    </w:p>
    <w:p>
      <w:pPr>
        <w:pStyle w:val="2"/>
        <w:ind w:left="440" w:leftChars="200"/>
        <w:jc w:val="both"/>
        <w:rPr>
          <w:rFonts w:asciiTheme="minorEastAsia" w:hAnsiTheme="minorEastAsia" w:eastAsiaTheme="minorEastAsia"/>
        </w:rPr>
      </w:pPr>
      <w:r>
        <w:rPr>
          <w:rFonts w:hint="eastAsia" w:asciiTheme="minorEastAsia" w:hAnsiTheme="minorEastAsia" w:eastAsiaTheme="minorEastAsia"/>
        </w:rPr>
        <w:t>评标专家签字：</w:t>
      </w:r>
    </w:p>
    <w:p>
      <w:pPr>
        <w:rPr>
          <w:rFonts w:asciiTheme="minorEastAsia" w:hAnsiTheme="minorEastAsia" w:eastAsiaTheme="minorEastAsia"/>
        </w:rPr>
      </w:pPr>
      <w:r>
        <w:rPr>
          <w:rFonts w:hint="eastAsia" w:asciiTheme="minorEastAsia" w:hAnsiTheme="minorEastAsia" w:eastAsiaTheme="minorEastAsia"/>
        </w:rPr>
        <w:br w:type="page"/>
      </w:r>
    </w:p>
    <w:p>
      <w:pPr>
        <w:pStyle w:val="5"/>
      </w:pPr>
      <w:r>
        <w:rPr>
          <w:rFonts w:hint="eastAsia"/>
        </w:rPr>
        <w:t>附表三：否决投标通知书</w:t>
      </w:r>
    </w:p>
    <w:p>
      <w:pPr>
        <w:pStyle w:val="2"/>
        <w:ind w:left="0"/>
        <w:jc w:val="center"/>
        <w:rPr>
          <w:b/>
          <w:bCs/>
          <w:sz w:val="30"/>
          <w:szCs w:val="30"/>
        </w:rPr>
      </w:pPr>
      <w:r>
        <w:rPr>
          <w:rFonts w:hint="eastAsia"/>
          <w:b/>
          <w:bCs/>
          <w:sz w:val="30"/>
          <w:szCs w:val="30"/>
        </w:rPr>
        <w:t>否决投标通知书</w:t>
      </w:r>
    </w:p>
    <w:p>
      <w:pPr>
        <w:pStyle w:val="2"/>
        <w:ind w:left="0"/>
        <w:jc w:val="center"/>
        <w:rPr>
          <w:b/>
          <w:bCs/>
        </w:rPr>
      </w:pPr>
    </w:p>
    <w:p>
      <w:pPr>
        <w:pStyle w:val="2"/>
        <w:ind w:left="0"/>
        <w:jc w:val="both"/>
      </w:pPr>
      <w:r>
        <w:rPr>
          <w:rFonts w:hint="eastAsia"/>
        </w:rPr>
        <w:t>标段名称：</w:t>
      </w:r>
    </w:p>
    <w:tbl>
      <w:tblPr>
        <w:tblStyle w:val="16"/>
        <w:tblW w:w="9858" w:type="dxa"/>
        <w:jc w:val="center"/>
        <w:tblLayout w:type="fixed"/>
        <w:tblCellMar>
          <w:top w:w="0" w:type="dxa"/>
          <w:left w:w="108" w:type="dxa"/>
          <w:bottom w:w="0" w:type="dxa"/>
          <w:right w:w="108" w:type="dxa"/>
        </w:tblCellMar>
      </w:tblPr>
      <w:tblGrid>
        <w:gridCol w:w="2012"/>
        <w:gridCol w:w="7846"/>
      </w:tblGrid>
      <w:tr>
        <w:tblPrEx>
          <w:tblCellMar>
            <w:top w:w="0" w:type="dxa"/>
            <w:left w:w="108" w:type="dxa"/>
            <w:bottom w:w="0" w:type="dxa"/>
            <w:right w:w="108" w:type="dxa"/>
          </w:tblCellMar>
        </w:tblPrEx>
        <w:trPr>
          <w:trHeight w:val="529" w:hRule="atLeast"/>
          <w:jc w:val="center"/>
        </w:trPr>
        <w:tc>
          <w:tcPr>
            <w:tcW w:w="9858"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pStyle w:val="2"/>
              <w:ind w:left="0"/>
            </w:pPr>
            <w:r>
              <w:rPr>
                <w:rFonts w:hint="eastAsia"/>
              </w:rPr>
              <w:t>投标人：</w:t>
            </w:r>
          </w:p>
        </w:tc>
      </w:tr>
      <w:tr>
        <w:tblPrEx>
          <w:tblCellMar>
            <w:top w:w="0" w:type="dxa"/>
            <w:left w:w="108" w:type="dxa"/>
            <w:bottom w:w="0" w:type="dxa"/>
            <w:right w:w="108" w:type="dxa"/>
          </w:tblCellMar>
        </w:tblPrEx>
        <w:trPr>
          <w:trHeight w:val="5007" w:hRule="atLeast"/>
          <w:jc w:val="center"/>
        </w:trPr>
        <w:tc>
          <w:tcPr>
            <w:tcW w:w="2012" w:type="dxa"/>
            <w:tcBorders>
              <w:top w:val="single" w:color="auto" w:sz="4" w:space="0"/>
              <w:left w:val="single" w:color="auto" w:sz="4" w:space="0"/>
              <w:bottom w:val="single" w:color="000000" w:sz="4" w:space="0"/>
              <w:right w:val="single" w:color="auto" w:sz="4" w:space="0"/>
            </w:tcBorders>
            <w:shd w:val="clear" w:color="auto" w:fill="auto"/>
            <w:noWrap/>
            <w:textDirection w:val="tbRlV"/>
            <w:vAlign w:val="center"/>
          </w:tcPr>
          <w:p>
            <w:pPr>
              <w:pStyle w:val="2"/>
              <w:ind w:left="0"/>
              <w:jc w:val="center"/>
            </w:pPr>
            <w:r>
              <w:rPr>
                <w:rFonts w:hint="eastAsia"/>
              </w:rPr>
              <w:t>否决原因</w:t>
            </w:r>
          </w:p>
        </w:tc>
        <w:tc>
          <w:tcPr>
            <w:tcW w:w="7846" w:type="dxa"/>
            <w:tcBorders>
              <w:top w:val="single" w:color="auto" w:sz="4" w:space="0"/>
              <w:left w:val="nil"/>
              <w:right w:val="single" w:color="auto" w:sz="4" w:space="0"/>
            </w:tcBorders>
            <w:shd w:val="clear" w:color="auto" w:fill="auto"/>
            <w:noWrap/>
            <w:vAlign w:val="bottom"/>
          </w:tcPr>
          <w:p>
            <w:pPr>
              <w:pStyle w:val="2"/>
              <w:ind w:left="0"/>
              <w:jc w:val="center"/>
            </w:pPr>
          </w:p>
        </w:tc>
      </w:tr>
      <w:tr>
        <w:tblPrEx>
          <w:tblCellMar>
            <w:top w:w="0" w:type="dxa"/>
            <w:left w:w="108" w:type="dxa"/>
            <w:bottom w:w="0" w:type="dxa"/>
            <w:right w:w="108" w:type="dxa"/>
          </w:tblCellMar>
        </w:tblPrEx>
        <w:trPr>
          <w:trHeight w:val="1123" w:hRule="atLeast"/>
          <w:jc w:val="center"/>
        </w:trPr>
        <w:tc>
          <w:tcPr>
            <w:tcW w:w="2012"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2"/>
              <w:ind w:left="0"/>
              <w:jc w:val="center"/>
            </w:pPr>
            <w:r>
              <w:rPr>
                <w:rFonts w:hint="eastAsia"/>
              </w:rPr>
              <w:t>评标专家签字：</w:t>
            </w:r>
          </w:p>
        </w:tc>
        <w:tc>
          <w:tcPr>
            <w:tcW w:w="784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ind w:left="0"/>
              <w:jc w:val="center"/>
            </w:pPr>
          </w:p>
        </w:tc>
      </w:tr>
    </w:tbl>
    <w:p>
      <w:r>
        <w:rPr>
          <w:rFonts w:hint="eastAsia"/>
        </w:rPr>
        <w:br w:type="page"/>
      </w:r>
    </w:p>
    <w:p>
      <w:pPr>
        <w:pStyle w:val="5"/>
      </w:pPr>
      <w:r>
        <w:rPr>
          <w:rFonts w:hint="eastAsia"/>
        </w:rPr>
        <w:t>附件四：中标通知书</w:t>
      </w:r>
    </w:p>
    <w:p>
      <w:pPr>
        <w:pStyle w:val="2"/>
        <w:ind w:left="0"/>
        <w:jc w:val="center"/>
        <w:rPr>
          <w:b/>
          <w:bCs/>
          <w:sz w:val="30"/>
          <w:szCs w:val="30"/>
        </w:rPr>
      </w:pPr>
      <w:r>
        <w:rPr>
          <w:rFonts w:hint="eastAsia"/>
          <w:b/>
          <w:bCs/>
          <w:sz w:val="30"/>
          <w:szCs w:val="30"/>
        </w:rPr>
        <w:t>中标通知书</w:t>
      </w:r>
    </w:p>
    <w:p>
      <w:pPr>
        <w:pStyle w:val="2"/>
        <w:ind w:left="0"/>
        <w:jc w:val="center"/>
        <w:rPr>
          <w:b/>
          <w:bCs/>
        </w:rPr>
      </w:pPr>
    </w:p>
    <w:p>
      <w:pPr>
        <w:spacing w:before="12"/>
        <w:rPr>
          <w:rFonts w:cs="宋体" w:asciiTheme="minorEastAsia" w:hAnsiTheme="minorEastAsia"/>
          <w:sz w:val="41"/>
          <w:szCs w:val="41"/>
        </w:rPr>
      </w:pPr>
    </w:p>
    <w:p>
      <w:pPr>
        <w:spacing w:line="440" w:lineRule="exact"/>
        <w:rPr>
          <w:szCs w:val="21"/>
        </w:rPr>
      </w:pPr>
      <w:r>
        <w:rPr>
          <w:szCs w:val="21"/>
          <w:u w:val="single"/>
        </w:rPr>
        <w:t xml:space="preserve">                   </w:t>
      </w:r>
      <w:r>
        <w:rPr>
          <w:szCs w:val="21"/>
        </w:rPr>
        <w:t>（中标人名称）：</w:t>
      </w:r>
    </w:p>
    <w:p>
      <w:pPr>
        <w:spacing w:line="440" w:lineRule="exact"/>
        <w:rPr>
          <w:szCs w:val="21"/>
        </w:rPr>
      </w:pPr>
    </w:p>
    <w:p>
      <w:pPr>
        <w:pStyle w:val="2"/>
      </w:pPr>
      <w:r>
        <w:t>你方于</w:t>
      </w:r>
      <w:r>
        <w:rPr>
          <w:u w:val="single"/>
        </w:rPr>
        <w:t xml:space="preserve">      </w:t>
      </w:r>
      <w:r>
        <w:rPr>
          <w:rFonts w:hint="eastAsia"/>
          <w:u w:val="single"/>
        </w:rPr>
        <w:t xml:space="preserve">   </w:t>
      </w:r>
      <w:r>
        <w:rPr>
          <w:u w:val="single"/>
        </w:rPr>
        <w:t xml:space="preserve">   </w:t>
      </w:r>
      <w:r>
        <w:t>（投标日期）所递交的</w:t>
      </w:r>
      <w:r>
        <w:rPr>
          <w:u w:val="single"/>
        </w:rPr>
        <w:t xml:space="preserve">    </w:t>
      </w:r>
      <w:r>
        <w:rPr>
          <w:rFonts w:hint="eastAsia"/>
          <w:u w:val="single"/>
        </w:rPr>
        <w:t xml:space="preserve">         </w:t>
      </w:r>
      <w:r>
        <w:rPr>
          <w:u w:val="single"/>
        </w:rPr>
        <w:t xml:space="preserve">     </w:t>
      </w:r>
      <w:r>
        <w:t>（项目名称）</w:t>
      </w:r>
      <w:r>
        <w:rPr>
          <w:rFonts w:hint="eastAsia"/>
        </w:rPr>
        <w:t>采购</w:t>
      </w:r>
      <w:r>
        <w:rPr>
          <w:u w:val="single"/>
        </w:rPr>
        <w:t xml:space="preserve">       </w:t>
      </w:r>
      <w:r>
        <w:rPr>
          <w:rFonts w:hint="eastAsia"/>
        </w:rPr>
        <w:t>标段投</w:t>
      </w:r>
    </w:p>
    <w:p>
      <w:pPr>
        <w:pStyle w:val="2"/>
        <w:ind w:left="0"/>
      </w:pPr>
      <w:r>
        <w:rPr>
          <w:rFonts w:hint="eastAsia"/>
        </w:rPr>
        <w:t>标</w:t>
      </w:r>
      <w:r>
        <w:t>文件已被我方接受，被确定为中标人。</w:t>
      </w:r>
    </w:p>
    <w:p>
      <w:pPr>
        <w:pStyle w:val="2"/>
      </w:pPr>
      <w:r>
        <w:t>中标价：</w:t>
      </w:r>
      <w:r>
        <w:rPr>
          <w:u w:val="single"/>
        </w:rPr>
        <w:t xml:space="preserve">                   </w:t>
      </w:r>
      <w:r>
        <w:t>元。</w:t>
      </w:r>
    </w:p>
    <w:p>
      <w:pPr>
        <w:pStyle w:val="2"/>
      </w:pPr>
      <w:r>
        <w:rPr>
          <w:rFonts w:hint="eastAsia"/>
        </w:rPr>
        <w:t>供货期</w:t>
      </w:r>
      <w:r>
        <w:t>：</w:t>
      </w:r>
      <w:r>
        <w:rPr>
          <w:u w:val="single"/>
        </w:rPr>
        <w:t xml:space="preserve">      </w:t>
      </w:r>
      <w:r>
        <w:t>日历天。</w:t>
      </w:r>
    </w:p>
    <w:p>
      <w:pPr>
        <w:pStyle w:val="2"/>
      </w:pPr>
      <w:r>
        <w:rPr>
          <w:rFonts w:hint="eastAsia"/>
        </w:rPr>
        <w:t>交货地点：</w:t>
      </w:r>
      <w:r>
        <w:rPr>
          <w:rFonts w:hint="eastAsia"/>
          <w:u w:val="single"/>
        </w:rPr>
        <w:t xml:space="preserve">                         </w:t>
      </w:r>
      <w:r>
        <w:rPr>
          <w:rFonts w:hint="eastAsia"/>
        </w:rPr>
        <w:t xml:space="preserve">                    </w:t>
      </w:r>
    </w:p>
    <w:p>
      <w:pPr>
        <w:pStyle w:val="2"/>
      </w:pPr>
      <w:r>
        <w:t>请你方在本通知书后的</w:t>
      </w:r>
      <w:r>
        <w:rPr>
          <w:u w:val="single"/>
        </w:rPr>
        <w:t xml:space="preserve">     </w:t>
      </w:r>
      <w:r>
        <w:t>日内</w:t>
      </w:r>
      <w:r>
        <w:rPr>
          <w:rFonts w:hint="eastAsia"/>
        </w:rPr>
        <w:t>，根据招标文件要求与我方</w:t>
      </w:r>
      <w:r>
        <w:t>签订</w:t>
      </w:r>
      <w:r>
        <w:rPr>
          <w:rFonts w:hint="eastAsia"/>
        </w:rPr>
        <w:t>采购</w:t>
      </w:r>
      <w:r>
        <w:t>合同，在此之前按招标文件</w:t>
      </w:r>
    </w:p>
    <w:p>
      <w:pPr>
        <w:pStyle w:val="2"/>
        <w:ind w:left="0"/>
      </w:pPr>
      <w:r>
        <w:t>规定向我方提交履约担保。</w:t>
      </w:r>
    </w:p>
    <w:p>
      <w:pPr>
        <w:pStyle w:val="2"/>
      </w:pPr>
      <w:r>
        <w:t>特此通知。</w:t>
      </w:r>
    </w:p>
    <w:p>
      <w:pPr>
        <w:ind w:firstLine="440" w:firstLineChars="200"/>
        <w:rPr>
          <w:rFonts w:asciiTheme="minorEastAsia" w:hAnsiTheme="minorEastAsia"/>
          <w:szCs w:val="21"/>
        </w:rPr>
      </w:pPr>
    </w:p>
    <w:p>
      <w:pPr>
        <w:rPr>
          <w:rFonts w:asciiTheme="minorEastAsia" w:hAnsiTheme="minorEastAsia"/>
          <w:sz w:val="24"/>
        </w:rPr>
      </w:pPr>
    </w:p>
    <w:p>
      <w:pPr>
        <w:rPr>
          <w:rFonts w:asciiTheme="minorEastAsia" w:hAnsiTheme="minorEastAsia"/>
          <w:sz w:val="24"/>
        </w:rPr>
      </w:pPr>
    </w:p>
    <w:p>
      <w:pPr>
        <w:ind w:firstLine="3700" w:firstLineChars="1542"/>
        <w:jc w:val="right"/>
        <w:rPr>
          <w:rFonts w:asciiTheme="minorEastAsia" w:hAnsiTheme="minorEastAsia"/>
          <w:sz w:val="24"/>
        </w:rPr>
      </w:pPr>
      <w:r>
        <w:rPr>
          <w:rFonts w:asciiTheme="minorEastAsia" w:hAnsiTheme="minorEastAsia"/>
          <w:sz w:val="24"/>
        </w:rPr>
        <w:t>招标人：</w:t>
      </w:r>
      <w:r>
        <w:rPr>
          <w:rFonts w:asciiTheme="minorEastAsia" w:hAnsiTheme="minorEastAsia"/>
          <w:sz w:val="24"/>
          <w:u w:val="single"/>
        </w:rPr>
        <w:t xml:space="preserve">              </w:t>
      </w:r>
      <w:r>
        <w:rPr>
          <w:rFonts w:asciiTheme="minorEastAsia" w:hAnsiTheme="minorEastAsia"/>
          <w:sz w:val="24"/>
        </w:rPr>
        <w:t>（盖单位章）</w:t>
      </w:r>
    </w:p>
    <w:p>
      <w:pPr>
        <w:ind w:firstLine="3700" w:firstLineChars="1542"/>
        <w:jc w:val="right"/>
        <w:rPr>
          <w:rFonts w:asciiTheme="minorEastAsia" w:hAnsiTheme="minorEastAsia"/>
          <w:sz w:val="24"/>
        </w:rPr>
      </w:pPr>
      <w:r>
        <w:rPr>
          <w:rFonts w:asciiTheme="minorEastAsia" w:hAnsiTheme="minorEastAsia"/>
          <w:sz w:val="24"/>
        </w:rPr>
        <w:t>法定代表人：</w:t>
      </w:r>
      <w:r>
        <w:rPr>
          <w:rFonts w:asciiTheme="minorEastAsia" w:hAnsiTheme="minorEastAsia"/>
          <w:sz w:val="24"/>
          <w:u w:val="single"/>
        </w:rPr>
        <w:t xml:space="preserve">            </w:t>
      </w:r>
      <w:r>
        <w:rPr>
          <w:rFonts w:asciiTheme="minorEastAsia" w:hAnsiTheme="minorEastAsia"/>
          <w:sz w:val="24"/>
        </w:rPr>
        <w:t>（签字</w:t>
      </w:r>
      <w:r>
        <w:rPr>
          <w:rFonts w:hint="eastAsia" w:asciiTheme="minorEastAsia" w:hAnsiTheme="minorEastAsia"/>
          <w:sz w:val="24"/>
        </w:rPr>
        <w:t>或盖章</w:t>
      </w:r>
      <w:r>
        <w:rPr>
          <w:rFonts w:asciiTheme="minorEastAsia" w:hAnsiTheme="minorEastAsia"/>
          <w:sz w:val="24"/>
        </w:rPr>
        <w:t>）</w:t>
      </w:r>
    </w:p>
    <w:p>
      <w:pPr>
        <w:jc w:val="right"/>
        <w:rPr>
          <w:rFonts w:asciiTheme="minorEastAsia" w:hAnsiTheme="minorEastAsia"/>
        </w:rPr>
        <w:sectPr>
          <w:pgSz w:w="12240" w:h="15840"/>
          <w:pgMar w:top="1134" w:right="1134" w:bottom="1134" w:left="1134" w:header="0" w:footer="921" w:gutter="0"/>
          <w:cols w:space="720" w:num="1"/>
        </w:sectPr>
      </w:pPr>
      <w:r>
        <w:rPr>
          <w:rFonts w:asciiTheme="minorEastAsia" w:hAnsiTheme="minorEastAsia"/>
          <w:sz w:val="24"/>
        </w:rPr>
        <w:t xml:space="preserve"> </w:t>
      </w:r>
      <w:r>
        <w:rPr>
          <w:rFonts w:asciiTheme="minorEastAsia" w:hAnsiTheme="minorEastAsia"/>
          <w:sz w:val="24"/>
          <w:u w:val="single"/>
        </w:rPr>
        <w:t xml:space="preserve">        </w:t>
      </w:r>
      <w:r>
        <w:rPr>
          <w:rFonts w:asciiTheme="minorEastAsia" w:hAnsiTheme="minorEastAsia"/>
          <w:sz w:val="24"/>
        </w:rPr>
        <w:t>年</w:t>
      </w:r>
      <w:r>
        <w:rPr>
          <w:rFonts w:asciiTheme="minorEastAsia" w:hAnsiTheme="minorEastAsia"/>
          <w:sz w:val="24"/>
          <w:u w:val="single"/>
        </w:rPr>
        <w:t xml:space="preserve">        </w:t>
      </w:r>
      <w:r>
        <w:rPr>
          <w:rFonts w:asciiTheme="minorEastAsia" w:hAnsiTheme="minorEastAsia"/>
          <w:sz w:val="24"/>
        </w:rPr>
        <w:t>月</w:t>
      </w:r>
      <w:r>
        <w:rPr>
          <w:rFonts w:asciiTheme="minorEastAsia" w:hAnsiTheme="minorEastAsia"/>
          <w:sz w:val="24"/>
          <w:u w:val="single"/>
        </w:rPr>
        <w:t xml:space="preserve">        </w:t>
      </w:r>
      <w:r>
        <w:rPr>
          <w:rFonts w:asciiTheme="minorEastAsia" w:hAnsiTheme="minorEastAsia"/>
          <w:sz w:val="24"/>
        </w:rPr>
        <w:t>日</w:t>
      </w:r>
    </w:p>
    <w:p>
      <w:pPr>
        <w:pStyle w:val="4"/>
      </w:pPr>
      <w:bookmarkStart w:id="29" w:name="_Toc10154"/>
      <w:r>
        <w:rPr>
          <w:rFonts w:hint="eastAsia"/>
        </w:rPr>
        <w:t>第三章 评标办法（经评审的最低价法）</w:t>
      </w:r>
      <w:bookmarkEnd w:id="29"/>
    </w:p>
    <w:p>
      <w:pPr>
        <w:pStyle w:val="5"/>
        <w:jc w:val="center"/>
      </w:pPr>
      <w:r>
        <w:rPr>
          <w:rFonts w:hint="eastAsia"/>
        </w:rPr>
        <w:t>评标办法前附表</w:t>
      </w:r>
    </w:p>
    <w:tbl>
      <w:tblPr>
        <w:tblStyle w:val="16"/>
        <w:tblW w:w="10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137"/>
        <w:gridCol w:w="2409"/>
        <w:gridCol w:w="5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096" w:type="dxa"/>
            <w:gridSpan w:val="2"/>
            <w:shd w:val="clear" w:color="auto" w:fill="auto"/>
            <w:vAlign w:val="center"/>
          </w:tcPr>
          <w:p>
            <w:pPr>
              <w:pStyle w:val="2"/>
              <w:ind w:left="0"/>
              <w:jc w:val="center"/>
              <w:rPr>
                <w:b/>
                <w:bCs/>
              </w:rPr>
            </w:pPr>
            <w:r>
              <w:rPr>
                <w:b/>
                <w:bCs/>
              </w:rPr>
              <w:t>条款号</w:t>
            </w:r>
          </w:p>
        </w:tc>
        <w:tc>
          <w:tcPr>
            <w:tcW w:w="2409" w:type="dxa"/>
            <w:shd w:val="clear" w:color="auto" w:fill="auto"/>
            <w:vAlign w:val="center"/>
          </w:tcPr>
          <w:p>
            <w:pPr>
              <w:pStyle w:val="2"/>
              <w:ind w:left="0"/>
              <w:jc w:val="center"/>
              <w:rPr>
                <w:b/>
                <w:bCs/>
              </w:rPr>
            </w:pPr>
            <w:r>
              <w:rPr>
                <w:b/>
                <w:bCs/>
              </w:rPr>
              <w:t>评审因素</w:t>
            </w:r>
          </w:p>
        </w:tc>
        <w:tc>
          <w:tcPr>
            <w:tcW w:w="5495" w:type="dxa"/>
            <w:shd w:val="clear" w:color="auto" w:fill="auto"/>
            <w:vAlign w:val="center"/>
          </w:tcPr>
          <w:p>
            <w:pPr>
              <w:pStyle w:val="2"/>
              <w:ind w:left="0"/>
              <w:jc w:val="center"/>
              <w:rPr>
                <w:b/>
                <w:bCs/>
              </w:rPr>
            </w:pPr>
            <w:r>
              <w:rPr>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restart"/>
            <w:shd w:val="clear" w:color="auto" w:fill="auto"/>
            <w:vAlign w:val="center"/>
          </w:tcPr>
          <w:p>
            <w:pPr>
              <w:pStyle w:val="2"/>
              <w:ind w:left="0"/>
              <w:jc w:val="center"/>
            </w:pPr>
            <w:r>
              <w:rPr>
                <w:rFonts w:hint="eastAsia"/>
              </w:rPr>
              <w:t>2.1.1</w:t>
            </w:r>
          </w:p>
        </w:tc>
        <w:tc>
          <w:tcPr>
            <w:tcW w:w="1137" w:type="dxa"/>
            <w:vMerge w:val="restart"/>
            <w:shd w:val="clear" w:color="auto" w:fill="auto"/>
            <w:vAlign w:val="center"/>
          </w:tcPr>
          <w:p>
            <w:pPr>
              <w:pStyle w:val="2"/>
              <w:ind w:left="0"/>
              <w:jc w:val="center"/>
            </w:pPr>
            <w:r>
              <w:t>形式评审标准</w:t>
            </w:r>
          </w:p>
        </w:tc>
        <w:tc>
          <w:tcPr>
            <w:tcW w:w="2409" w:type="dxa"/>
            <w:shd w:val="clear" w:color="auto" w:fill="auto"/>
            <w:vAlign w:val="center"/>
          </w:tcPr>
          <w:p>
            <w:pPr>
              <w:pStyle w:val="2"/>
              <w:ind w:left="0"/>
              <w:jc w:val="center"/>
            </w:pPr>
            <w:r>
              <w:t>投标人名称</w:t>
            </w:r>
          </w:p>
        </w:tc>
        <w:tc>
          <w:tcPr>
            <w:tcW w:w="5495" w:type="dxa"/>
            <w:shd w:val="clear" w:color="auto" w:fill="auto"/>
            <w:vAlign w:val="center"/>
          </w:tcPr>
          <w:p>
            <w:pPr>
              <w:pStyle w:val="2"/>
              <w:ind w:left="0"/>
            </w:pPr>
            <w:r>
              <w:t>与营业执照</w:t>
            </w:r>
            <w:r>
              <w:rPr>
                <w:rFonts w:hint="eastAsia"/>
              </w:rPr>
              <w:t>、资质证书</w:t>
            </w:r>
            <w:r>
              <w:t>一致</w:t>
            </w:r>
            <w:r>
              <w:rPr>
                <w:rFonts w:hint="eastAsia"/>
              </w:rPr>
              <w:t>，如为联合体，则联合体各方均须满足。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签字、盖章要求</w:t>
            </w:r>
          </w:p>
        </w:tc>
        <w:tc>
          <w:tcPr>
            <w:tcW w:w="5495" w:type="dxa"/>
            <w:shd w:val="clear" w:color="auto" w:fill="auto"/>
            <w:vAlign w:val="center"/>
          </w:tcPr>
          <w:p>
            <w:pPr>
              <w:pStyle w:val="2"/>
              <w:ind w:left="0"/>
            </w:pPr>
            <w:r>
              <w:rPr>
                <w:rFonts w:hint="eastAsia"/>
              </w:rPr>
              <w:t>符合第二章“投标人须知前附表”第</w:t>
            </w:r>
            <w:r>
              <w:t xml:space="preserve"> 3.7.3</w:t>
            </w:r>
            <w:r>
              <w:rPr>
                <w:rFonts w:hint="eastAsia"/>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投标文件格式</w:t>
            </w:r>
          </w:p>
        </w:tc>
        <w:tc>
          <w:tcPr>
            <w:tcW w:w="5495" w:type="dxa"/>
            <w:shd w:val="clear" w:color="auto" w:fill="auto"/>
            <w:vAlign w:val="center"/>
          </w:tcPr>
          <w:p>
            <w:pPr>
              <w:pStyle w:val="2"/>
              <w:ind w:left="0"/>
            </w:pPr>
            <w:r>
              <w:rPr>
                <w:rFonts w:hint="eastAsia"/>
              </w:rPr>
              <w:t>符合第六章“投标文件格式的要求和第二章“投标人须知前附表”第</w:t>
            </w:r>
            <w:r>
              <w:t xml:space="preserve"> 3.7.1</w:t>
            </w:r>
            <w:r>
              <w:rPr>
                <w:rFonts w:hint="eastAsia"/>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报价唯一</w:t>
            </w:r>
          </w:p>
        </w:tc>
        <w:tc>
          <w:tcPr>
            <w:tcW w:w="5495" w:type="dxa"/>
            <w:shd w:val="clear" w:color="auto" w:fill="auto"/>
            <w:vAlign w:val="center"/>
          </w:tcPr>
          <w:p>
            <w:pPr>
              <w:pStyle w:val="2"/>
              <w:ind w:left="0"/>
            </w:pPr>
            <w:r>
              <w:rPr>
                <w:rFonts w:hint="eastAsia"/>
              </w:rPr>
              <w:t>只能有一个有效报价，即符合第二章“投标人须知前附表”第</w:t>
            </w:r>
            <w:r>
              <w:t>10.</w:t>
            </w:r>
            <w:r>
              <w:rPr>
                <w:rFonts w:hint="eastAsia"/>
              </w:rPr>
              <w:t>4款要求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959" w:type="dxa"/>
            <w:vMerge w:val="continue"/>
            <w:shd w:val="clear" w:color="auto" w:fill="auto"/>
            <w:vAlign w:val="center"/>
          </w:tcPr>
          <w:p>
            <w:pPr>
              <w:pStyle w:val="2"/>
              <w:ind w:left="0"/>
            </w:pPr>
          </w:p>
        </w:tc>
        <w:tc>
          <w:tcPr>
            <w:tcW w:w="1137" w:type="dxa"/>
            <w:vMerge w:val="continue"/>
            <w:shd w:val="clear" w:color="auto" w:fill="auto"/>
            <w:vAlign w:val="center"/>
          </w:tcPr>
          <w:p>
            <w:pPr>
              <w:pStyle w:val="2"/>
              <w:ind w:left="0"/>
            </w:pPr>
          </w:p>
        </w:tc>
        <w:tc>
          <w:tcPr>
            <w:tcW w:w="7904" w:type="dxa"/>
            <w:gridSpan w:val="2"/>
            <w:shd w:val="clear" w:color="auto" w:fill="auto"/>
            <w:vAlign w:val="center"/>
          </w:tcPr>
          <w:p>
            <w:pPr>
              <w:pStyle w:val="2"/>
              <w:ind w:left="0"/>
            </w:pPr>
            <w:r>
              <w:rPr>
                <w:rFonts w:hint="eastAsia"/>
              </w:rPr>
              <w:t xml:space="preserve">以上评审有一条不通过，则视为形式评审标准不通过，不进入下一步评审，应当否决其投标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59" w:type="dxa"/>
            <w:vMerge w:val="restart"/>
            <w:shd w:val="clear" w:color="auto" w:fill="auto"/>
            <w:vAlign w:val="center"/>
          </w:tcPr>
          <w:p>
            <w:pPr>
              <w:pStyle w:val="2"/>
              <w:ind w:left="0"/>
              <w:jc w:val="center"/>
            </w:pPr>
            <w:r>
              <w:rPr>
                <w:rFonts w:hint="eastAsia"/>
              </w:rPr>
              <w:t>2.1.2</w:t>
            </w:r>
          </w:p>
        </w:tc>
        <w:tc>
          <w:tcPr>
            <w:tcW w:w="1137" w:type="dxa"/>
            <w:vMerge w:val="restart"/>
            <w:shd w:val="clear" w:color="auto" w:fill="auto"/>
            <w:vAlign w:val="center"/>
          </w:tcPr>
          <w:p>
            <w:pPr>
              <w:pStyle w:val="2"/>
              <w:ind w:left="0"/>
              <w:jc w:val="center"/>
            </w:pPr>
            <w:r>
              <w:t>资格评审标准</w:t>
            </w:r>
          </w:p>
        </w:tc>
        <w:tc>
          <w:tcPr>
            <w:tcW w:w="2409" w:type="dxa"/>
            <w:shd w:val="clear" w:color="auto" w:fill="auto"/>
            <w:vAlign w:val="center"/>
          </w:tcPr>
          <w:p>
            <w:pPr>
              <w:pStyle w:val="2"/>
              <w:ind w:left="0"/>
              <w:jc w:val="center"/>
            </w:pPr>
            <w:r>
              <w:t>营业执照</w:t>
            </w:r>
          </w:p>
        </w:tc>
        <w:tc>
          <w:tcPr>
            <w:tcW w:w="5495" w:type="dxa"/>
            <w:shd w:val="clear" w:color="auto" w:fill="auto"/>
            <w:vAlign w:val="center"/>
          </w:tcPr>
          <w:p>
            <w:pPr>
              <w:pStyle w:val="2"/>
              <w:ind w:left="0"/>
            </w:pPr>
            <w:r>
              <w:rPr>
                <w:rFonts w:hint="eastAsia"/>
              </w:rPr>
              <w:t>具备有效的营业执照，联合体投标的联合体各方均须提供营业执照。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资格要求</w:t>
            </w:r>
          </w:p>
        </w:tc>
        <w:tc>
          <w:tcPr>
            <w:tcW w:w="5495" w:type="dxa"/>
            <w:shd w:val="clear" w:color="auto" w:fill="auto"/>
            <w:vAlign w:val="center"/>
          </w:tcPr>
          <w:p>
            <w:pPr>
              <w:pStyle w:val="2"/>
              <w:ind w:left="0"/>
            </w:pPr>
            <w:r>
              <w:t>符合第二章“投标人须知</w:t>
            </w:r>
            <w:r>
              <w:rPr>
                <w:rFonts w:hint="eastAsia"/>
              </w:rPr>
              <w:t>前附表</w:t>
            </w:r>
            <w: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□财务状况</w:t>
            </w:r>
          </w:p>
        </w:tc>
        <w:tc>
          <w:tcPr>
            <w:tcW w:w="5495" w:type="dxa"/>
            <w:shd w:val="clear" w:color="auto" w:fill="auto"/>
            <w:vAlign w:val="center"/>
          </w:tcPr>
          <w:p>
            <w:pPr>
              <w:pStyle w:val="2"/>
              <w:ind w:left="0"/>
            </w:pPr>
            <w:r>
              <w:t>符合第二章“投标人须知</w:t>
            </w:r>
            <w:r>
              <w:rPr>
                <w:rFonts w:hint="eastAsia"/>
              </w:rPr>
              <w:t>前附表</w:t>
            </w:r>
            <w: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w:t>
            </w:r>
            <w:r>
              <w:t>类似业绩要求</w:t>
            </w:r>
          </w:p>
        </w:tc>
        <w:tc>
          <w:tcPr>
            <w:tcW w:w="5495" w:type="dxa"/>
            <w:shd w:val="clear" w:color="auto" w:fill="auto"/>
            <w:vAlign w:val="center"/>
          </w:tcPr>
          <w:p>
            <w:pPr>
              <w:pStyle w:val="2"/>
              <w:ind w:left="0"/>
            </w:pPr>
            <w:r>
              <w:t>符合第二章“投标人须知</w:t>
            </w:r>
            <w:r>
              <w:rPr>
                <w:rFonts w:hint="eastAsia"/>
              </w:rPr>
              <w:t>前附表</w:t>
            </w:r>
            <w: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t>信誉要求</w:t>
            </w:r>
          </w:p>
        </w:tc>
        <w:tc>
          <w:tcPr>
            <w:tcW w:w="5495" w:type="dxa"/>
            <w:shd w:val="clear" w:color="auto" w:fill="auto"/>
            <w:vAlign w:val="center"/>
          </w:tcPr>
          <w:p>
            <w:pPr>
              <w:pStyle w:val="2"/>
              <w:ind w:left="0"/>
            </w:pPr>
            <w:r>
              <w:t>符合第二章“投标人须知</w:t>
            </w:r>
            <w:r>
              <w:rPr>
                <w:rFonts w:hint="eastAsia"/>
              </w:rPr>
              <w:t>前附表</w:t>
            </w:r>
            <w: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t>其他要求</w:t>
            </w:r>
          </w:p>
        </w:tc>
        <w:tc>
          <w:tcPr>
            <w:tcW w:w="5495" w:type="dxa"/>
            <w:shd w:val="clear" w:color="auto" w:fill="auto"/>
            <w:vAlign w:val="center"/>
          </w:tcPr>
          <w:p>
            <w:pPr>
              <w:pStyle w:val="2"/>
              <w:ind w:left="0"/>
            </w:pPr>
            <w:r>
              <w:t>符合第二章“投标人须知</w:t>
            </w:r>
            <w:r>
              <w:rPr>
                <w:rFonts w:hint="eastAsia"/>
              </w:rPr>
              <w:t>前附表</w:t>
            </w:r>
            <w: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□联合体投标人</w:t>
            </w:r>
          </w:p>
        </w:tc>
        <w:tc>
          <w:tcPr>
            <w:tcW w:w="5495" w:type="dxa"/>
            <w:shd w:val="clear" w:color="auto" w:fill="auto"/>
            <w:vAlign w:val="center"/>
          </w:tcPr>
          <w:p>
            <w:pPr>
              <w:pStyle w:val="2"/>
              <w:ind w:left="0"/>
            </w:pPr>
            <w:r>
              <w:rPr>
                <w:rFonts w:hint="eastAsia"/>
              </w:rPr>
              <w:t>符合第二章“投标人须知前附表”第</w:t>
            </w:r>
            <w:r>
              <w:t>1.4.</w:t>
            </w:r>
            <w:r>
              <w:rPr>
                <w:rFonts w:hint="eastAsia"/>
              </w:rPr>
              <w:t>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7904" w:type="dxa"/>
            <w:gridSpan w:val="2"/>
            <w:shd w:val="clear" w:color="auto" w:fill="auto"/>
            <w:vAlign w:val="center"/>
          </w:tcPr>
          <w:p>
            <w:pPr>
              <w:pStyle w:val="2"/>
              <w:ind w:left="0"/>
            </w:pPr>
            <w:r>
              <w:rPr>
                <w:rFonts w:hint="eastAsia"/>
              </w:rPr>
              <w:t>以上评审有一条不通过，则视为资格评审标准不通过，不进入下一步评审，应当否决其投标。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restart"/>
            <w:shd w:val="clear" w:color="auto" w:fill="auto"/>
            <w:vAlign w:val="center"/>
          </w:tcPr>
          <w:p>
            <w:pPr>
              <w:pStyle w:val="2"/>
              <w:ind w:left="0"/>
              <w:jc w:val="center"/>
            </w:pPr>
            <w:r>
              <w:rPr>
                <w:rFonts w:hint="eastAsia"/>
              </w:rPr>
              <w:t>2.1.3</w:t>
            </w:r>
          </w:p>
        </w:tc>
        <w:tc>
          <w:tcPr>
            <w:tcW w:w="1137" w:type="dxa"/>
            <w:vMerge w:val="restart"/>
            <w:shd w:val="clear" w:color="auto" w:fill="auto"/>
            <w:vAlign w:val="center"/>
          </w:tcPr>
          <w:p>
            <w:pPr>
              <w:pStyle w:val="2"/>
              <w:ind w:left="0"/>
              <w:jc w:val="center"/>
            </w:pPr>
            <w:r>
              <w:t>响应性评审标准</w:t>
            </w:r>
          </w:p>
        </w:tc>
        <w:tc>
          <w:tcPr>
            <w:tcW w:w="2409" w:type="dxa"/>
            <w:shd w:val="clear" w:color="auto" w:fill="auto"/>
            <w:vAlign w:val="center"/>
          </w:tcPr>
          <w:p>
            <w:pPr>
              <w:pStyle w:val="2"/>
              <w:ind w:left="0"/>
              <w:jc w:val="center"/>
            </w:pPr>
            <w:r>
              <w:rPr>
                <w:rFonts w:hint="eastAsia"/>
              </w:rPr>
              <w:t>投标其他要求</w:t>
            </w:r>
          </w:p>
        </w:tc>
        <w:tc>
          <w:tcPr>
            <w:tcW w:w="5495" w:type="dxa"/>
            <w:shd w:val="clear" w:color="auto" w:fill="auto"/>
            <w:vAlign w:val="center"/>
          </w:tcPr>
          <w:p>
            <w:pPr>
              <w:pStyle w:val="2"/>
              <w:ind w:left="0"/>
            </w:pPr>
            <w:r>
              <w:rPr>
                <w:rFonts w:hint="eastAsia"/>
              </w:rPr>
              <w:t>符合第二章“投标人须知前附表”第</w:t>
            </w:r>
            <w:r>
              <w:t>1.4.4</w:t>
            </w:r>
            <w:r>
              <w:rPr>
                <w:rFonts w:hint="eastAsia"/>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招标</w:t>
            </w:r>
            <w:r>
              <w:t>范围</w:t>
            </w:r>
          </w:p>
        </w:tc>
        <w:tc>
          <w:tcPr>
            <w:tcW w:w="5495" w:type="dxa"/>
            <w:shd w:val="clear" w:color="auto" w:fill="auto"/>
            <w:vAlign w:val="center"/>
          </w:tcPr>
          <w:p>
            <w:pPr>
              <w:pStyle w:val="2"/>
              <w:ind w:left="0"/>
            </w:pPr>
            <w:r>
              <w:t>符合第二章“投标人须知</w:t>
            </w:r>
            <w:r>
              <w:rPr>
                <w:rFonts w:hint="eastAsia"/>
              </w:rPr>
              <w:t>前附表</w:t>
            </w:r>
            <w:r>
              <w:t>”第1.3.</w:t>
            </w:r>
            <w:r>
              <w:rPr>
                <w:rFonts w:hint="eastAsia"/>
              </w:rPr>
              <w:t>1</w:t>
            </w:r>
            <w: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t>计划供货期</w:t>
            </w:r>
          </w:p>
        </w:tc>
        <w:tc>
          <w:tcPr>
            <w:tcW w:w="5495" w:type="dxa"/>
            <w:shd w:val="clear" w:color="auto" w:fill="auto"/>
            <w:vAlign w:val="center"/>
          </w:tcPr>
          <w:p>
            <w:pPr>
              <w:pStyle w:val="2"/>
              <w:ind w:left="0"/>
            </w:pPr>
            <w:r>
              <w:t>符合第二章“投标人须知</w:t>
            </w:r>
            <w:r>
              <w:rPr>
                <w:rFonts w:hint="eastAsia"/>
              </w:rPr>
              <w:t>前附表</w:t>
            </w:r>
            <w:r>
              <w:t>”第1.3.2项规定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质量要求</w:t>
            </w:r>
          </w:p>
        </w:tc>
        <w:tc>
          <w:tcPr>
            <w:tcW w:w="5495" w:type="dxa"/>
            <w:shd w:val="clear" w:color="auto" w:fill="auto"/>
            <w:vAlign w:val="center"/>
          </w:tcPr>
          <w:p>
            <w:pPr>
              <w:pStyle w:val="2"/>
              <w:ind w:left="0"/>
            </w:pPr>
            <w:r>
              <w:rPr>
                <w:rFonts w:hint="eastAsia"/>
              </w:rPr>
              <w:t>符合第二章“投标人须知前附表”第</w:t>
            </w:r>
            <w:r>
              <w:t>1.3.3</w:t>
            </w:r>
            <w:r>
              <w:rPr>
                <w:rFonts w:hint="eastAsia"/>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t>投标有效期</w:t>
            </w:r>
          </w:p>
        </w:tc>
        <w:tc>
          <w:tcPr>
            <w:tcW w:w="5495" w:type="dxa"/>
            <w:shd w:val="clear" w:color="auto" w:fill="auto"/>
            <w:vAlign w:val="center"/>
          </w:tcPr>
          <w:p>
            <w:pPr>
              <w:pStyle w:val="2"/>
              <w:ind w:left="0"/>
            </w:pPr>
            <w:r>
              <w:t>符合第二章“投标人须知</w:t>
            </w:r>
            <w:r>
              <w:rPr>
                <w:rFonts w:hint="eastAsia"/>
              </w:rPr>
              <w:t>前附表</w:t>
            </w:r>
            <w:r>
              <w:t>”第3.3.1项规定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投标保证金</w:t>
            </w:r>
          </w:p>
        </w:tc>
        <w:tc>
          <w:tcPr>
            <w:tcW w:w="5495" w:type="dxa"/>
            <w:shd w:val="clear" w:color="auto" w:fill="auto"/>
            <w:vAlign w:val="center"/>
          </w:tcPr>
          <w:p>
            <w:pPr>
              <w:pStyle w:val="2"/>
              <w:ind w:left="0"/>
            </w:pPr>
            <w:r>
              <w:rPr>
                <w:rFonts w:hint="eastAsia"/>
              </w:rPr>
              <w:t>符合第二章“投标人须知前附表”第3.4.1项规定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招标控制价</w:t>
            </w:r>
          </w:p>
        </w:tc>
        <w:tc>
          <w:tcPr>
            <w:tcW w:w="5495" w:type="dxa"/>
            <w:shd w:val="clear" w:color="auto" w:fill="auto"/>
            <w:vAlign w:val="center"/>
          </w:tcPr>
          <w:p>
            <w:pPr>
              <w:pStyle w:val="2"/>
              <w:ind w:left="0"/>
            </w:pPr>
            <w:r>
              <w:rPr>
                <w:rFonts w:hint="eastAsia"/>
              </w:rPr>
              <w:t>符合第二章“投标人须知前附表”第10.1项规定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投标要求</w:t>
            </w:r>
          </w:p>
        </w:tc>
        <w:tc>
          <w:tcPr>
            <w:tcW w:w="5495" w:type="dxa"/>
            <w:shd w:val="clear" w:color="auto" w:fill="auto"/>
            <w:vAlign w:val="center"/>
          </w:tcPr>
          <w:p>
            <w:pPr>
              <w:pStyle w:val="2"/>
              <w:ind w:left="0"/>
            </w:pPr>
            <w:r>
              <w:rPr>
                <w:rFonts w:hint="eastAsia"/>
              </w:rPr>
              <w:t>不存在本章第</w:t>
            </w:r>
            <w:r>
              <w:t>3.1.2</w:t>
            </w:r>
            <w:r>
              <w:rPr>
                <w:rFonts w:hint="eastAsia"/>
              </w:rPr>
              <w:t>项任何一种情形之一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权利义务</w:t>
            </w:r>
          </w:p>
        </w:tc>
        <w:tc>
          <w:tcPr>
            <w:tcW w:w="5495" w:type="dxa"/>
            <w:shd w:val="clear" w:color="auto" w:fill="auto"/>
            <w:vAlign w:val="center"/>
          </w:tcPr>
          <w:p>
            <w:pPr>
              <w:pStyle w:val="2"/>
              <w:ind w:left="0"/>
            </w:pPr>
            <w:r>
              <w:rPr>
                <w:rFonts w:hint="eastAsia"/>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w:t>
            </w:r>
            <w:r>
              <w:t>技术标准和要求</w:t>
            </w:r>
          </w:p>
        </w:tc>
        <w:tc>
          <w:tcPr>
            <w:tcW w:w="5495" w:type="dxa"/>
            <w:shd w:val="clear" w:color="auto" w:fill="auto"/>
            <w:vAlign w:val="center"/>
          </w:tcPr>
          <w:p>
            <w:pPr>
              <w:pStyle w:val="2"/>
              <w:ind w:left="0"/>
            </w:pPr>
            <w:r>
              <w:t>符合第五章“技术标准和要求”规定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9" w:type="dxa"/>
            <w:shd w:val="clear" w:color="auto" w:fill="auto"/>
            <w:vAlign w:val="center"/>
          </w:tcPr>
          <w:p>
            <w:pPr>
              <w:pStyle w:val="2"/>
              <w:ind w:left="0"/>
              <w:jc w:val="center"/>
            </w:pPr>
            <w:r>
              <w:rPr>
                <w:rFonts w:hint="eastAsia"/>
              </w:rPr>
              <w:t>□技术方案</w:t>
            </w:r>
          </w:p>
        </w:tc>
        <w:tc>
          <w:tcPr>
            <w:tcW w:w="5495" w:type="dxa"/>
            <w:shd w:val="clear" w:color="auto" w:fill="auto"/>
            <w:vAlign w:val="center"/>
          </w:tcPr>
          <w:p>
            <w:pPr>
              <w:pStyle w:val="2"/>
              <w:ind w:left="0"/>
            </w:pPr>
            <w:r>
              <w:t>符合第</w:t>
            </w:r>
            <w:r>
              <w:rPr>
                <w:rFonts w:hint="eastAsia"/>
              </w:rPr>
              <w:t>六</w:t>
            </w:r>
            <w:r>
              <w:t>章“</w:t>
            </w:r>
            <w:r>
              <w:rPr>
                <w:rFonts w:hint="eastAsia"/>
              </w:rPr>
              <w:t>投标文件格式</w:t>
            </w:r>
            <w: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959"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7904" w:type="dxa"/>
            <w:gridSpan w:val="2"/>
            <w:shd w:val="clear" w:color="auto" w:fill="auto"/>
            <w:vAlign w:val="center"/>
          </w:tcPr>
          <w:p>
            <w:pPr>
              <w:pStyle w:val="2"/>
              <w:ind w:left="0"/>
            </w:pPr>
            <w:r>
              <w:rPr>
                <w:rFonts w:hint="eastAsia"/>
              </w:rPr>
              <w:t>以上评审有一条不通过，则视为响应性评审标准不通过，不进入下一步评审，应当否决其投标。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959" w:type="dxa"/>
            <w:shd w:val="clear" w:color="auto" w:fill="auto"/>
            <w:vAlign w:val="center"/>
          </w:tcPr>
          <w:p>
            <w:pPr>
              <w:pStyle w:val="2"/>
              <w:ind w:left="0"/>
              <w:jc w:val="center"/>
              <w:rPr>
                <w:b/>
                <w:bCs/>
              </w:rPr>
            </w:pPr>
            <w:r>
              <w:rPr>
                <w:b/>
                <w:bCs/>
              </w:rPr>
              <w:t>条款号</w:t>
            </w:r>
          </w:p>
        </w:tc>
        <w:tc>
          <w:tcPr>
            <w:tcW w:w="1137" w:type="dxa"/>
            <w:shd w:val="clear" w:color="auto" w:fill="auto"/>
            <w:vAlign w:val="center"/>
          </w:tcPr>
          <w:p>
            <w:pPr>
              <w:pStyle w:val="2"/>
              <w:ind w:left="0"/>
              <w:jc w:val="center"/>
              <w:rPr>
                <w:b/>
                <w:bCs/>
              </w:rPr>
            </w:pPr>
            <w:r>
              <w:rPr>
                <w:b/>
                <w:bCs/>
              </w:rPr>
              <w:t>条款内容</w:t>
            </w:r>
          </w:p>
        </w:tc>
        <w:tc>
          <w:tcPr>
            <w:tcW w:w="7904" w:type="dxa"/>
            <w:gridSpan w:val="2"/>
            <w:shd w:val="clear" w:color="auto" w:fill="auto"/>
            <w:vAlign w:val="center"/>
          </w:tcPr>
          <w:p>
            <w:pPr>
              <w:pStyle w:val="2"/>
              <w:ind w:left="0"/>
              <w:jc w:val="center"/>
              <w:rPr>
                <w:b/>
                <w:bCs/>
              </w:rPr>
            </w:pPr>
            <w:r>
              <w:rPr>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59" w:type="dxa"/>
            <w:shd w:val="clear" w:color="auto" w:fill="auto"/>
            <w:vAlign w:val="center"/>
          </w:tcPr>
          <w:p>
            <w:pPr>
              <w:pStyle w:val="2"/>
              <w:ind w:left="0"/>
              <w:jc w:val="center"/>
            </w:pPr>
            <w:r>
              <w:rPr>
                <w:rFonts w:hint="eastAsia"/>
              </w:rPr>
              <w:t>2.2.1</w:t>
            </w:r>
          </w:p>
        </w:tc>
        <w:tc>
          <w:tcPr>
            <w:tcW w:w="1137" w:type="dxa"/>
            <w:shd w:val="clear" w:color="auto" w:fill="auto"/>
            <w:vAlign w:val="center"/>
          </w:tcPr>
          <w:p>
            <w:pPr>
              <w:pStyle w:val="2"/>
              <w:ind w:left="0"/>
              <w:jc w:val="center"/>
            </w:pPr>
            <w:r>
              <w:rPr>
                <w:rFonts w:hint="eastAsia"/>
              </w:rPr>
              <w:t>投</w:t>
            </w:r>
          </w:p>
          <w:p>
            <w:pPr>
              <w:pStyle w:val="2"/>
              <w:ind w:left="0"/>
              <w:jc w:val="center"/>
            </w:pPr>
            <w:r>
              <w:rPr>
                <w:rFonts w:hint="eastAsia"/>
              </w:rPr>
              <w:t>标</w:t>
            </w:r>
          </w:p>
          <w:p>
            <w:pPr>
              <w:pStyle w:val="2"/>
              <w:ind w:left="0"/>
              <w:jc w:val="center"/>
            </w:pPr>
            <w:r>
              <w:rPr>
                <w:rFonts w:hint="eastAsia"/>
              </w:rPr>
              <w:t>报</w:t>
            </w:r>
          </w:p>
          <w:p>
            <w:pPr>
              <w:pStyle w:val="2"/>
              <w:ind w:left="0"/>
              <w:jc w:val="center"/>
            </w:pPr>
            <w:r>
              <w:rPr>
                <w:rFonts w:hint="eastAsia"/>
              </w:rPr>
              <w:t>价</w:t>
            </w:r>
          </w:p>
          <w:p>
            <w:pPr>
              <w:pStyle w:val="2"/>
              <w:ind w:left="0"/>
              <w:jc w:val="center"/>
            </w:pPr>
            <w:r>
              <w:rPr>
                <w:rFonts w:hint="eastAsia"/>
              </w:rPr>
              <w:t>初</w:t>
            </w:r>
          </w:p>
          <w:p>
            <w:pPr>
              <w:pStyle w:val="2"/>
              <w:ind w:left="0"/>
              <w:jc w:val="center"/>
            </w:pPr>
            <w:r>
              <w:rPr>
                <w:rFonts w:hint="eastAsia"/>
              </w:rPr>
              <w:t>步</w:t>
            </w:r>
          </w:p>
          <w:p>
            <w:pPr>
              <w:pStyle w:val="2"/>
              <w:ind w:left="0"/>
              <w:jc w:val="center"/>
            </w:pPr>
            <w:r>
              <w:rPr>
                <w:rFonts w:hint="eastAsia"/>
              </w:rPr>
              <w:t>评</w:t>
            </w:r>
          </w:p>
          <w:p>
            <w:pPr>
              <w:pStyle w:val="2"/>
              <w:ind w:left="0"/>
              <w:jc w:val="center"/>
            </w:pPr>
            <w:r>
              <w:rPr>
                <w:rFonts w:hint="eastAsia"/>
              </w:rPr>
              <w:t>审</w:t>
            </w:r>
          </w:p>
        </w:tc>
        <w:tc>
          <w:tcPr>
            <w:tcW w:w="7904" w:type="dxa"/>
            <w:gridSpan w:val="2"/>
            <w:shd w:val="clear" w:color="auto" w:fill="auto"/>
            <w:vAlign w:val="center"/>
          </w:tcPr>
          <w:p>
            <w:pPr>
              <w:pStyle w:val="2"/>
              <w:ind w:left="0"/>
            </w:pPr>
            <w:r>
              <w:rPr>
                <w:rFonts w:hint="eastAsia"/>
              </w:rPr>
              <w:t>评标委员会仅</w:t>
            </w:r>
            <w:r>
              <w:t>对</w:t>
            </w:r>
            <w:r>
              <w:rPr>
                <w:rFonts w:hint="eastAsia"/>
              </w:rPr>
              <w:t>通过</w:t>
            </w:r>
            <w:r>
              <w:t>投标文件</w:t>
            </w:r>
            <w:r>
              <w:rPr>
                <w:rFonts w:hint="eastAsia"/>
              </w:rPr>
              <w:t>形式评审、资格评审、响应性评审的投标文件进行投标报价初步评审。</w:t>
            </w:r>
          </w:p>
          <w:p>
            <w:pPr>
              <w:pStyle w:val="2"/>
              <w:ind w:left="0"/>
              <w:rPr>
                <w:b/>
                <w:bCs/>
              </w:rPr>
            </w:pPr>
            <w:r>
              <w:rPr>
                <w:rFonts w:hint="eastAsia"/>
                <w:b/>
                <w:bCs/>
              </w:rPr>
              <w:t>投标报价有下列情况之一的，评标委员会应当否决其投标。</w:t>
            </w:r>
          </w:p>
          <w:p>
            <w:pPr>
              <w:pStyle w:val="2"/>
              <w:ind w:left="0"/>
            </w:pPr>
            <w:r>
              <w:rPr>
                <w:rFonts w:hint="eastAsia"/>
              </w:rPr>
              <w:t>（一）投标人投标函中填报的金额、投标报价文件中投标总价扉页的金额（修正前）超过招标文件中公布的招标控制价的；</w:t>
            </w:r>
          </w:p>
          <w:p>
            <w:pPr>
              <w:pStyle w:val="2"/>
              <w:ind w:left="0"/>
            </w:pPr>
            <w:r>
              <w:rPr>
                <w:rFonts w:hint="eastAsia"/>
              </w:rPr>
              <w:t>（二）投标报价文件（包括投标函）中的任何单价、合价或总价，不论大写金额或小写金额不唯一；</w:t>
            </w:r>
          </w:p>
          <w:p>
            <w:pPr>
              <w:pStyle w:val="2"/>
              <w:ind w:left="0"/>
            </w:pPr>
            <w:r>
              <w:rPr>
                <w:rFonts w:hint="eastAsia"/>
              </w:rPr>
              <w:t>（三）未响应招标文件中对投标人投标报价其他实质性要求的；</w:t>
            </w:r>
          </w:p>
          <w:p>
            <w:pPr>
              <w:pStyle w:val="2"/>
              <w:ind w:left="0"/>
            </w:pPr>
            <w:r>
              <w:rPr>
                <w:rFonts w:hint="eastAsia"/>
              </w:rPr>
              <w:t>□（四）投标报价中暂列金额未按招标清单中列明的金额填报的。</w:t>
            </w:r>
          </w:p>
          <w:p>
            <w:pPr>
              <w:pStyle w:val="2"/>
              <w:ind w:left="0"/>
            </w:pPr>
            <w:r>
              <w:rPr>
                <w:rFonts w:hint="eastAsia"/>
              </w:rPr>
              <w:t>□本次投标允许算术修正，评标委员会对发现投标报价存在算数性错误的，应按以下原则对投标报价进行修正：</w:t>
            </w:r>
          </w:p>
          <w:p>
            <w:pPr>
              <w:pStyle w:val="2"/>
              <w:ind w:left="0"/>
            </w:pPr>
            <w:r>
              <w:rPr>
                <w:rFonts w:hint="eastAsia"/>
              </w:rPr>
              <w:t>（一）当综合单价与该项数量（或计算基础金额与费率）的乘积与合价不一致时，以综合单价（或费率）为准修正合价及总价，除非报价评审组认为综合单价（或费率）有明显的小数点错误，此时应以合价为准，并修正综合单价；</w:t>
            </w:r>
          </w:p>
          <w:p>
            <w:pPr>
              <w:pStyle w:val="2"/>
              <w:ind w:left="0"/>
            </w:pPr>
            <w:r>
              <w:rPr>
                <w:rFonts w:hint="eastAsia"/>
              </w:rPr>
              <w:t>（二）当各单项金额相加与其合计金额不一致时，以各单项金额为准修正相应合计金额及总价。</w:t>
            </w:r>
          </w:p>
          <w:p>
            <w:pPr>
              <w:pStyle w:val="2"/>
              <w:ind w:left="0"/>
            </w:pPr>
            <w:r>
              <w:rPr>
                <w:rFonts w:hint="eastAsia"/>
                <w:b/>
                <w:bCs/>
              </w:rPr>
              <w:t>评标委员会修正后的价格经投标人确认后具有约束力。投标人不接受修正价格或修正后价格高于招标控制价的，评标委员会应否决其投标。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959" w:type="dxa"/>
            <w:shd w:val="clear" w:color="auto" w:fill="auto"/>
            <w:vAlign w:val="center"/>
          </w:tcPr>
          <w:p>
            <w:pPr>
              <w:pStyle w:val="2"/>
              <w:ind w:left="0"/>
              <w:jc w:val="center"/>
            </w:pPr>
            <w:r>
              <w:rPr>
                <w:rFonts w:hint="eastAsia"/>
              </w:rPr>
              <w:t>2.2.2</w:t>
            </w:r>
          </w:p>
        </w:tc>
        <w:tc>
          <w:tcPr>
            <w:tcW w:w="1137" w:type="dxa"/>
            <w:shd w:val="clear" w:color="auto" w:fill="auto"/>
            <w:vAlign w:val="center"/>
          </w:tcPr>
          <w:p>
            <w:pPr>
              <w:pStyle w:val="2"/>
              <w:ind w:left="0"/>
              <w:jc w:val="center"/>
            </w:pPr>
            <w:r>
              <w:rPr>
                <w:rFonts w:hint="eastAsia"/>
              </w:rPr>
              <w:t>投</w:t>
            </w:r>
          </w:p>
          <w:p>
            <w:pPr>
              <w:pStyle w:val="2"/>
              <w:ind w:left="0"/>
              <w:jc w:val="center"/>
            </w:pPr>
            <w:r>
              <w:rPr>
                <w:rFonts w:hint="eastAsia"/>
              </w:rPr>
              <w:t>标</w:t>
            </w:r>
          </w:p>
          <w:p>
            <w:pPr>
              <w:pStyle w:val="2"/>
              <w:ind w:left="0"/>
              <w:jc w:val="center"/>
            </w:pPr>
            <w:r>
              <w:rPr>
                <w:rFonts w:hint="eastAsia"/>
              </w:rPr>
              <w:t>报</w:t>
            </w:r>
          </w:p>
          <w:p>
            <w:pPr>
              <w:pStyle w:val="2"/>
              <w:ind w:left="0"/>
              <w:jc w:val="center"/>
            </w:pPr>
            <w:r>
              <w:rPr>
                <w:rFonts w:hint="eastAsia"/>
              </w:rPr>
              <w:t>价</w:t>
            </w:r>
          </w:p>
          <w:p>
            <w:pPr>
              <w:pStyle w:val="2"/>
              <w:ind w:left="0"/>
              <w:jc w:val="center"/>
            </w:pPr>
            <w:r>
              <w:rPr>
                <w:rFonts w:hint="eastAsia"/>
              </w:rPr>
              <w:t>低</w:t>
            </w:r>
          </w:p>
          <w:p>
            <w:pPr>
              <w:pStyle w:val="2"/>
              <w:ind w:left="0"/>
              <w:jc w:val="center"/>
            </w:pPr>
            <w:r>
              <w:rPr>
                <w:rFonts w:hint="eastAsia"/>
              </w:rPr>
              <w:t>于</w:t>
            </w:r>
          </w:p>
          <w:p>
            <w:pPr>
              <w:pStyle w:val="2"/>
              <w:ind w:left="0"/>
              <w:jc w:val="center"/>
            </w:pPr>
            <w:r>
              <w:rPr>
                <w:rFonts w:hint="eastAsia"/>
              </w:rPr>
              <w:t>成</w:t>
            </w:r>
          </w:p>
          <w:p>
            <w:pPr>
              <w:pStyle w:val="2"/>
              <w:ind w:left="0"/>
              <w:jc w:val="center"/>
            </w:pPr>
            <w:r>
              <w:rPr>
                <w:rFonts w:hint="eastAsia"/>
              </w:rPr>
              <w:t>本</w:t>
            </w:r>
          </w:p>
          <w:p>
            <w:pPr>
              <w:pStyle w:val="2"/>
              <w:ind w:left="0"/>
              <w:jc w:val="center"/>
            </w:pPr>
            <w:r>
              <w:rPr>
                <w:rFonts w:hint="eastAsia"/>
              </w:rPr>
              <w:t>评</w:t>
            </w:r>
          </w:p>
          <w:p>
            <w:pPr>
              <w:pStyle w:val="2"/>
              <w:ind w:left="0"/>
              <w:jc w:val="center"/>
            </w:pPr>
            <w:r>
              <w:rPr>
                <w:rFonts w:hint="eastAsia"/>
              </w:rPr>
              <w:t>审</w:t>
            </w:r>
          </w:p>
        </w:tc>
        <w:tc>
          <w:tcPr>
            <w:tcW w:w="7904" w:type="dxa"/>
            <w:gridSpan w:val="2"/>
            <w:shd w:val="clear" w:color="auto" w:fill="auto"/>
            <w:vAlign w:val="center"/>
          </w:tcPr>
          <w:p>
            <w:pPr>
              <w:pStyle w:val="2"/>
              <w:ind w:left="0"/>
              <w:rPr>
                <w:b/>
                <w:bCs/>
              </w:rPr>
            </w:pPr>
            <w:r>
              <w:rPr>
                <w:b/>
                <w:bCs/>
              </w:rPr>
              <w:t>评标委员会只对</w:t>
            </w:r>
            <w:r>
              <w:rPr>
                <w:rFonts w:hint="eastAsia"/>
                <w:b/>
                <w:bCs/>
              </w:rPr>
              <w:t>通过报价</w:t>
            </w:r>
            <w:r>
              <w:rPr>
                <w:b/>
                <w:bCs/>
              </w:rPr>
              <w:t>初步评审后的投标报价进行</w:t>
            </w:r>
            <w:r>
              <w:rPr>
                <w:rFonts w:hint="eastAsia"/>
                <w:b/>
                <w:bCs/>
              </w:rPr>
              <w:t>低于成本评审</w:t>
            </w:r>
            <w:r>
              <w:rPr>
                <w:b/>
                <w:bCs/>
              </w:rPr>
              <w:t>。</w:t>
            </w:r>
          </w:p>
          <w:p>
            <w:pPr>
              <w:pStyle w:val="2"/>
              <w:ind w:left="0"/>
            </w:pPr>
            <w:r>
              <w:rPr>
                <w:rFonts w:hint="eastAsia"/>
              </w:rPr>
              <w:t>投标报价低于成本的数据为通过投标报价初步评审的全部投标人的投标报价数据。</w:t>
            </w:r>
          </w:p>
          <w:p>
            <w:pPr>
              <w:pStyle w:val="2"/>
              <w:ind w:left="0"/>
            </w:pPr>
            <w:r>
              <w:rPr>
                <w:rFonts w:hint="eastAsia"/>
              </w:rPr>
              <w:t>○在评标过程中，评标委员会发现投标人的报价明显低于其他投标报价，使得其投标报价可能低于其个别成本的，应当要求该投标人作出书面说明，评标委员会应从投标人的供货周期、制作</w:t>
            </w:r>
            <w:r>
              <w:t>工艺、</w:t>
            </w:r>
            <w:r>
              <w:rPr>
                <w:rFonts w:hint="eastAsia"/>
              </w:rPr>
              <w:t>管理成本等方面综合考虑对投标人是否低于其个别成本进行认定。</w:t>
            </w:r>
          </w:p>
          <w:p>
            <w:pPr>
              <w:pStyle w:val="2"/>
              <w:ind w:left="0"/>
            </w:pPr>
            <w:r>
              <w:rPr>
                <w:rFonts w:hint="eastAsia"/>
              </w:rPr>
              <w:t>○在评标过程中，招标人对投标人的报价</w:t>
            </w:r>
            <w:r>
              <w:t>低于成本的</w:t>
            </w:r>
            <w:r>
              <w:rPr>
                <w:rFonts w:hint="eastAsia"/>
              </w:rPr>
              <w:t>规定</w:t>
            </w:r>
            <w:r>
              <w:t>为：</w:t>
            </w:r>
            <w:r>
              <w:rPr>
                <w:rFonts w:hint="eastAsia"/>
                <w:u w:val="single"/>
              </w:rPr>
              <w:t xml:space="preserve">               </w:t>
            </w:r>
            <w:r>
              <w:rPr>
                <w:rFonts w:hint="eastAsia"/>
              </w:rPr>
              <w:t>。</w:t>
            </w:r>
          </w:p>
          <w:p>
            <w:pPr>
              <w:pStyle w:val="2"/>
              <w:ind w:left="0"/>
            </w:pPr>
            <w:r>
              <w:rPr>
                <w:rFonts w:hint="eastAsia"/>
              </w:rPr>
              <w:t>评标委员会经评审认为其不低于成本的，应当书面说明理由。投标人不能说明或者评标委员会认为说明不合理的，由评标委员会认定该投标人以低于成本报价竞标，其投标应作否决处理。</w:t>
            </w:r>
          </w:p>
          <w:p>
            <w:pPr>
              <w:pStyle w:val="2"/>
              <w:ind w:left="0"/>
            </w:pPr>
            <w:r>
              <w:rPr>
                <w:rFonts w:hint="eastAsia"/>
              </w:rPr>
              <w:t>评标委员会全体成员三分之二以上认为该投标人不能合理说明的，认定该投标人以低于成本报价竞标，其投标应作否决处理。持有异议的评标委员会成员可以书面方式阐述其不同意见和理由，拒绝签字且不陈述其不同意见和理由的，视为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959" w:type="dxa"/>
            <w:shd w:val="clear" w:color="auto" w:fill="auto"/>
            <w:vAlign w:val="center"/>
          </w:tcPr>
          <w:p>
            <w:pPr>
              <w:pStyle w:val="2"/>
              <w:ind w:left="0"/>
              <w:jc w:val="center"/>
            </w:pPr>
            <w:r>
              <w:rPr>
                <w:rFonts w:hint="eastAsia"/>
              </w:rPr>
              <w:t>2.3</w:t>
            </w:r>
          </w:p>
        </w:tc>
        <w:tc>
          <w:tcPr>
            <w:tcW w:w="1137" w:type="dxa"/>
            <w:shd w:val="clear" w:color="auto" w:fill="auto"/>
            <w:vAlign w:val="center"/>
          </w:tcPr>
          <w:p>
            <w:pPr>
              <w:pStyle w:val="2"/>
              <w:ind w:left="0"/>
              <w:jc w:val="center"/>
            </w:pPr>
            <w:r>
              <w:rPr>
                <w:rFonts w:hint="eastAsia"/>
              </w:rPr>
              <w:t>推荐中标候选人</w:t>
            </w:r>
          </w:p>
        </w:tc>
        <w:tc>
          <w:tcPr>
            <w:tcW w:w="7904" w:type="dxa"/>
            <w:gridSpan w:val="2"/>
            <w:shd w:val="clear" w:color="auto" w:fill="auto"/>
          </w:tcPr>
          <w:p>
            <w:pPr>
              <w:pStyle w:val="2"/>
              <w:ind w:left="0"/>
            </w:pPr>
            <w:r>
              <w:rPr>
                <w:rFonts w:hint="eastAsia"/>
              </w:rPr>
              <w:t>1、只有通过投标报价是否低于成本评审，未被认定为低于成本报价竞标的投标人方可能被推荐为中标候选人或根据招标人授权直接确定为中标人。</w:t>
            </w:r>
          </w:p>
          <w:p>
            <w:pPr>
              <w:pStyle w:val="2"/>
              <w:ind w:left="0"/>
            </w:pPr>
            <w:r>
              <w:rPr>
                <w:rFonts w:hint="eastAsia"/>
              </w:rPr>
              <w:t>2、评标委员会按修正后的</w:t>
            </w:r>
            <w:r>
              <w:rPr>
                <w:rFonts w:hint="eastAsia"/>
                <w:b/>
                <w:bCs/>
              </w:rPr>
              <w:t>评审价</w:t>
            </w:r>
            <w:r>
              <w:rPr>
                <w:rFonts w:hint="eastAsia"/>
              </w:rPr>
              <w:t>由低至高的顺序依次推荐前1~3名为中标候选人，并注明排名顺序。经公示无异议后，本项目招标人将确定排名第一的中标候选人为中标人。</w:t>
            </w:r>
          </w:p>
          <w:p>
            <w:pPr>
              <w:pStyle w:val="2"/>
              <w:ind w:left="0"/>
            </w:pPr>
            <w:r>
              <w:rPr>
                <w:rFonts w:hint="eastAsia"/>
              </w:rPr>
              <w:t>3、当采用经评审的最低投标价法且投标未被全部否决时，评标委员会应当在有效投标中按照修正后的</w:t>
            </w:r>
            <w:r>
              <w:rPr>
                <w:rFonts w:hint="eastAsia"/>
                <w:b/>
                <w:bCs/>
              </w:rPr>
              <w:t>评审价</w:t>
            </w:r>
            <w:r>
              <w:rPr>
                <w:rFonts w:hint="eastAsia"/>
              </w:rPr>
              <w:t>从低到高的顺序推荐中标候选人或根据招标人授权直接确定中标人。</w:t>
            </w:r>
          </w:p>
          <w:p>
            <w:pPr>
              <w:pStyle w:val="2"/>
              <w:ind w:left="0"/>
            </w:pPr>
            <w:r>
              <w:rPr>
                <w:rFonts w:hint="eastAsia"/>
              </w:rPr>
              <w:t>4、若评审价相同时，</w:t>
            </w:r>
            <w:r>
              <w:rPr>
                <w:rFonts w:hint="eastAsia"/>
                <w:u w:val="single"/>
              </w:rPr>
              <w:t xml:space="preserve">                            </w:t>
            </w:r>
            <w:r>
              <w:rPr>
                <w:rFonts w:hint="eastAsia"/>
              </w:rPr>
              <w:t>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959" w:type="dxa"/>
            <w:shd w:val="clear" w:color="auto" w:fill="auto"/>
            <w:vAlign w:val="center"/>
          </w:tcPr>
          <w:p>
            <w:pPr>
              <w:pStyle w:val="2"/>
              <w:ind w:left="0"/>
              <w:jc w:val="center"/>
            </w:pPr>
            <w:r>
              <w:rPr>
                <w:rFonts w:hint="eastAsia"/>
              </w:rPr>
              <w:t>2</w:t>
            </w:r>
            <w:r>
              <w:t>.</w:t>
            </w:r>
            <w:r>
              <w:rPr>
                <w:rFonts w:hint="eastAsia"/>
              </w:rPr>
              <w:t>4</w:t>
            </w:r>
          </w:p>
        </w:tc>
        <w:tc>
          <w:tcPr>
            <w:tcW w:w="1137" w:type="dxa"/>
            <w:shd w:val="clear" w:color="auto" w:fill="auto"/>
            <w:vAlign w:val="center"/>
          </w:tcPr>
          <w:p>
            <w:pPr>
              <w:pStyle w:val="2"/>
              <w:ind w:left="0"/>
              <w:jc w:val="center"/>
            </w:pPr>
            <w:r>
              <w:rPr>
                <w:rFonts w:hint="eastAsia"/>
              </w:rPr>
              <w:t>补充说明</w:t>
            </w:r>
          </w:p>
        </w:tc>
        <w:tc>
          <w:tcPr>
            <w:tcW w:w="7904" w:type="dxa"/>
            <w:gridSpan w:val="2"/>
            <w:shd w:val="clear" w:color="auto" w:fill="auto"/>
            <w:vAlign w:val="center"/>
          </w:tcPr>
          <w:p>
            <w:pPr>
              <w:pStyle w:val="2"/>
              <w:ind w:left="0"/>
            </w:pPr>
            <w:r>
              <w:rPr>
                <w:rFonts w:hint="eastAsia"/>
              </w:rPr>
              <w:t>1、评标委员会经评审否决不合格投标后，因有效投标（指经过全部评审而未被否决的投标，下同）不足三个的：</w:t>
            </w:r>
          </w:p>
          <w:p>
            <w:pPr>
              <w:pStyle w:val="2"/>
              <w:ind w:left="0"/>
            </w:pPr>
            <w:r>
              <w:rPr>
                <w:rFonts w:hint="eastAsia"/>
              </w:rPr>
              <w:t>○投标明显缺乏竞争由评标委员会认定：投标人是否具有竞争性应从其实力、信誉、技术方案及投标报价等方面认定。</w:t>
            </w:r>
          </w:p>
          <w:p>
            <w:pPr>
              <w:pStyle w:val="2"/>
              <w:ind w:left="0"/>
            </w:pPr>
            <w:r>
              <w:rPr>
                <w:rFonts w:hint="eastAsia"/>
              </w:rPr>
              <w:t>○投标明显缺乏竞争，招标文件有量化规定的从其规定:</w:t>
            </w:r>
            <w:r>
              <w:rPr>
                <w:rFonts w:hint="eastAsia"/>
                <w:u w:val="single"/>
              </w:rPr>
              <w:t xml:space="preserve">              </w:t>
            </w:r>
            <w:r>
              <w:rPr>
                <w:rFonts w:hint="eastAsia"/>
              </w:rPr>
              <w:t xml:space="preserve"> 。</w:t>
            </w:r>
          </w:p>
          <w:p>
            <w:pPr>
              <w:pStyle w:val="2"/>
              <w:ind w:left="0"/>
            </w:pPr>
            <w:r>
              <w:rPr>
                <w:rFonts w:hint="eastAsia"/>
              </w:rPr>
              <w:t>评标委员会否决全部投标或认定可以继续评审的，应当在评标报告中书面说明理由。</w:t>
            </w:r>
          </w:p>
          <w:p>
            <w:pPr>
              <w:pStyle w:val="2"/>
              <w:ind w:left="0"/>
            </w:pPr>
            <w:r>
              <w:rPr>
                <w:rFonts w:hint="eastAsia"/>
              </w:rPr>
              <w:t>2、评标委员会在做出否决投标决定前，应向当事人发出“否决通知书”，告知投标人否决投标理由。否决投标应当由评标委员会集体表决。</w:t>
            </w:r>
          </w:p>
          <w:p>
            <w:pPr>
              <w:pStyle w:val="2"/>
              <w:ind w:left="0"/>
            </w:pPr>
            <w:r>
              <w:rPr>
                <w:rFonts w:hint="eastAsia"/>
              </w:rPr>
              <w:t>3、评标时评标委员会应按照附表一串通投标行为认定表中情形，根据投标文件如实填写“无”或“有”，并签字确认。有情形之一的，应认定为串通投标，并签字确认，作为评标报告一部分。</w:t>
            </w:r>
          </w:p>
        </w:tc>
      </w:tr>
    </w:tbl>
    <w:p/>
    <w:p>
      <w:pPr>
        <w:pStyle w:val="2"/>
        <w:ind w:left="0"/>
        <w:jc w:val="both"/>
        <w:rPr>
          <w:b/>
          <w:bCs/>
        </w:rPr>
      </w:pPr>
    </w:p>
    <w:p>
      <w:pPr>
        <w:pStyle w:val="2"/>
        <w:ind w:left="0"/>
      </w:pPr>
      <w:r>
        <w:rPr>
          <w:rFonts w:hint="eastAsia"/>
        </w:rPr>
        <w:t>注：“评标办法前附表”中内容仅能填空，如果因为招标项目的情况，需增加其他相关条款，应填入“评标办法前附表增加条款表”中，增加的条款不能与“评标办法前附表”中内容相冲突。评标办法前附表内容和评标办法"须知“不一致的，以评标办法前附表为准。</w:t>
      </w:r>
    </w:p>
    <w:p>
      <w:pPr>
        <w:pStyle w:val="2"/>
        <w:ind w:left="0"/>
      </w:pPr>
    </w:p>
    <w:p>
      <w:pPr>
        <w:pStyle w:val="2"/>
        <w:ind w:left="0"/>
      </w:pPr>
    </w:p>
    <w:p>
      <w:pPr>
        <w:pStyle w:val="2"/>
        <w:ind w:left="0"/>
        <w:jc w:val="both"/>
        <w:rPr>
          <w:b/>
          <w:bCs/>
        </w:rPr>
      </w:pPr>
      <w:r>
        <w:rPr>
          <w:rFonts w:hint="eastAsia"/>
          <w:b/>
          <w:bCs/>
        </w:rPr>
        <w:t>评标办法前附表增加条款表</w:t>
      </w:r>
    </w:p>
    <w:tbl>
      <w:tblPr>
        <w:tblStyle w:val="16"/>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843"/>
        <w:gridCol w:w="6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6" w:type="dxa"/>
            <w:vAlign w:val="center"/>
          </w:tcPr>
          <w:p>
            <w:pPr>
              <w:pStyle w:val="2"/>
              <w:ind w:left="0"/>
              <w:jc w:val="center"/>
            </w:pPr>
            <w:r>
              <w:rPr>
                <w:rFonts w:hint="eastAsia"/>
              </w:rPr>
              <w:t>条款号</w:t>
            </w:r>
          </w:p>
        </w:tc>
        <w:tc>
          <w:tcPr>
            <w:tcW w:w="1843" w:type="dxa"/>
            <w:vAlign w:val="center"/>
          </w:tcPr>
          <w:p>
            <w:pPr>
              <w:pStyle w:val="2"/>
              <w:ind w:left="0"/>
              <w:jc w:val="center"/>
            </w:pPr>
            <w:r>
              <w:rPr>
                <w:rFonts w:hint="eastAsia"/>
              </w:rPr>
              <w:t>评审因素</w:t>
            </w:r>
          </w:p>
        </w:tc>
        <w:tc>
          <w:tcPr>
            <w:tcW w:w="6194" w:type="dxa"/>
            <w:vAlign w:val="center"/>
          </w:tcPr>
          <w:p>
            <w:pPr>
              <w:pStyle w:val="2"/>
              <w:ind w:left="0"/>
              <w:jc w:val="center"/>
            </w:pPr>
            <w:r>
              <w:rPr>
                <w:rFonts w:hint="eastAsia"/>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26" w:type="dxa"/>
          </w:tcPr>
          <w:p>
            <w:pPr>
              <w:spacing w:line="500" w:lineRule="exact"/>
              <w:jc w:val="center"/>
              <w:rPr>
                <w:rFonts w:ascii="宋体" w:hAnsi="宋体"/>
                <w:b/>
                <w:sz w:val="24"/>
                <w:szCs w:val="21"/>
              </w:rPr>
            </w:pPr>
          </w:p>
        </w:tc>
        <w:tc>
          <w:tcPr>
            <w:tcW w:w="1843" w:type="dxa"/>
          </w:tcPr>
          <w:p>
            <w:pPr>
              <w:spacing w:line="500" w:lineRule="exact"/>
              <w:jc w:val="center"/>
              <w:rPr>
                <w:rFonts w:ascii="宋体" w:hAnsi="宋体"/>
                <w:b/>
                <w:sz w:val="24"/>
                <w:szCs w:val="21"/>
              </w:rPr>
            </w:pPr>
          </w:p>
        </w:tc>
        <w:tc>
          <w:tcPr>
            <w:tcW w:w="6194" w:type="dxa"/>
          </w:tcPr>
          <w:p>
            <w:pPr>
              <w:spacing w:line="500" w:lineRule="exact"/>
              <w:jc w:val="center"/>
              <w:rPr>
                <w:rFonts w:ascii="宋体" w:hAnsi="宋体"/>
                <w:b/>
                <w:sz w:val="24"/>
                <w:szCs w:val="21"/>
              </w:rPr>
            </w:pPr>
          </w:p>
        </w:tc>
      </w:tr>
    </w:tbl>
    <w:p>
      <w:r>
        <w:rPr>
          <w:rFonts w:hint="eastAsia"/>
        </w:rPr>
        <w:br w:type="page"/>
      </w:r>
    </w:p>
    <w:p>
      <w:pPr>
        <w:pStyle w:val="5"/>
        <w:numPr>
          <w:ilvl w:val="0"/>
          <w:numId w:val="4"/>
        </w:numPr>
      </w:pPr>
      <w:bookmarkStart w:id="30" w:name="_Toc29506"/>
      <w:r>
        <w:t>评标方法</w:t>
      </w:r>
      <w:bookmarkEnd w:id="30"/>
    </w:p>
    <w:p>
      <w:pPr>
        <w:pStyle w:val="2"/>
      </w:pPr>
      <w:r>
        <w:rPr>
          <w:rFonts w:hint="eastAsia"/>
        </w:rPr>
        <w:t>本次评标采用经评审的</w:t>
      </w:r>
      <w:r>
        <w:rPr>
          <w:rFonts w:hint="eastAsia"/>
          <w:b/>
          <w:bCs/>
        </w:rPr>
        <w:t>最低投标价法</w:t>
      </w:r>
      <w:r>
        <w:rPr>
          <w:rFonts w:hint="eastAsia"/>
        </w:rPr>
        <w:t>。评标委员会对满足招标文件实质要求的投标文件，根据本章</w:t>
      </w:r>
    </w:p>
    <w:p>
      <w:pPr>
        <w:pStyle w:val="2"/>
        <w:ind w:left="0"/>
      </w:pPr>
      <w:r>
        <w:rPr>
          <w:rFonts w:hint="eastAsia"/>
        </w:rPr>
        <w:t>第2.2 款规定的量化因素及量化标准进行价格折算，按照经评审的投标价由低到高的顺序推荐中标候选人，或根据招标人授权直接确定中标人，但投标报价低于其成本的除外。经评审的投标价相等时，投标报价低的优先；投标报价也相等的，由招标人自行确定。</w:t>
      </w:r>
    </w:p>
    <w:p>
      <w:pPr>
        <w:pStyle w:val="5"/>
        <w:numPr>
          <w:ilvl w:val="0"/>
          <w:numId w:val="4"/>
        </w:numPr>
      </w:pPr>
      <w:r>
        <w:t>评审标准</w:t>
      </w:r>
      <w:bookmarkStart w:id="31" w:name="_bookmark86"/>
      <w:bookmarkEnd w:id="31"/>
    </w:p>
    <w:p>
      <w:pPr>
        <w:pStyle w:val="6"/>
      </w:pPr>
      <w:r>
        <w:rPr>
          <w:rFonts w:hint="eastAsia"/>
        </w:rPr>
        <w:t>2.1初步评审标准</w:t>
      </w:r>
    </w:p>
    <w:p>
      <w:pPr>
        <w:pStyle w:val="2"/>
      </w:pPr>
      <w:r>
        <w:rPr>
          <w:rFonts w:hint="eastAsia"/>
        </w:rPr>
        <w:t>2.1.1 形式评审标准：见评标办法前附表。</w:t>
      </w:r>
    </w:p>
    <w:p>
      <w:pPr>
        <w:pStyle w:val="2"/>
      </w:pPr>
      <w:r>
        <w:rPr>
          <w:rFonts w:hint="eastAsia"/>
        </w:rPr>
        <w:t>2.1.2 资格评审标准：见评标办法前附表。</w:t>
      </w:r>
    </w:p>
    <w:p>
      <w:pPr>
        <w:pStyle w:val="2"/>
      </w:pPr>
      <w:r>
        <w:rPr>
          <w:rFonts w:hint="eastAsia"/>
        </w:rPr>
        <w:t>2.1.3 响应性评审标准：见评标办法前附表。</w:t>
      </w:r>
    </w:p>
    <w:p>
      <w:pPr>
        <w:pStyle w:val="6"/>
      </w:pPr>
      <w:r>
        <w:rPr>
          <w:rFonts w:hint="eastAsia"/>
        </w:rPr>
        <w:t>2.2详细评审标准</w:t>
      </w:r>
    </w:p>
    <w:p>
      <w:pPr>
        <w:pStyle w:val="2"/>
      </w:pPr>
      <w:r>
        <w:rPr>
          <w:rFonts w:hint="eastAsia"/>
        </w:rPr>
        <w:t>2.2.1 投标报价初步评审标准：见评标办法前附表。</w:t>
      </w:r>
    </w:p>
    <w:p>
      <w:pPr>
        <w:pStyle w:val="2"/>
      </w:pPr>
      <w:r>
        <w:rPr>
          <w:rFonts w:hint="eastAsia"/>
        </w:rPr>
        <w:t>2.2.2 投标报价低于成本评审标准：见评标办法前附表。</w:t>
      </w:r>
    </w:p>
    <w:p>
      <w:pPr>
        <w:pStyle w:val="5"/>
        <w:numPr>
          <w:ilvl w:val="0"/>
          <w:numId w:val="4"/>
        </w:numPr>
      </w:pPr>
      <w:bookmarkStart w:id="32" w:name="_Toc14257"/>
      <w:r>
        <w:t>评标程序</w:t>
      </w:r>
      <w:bookmarkEnd w:id="32"/>
    </w:p>
    <w:p>
      <w:pPr>
        <w:pStyle w:val="6"/>
      </w:pPr>
      <w:r>
        <w:rPr>
          <w:rFonts w:hint="eastAsia"/>
        </w:rPr>
        <w:t>3.1初步评审</w:t>
      </w:r>
    </w:p>
    <w:p>
      <w:pPr>
        <w:pStyle w:val="2"/>
      </w:pPr>
      <w:r>
        <w:rPr>
          <w:rFonts w:hint="eastAsia"/>
        </w:rPr>
        <w:t>3.1.1 评标委员会可以要求投标人提交第二章“投标人须知”第3.5.1 项至第3.5.5 项规定的有</w:t>
      </w:r>
    </w:p>
    <w:p>
      <w:pPr>
        <w:pStyle w:val="2"/>
        <w:ind w:left="0"/>
      </w:pPr>
      <w:r>
        <w:rPr>
          <w:rFonts w:hint="eastAsia"/>
        </w:rPr>
        <w:t>关证明和证件的原件，以便核验。评标委员会依据本章第2.1 款规定的标准对投标文件进行初步评审。有一项不符合评审标准的，作否决投标处理。</w:t>
      </w:r>
    </w:p>
    <w:p>
      <w:pPr>
        <w:pStyle w:val="2"/>
      </w:pPr>
      <w:r>
        <w:rPr>
          <w:rFonts w:hint="eastAsia"/>
        </w:rPr>
        <w:t>3.1.2 投标人有以下情形之一的，其投标作否决投标处理：</w:t>
      </w:r>
    </w:p>
    <w:p>
      <w:pPr>
        <w:pStyle w:val="2"/>
      </w:pPr>
      <w:r>
        <w:rPr>
          <w:rFonts w:hint="eastAsia"/>
        </w:rPr>
        <w:t>（1）串通投标或弄虚作假或有其他违法行为的；</w:t>
      </w:r>
    </w:p>
    <w:p>
      <w:pPr>
        <w:pStyle w:val="2"/>
      </w:pPr>
      <w:r>
        <w:rPr>
          <w:rFonts w:hint="eastAsia"/>
        </w:rPr>
        <w:t>（2）不按评标委员会要求澄清、说明或补正的。</w:t>
      </w:r>
    </w:p>
    <w:p>
      <w:pPr>
        <w:pStyle w:val="2"/>
      </w:pPr>
      <w:r>
        <w:rPr>
          <w:rFonts w:hint="eastAsia"/>
        </w:rPr>
        <w:t>3.1.3 投标报价有细微偏差的，评标委员会按以下原则对投标报价进行修正，修正的价格经投标人</w:t>
      </w:r>
    </w:p>
    <w:p>
      <w:pPr>
        <w:pStyle w:val="2"/>
        <w:ind w:left="0"/>
      </w:pPr>
      <w:r>
        <w:rPr>
          <w:rFonts w:hint="eastAsia"/>
        </w:rPr>
        <w:t>书面确认后具有约束力。投标人不接受修正价格的，其投标作否决投标处理。</w:t>
      </w:r>
    </w:p>
    <w:p>
      <w:pPr>
        <w:pStyle w:val="2"/>
        <w:numPr>
          <w:ilvl w:val="0"/>
          <w:numId w:val="5"/>
        </w:numPr>
      </w:pPr>
      <w:r>
        <w:rPr>
          <w:rFonts w:hint="eastAsia"/>
        </w:rPr>
        <w:t>总价金额与依据单价计算出的结果不一致的，以单价金额为准修正总价，但单价金额小数点</w:t>
      </w:r>
    </w:p>
    <w:p>
      <w:pPr>
        <w:pStyle w:val="2"/>
        <w:ind w:left="0"/>
      </w:pPr>
      <w:r>
        <w:rPr>
          <w:rFonts w:hint="eastAsia"/>
        </w:rPr>
        <w:t>有明显错误的除外。</w:t>
      </w:r>
    </w:p>
    <w:p>
      <w:pPr>
        <w:pStyle w:val="2"/>
        <w:numPr>
          <w:ilvl w:val="0"/>
          <w:numId w:val="5"/>
        </w:numPr>
      </w:pPr>
      <w:r>
        <w:rPr>
          <w:rFonts w:hint="eastAsia"/>
        </w:rPr>
        <w:t>暂列金额未按招标文件中列出的金额填写的，依据招标文件中列出的金额进行更正并对其投</w:t>
      </w:r>
    </w:p>
    <w:p>
      <w:pPr>
        <w:pStyle w:val="2"/>
        <w:ind w:left="0"/>
      </w:pPr>
      <w:r>
        <w:rPr>
          <w:rFonts w:hint="eastAsia"/>
        </w:rPr>
        <w:t>标报价进行相应修正。</w:t>
      </w:r>
    </w:p>
    <w:p>
      <w:pPr>
        <w:pStyle w:val="6"/>
      </w:pPr>
      <w:r>
        <w:rPr>
          <w:rFonts w:hint="eastAsia"/>
        </w:rPr>
        <w:t>3.2详细评审</w:t>
      </w:r>
    </w:p>
    <w:p>
      <w:pPr>
        <w:pStyle w:val="2"/>
      </w:pPr>
      <w:r>
        <w:rPr>
          <w:rFonts w:hint="eastAsia"/>
        </w:rPr>
        <w:t>3.2.1 评标委员会按本章第2.2 款规定的量化因素，计算出评标价。</w:t>
      </w:r>
    </w:p>
    <w:p>
      <w:pPr>
        <w:pStyle w:val="2"/>
      </w:pPr>
      <w:r>
        <w:rPr>
          <w:rFonts w:hint="eastAsia"/>
        </w:rPr>
        <w:t>3.2.2 评标委员会发现投标人的报价明显低于其他投标报价，或者在设有标底时明显低于标底，使</w:t>
      </w:r>
    </w:p>
    <w:p>
      <w:pPr>
        <w:pStyle w:val="2"/>
        <w:ind w:left="0"/>
      </w:pPr>
      <w:r>
        <w:rPr>
          <w:rFonts w:hint="eastAsia"/>
        </w:rPr>
        <w:t>得其投标报价可能低于其成本的，应当要求该投标人作出书面说明并提供相应的证明材料。投标人不能合理说明或者不能提供相应证明材料的，由评标委员会认定该投标人以低于成本报价竞标，其投标作否决投标处理。</w:t>
      </w:r>
    </w:p>
    <w:p>
      <w:pPr>
        <w:pStyle w:val="6"/>
      </w:pPr>
      <w:r>
        <w:rPr>
          <w:rFonts w:hint="eastAsia"/>
        </w:rPr>
        <w:t>3.3投标文件的澄清和补正</w:t>
      </w:r>
    </w:p>
    <w:p>
      <w:pPr>
        <w:pStyle w:val="2"/>
      </w:pPr>
      <w:r>
        <w:rPr>
          <w:rFonts w:hint="eastAsia"/>
        </w:rPr>
        <w:t>3.3.1 评标专家在评审过程中，对认为需要投标人澄清、说明或补正的事项，应由评标委员会向投</w:t>
      </w:r>
    </w:p>
    <w:p>
      <w:pPr>
        <w:pStyle w:val="2"/>
        <w:ind w:left="0"/>
      </w:pPr>
      <w:r>
        <w:rPr>
          <w:rFonts w:hint="eastAsia"/>
        </w:rPr>
        <w:t>标人发出书面《评标专家向投标人质疑函》（详附件1.1）进行询问。投标人的澄清、说明或补正应当采用书面形式，并由投标人的法定代表人或其授权的代理人签字有效。</w:t>
      </w:r>
    </w:p>
    <w:p>
      <w:pPr>
        <w:pStyle w:val="2"/>
      </w:pPr>
      <w:r>
        <w:rPr>
          <w:rFonts w:hint="eastAsia"/>
        </w:rPr>
        <w:t>3.3.2如果评标专家对投标人提交的澄清、说明或补正依然存在疑问，评标专家可以进一步要求澄</w:t>
      </w:r>
    </w:p>
    <w:p>
      <w:pPr>
        <w:pStyle w:val="2"/>
        <w:ind w:left="0"/>
      </w:pPr>
      <w:r>
        <w:rPr>
          <w:rFonts w:hint="eastAsia"/>
        </w:rPr>
        <w:t>清、说明或补正，投标人应进一步澄清、说明或补正，直至评标专家认为全部疑问得到澄清和说明。</w:t>
      </w:r>
    </w:p>
    <w:p>
      <w:pPr>
        <w:pStyle w:val="2"/>
      </w:pPr>
      <w:r>
        <w:rPr>
          <w:rFonts w:hint="eastAsia"/>
        </w:rPr>
        <w:t>3.3.3在评标过程中，评标委员会可以书面形式要求投标人对所提交的投标文件中不明确的内容进</w:t>
      </w:r>
    </w:p>
    <w:p>
      <w:pPr>
        <w:pStyle w:val="2"/>
        <w:ind w:left="0"/>
      </w:pPr>
      <w:r>
        <w:rPr>
          <w:rFonts w:hint="eastAsia"/>
        </w:rPr>
        <w:t>行书面澄清或说明，或者对细微偏差进行补正。评标委员会不接受投标人主动提出的澄清、说明或补正。</w:t>
      </w:r>
    </w:p>
    <w:p>
      <w:pPr>
        <w:pStyle w:val="2"/>
      </w:pPr>
      <w:r>
        <w:rPr>
          <w:rFonts w:hint="eastAsia"/>
        </w:rPr>
        <w:t>3.3.4如果投标人未按要求及时提交《评标专家向投标人质疑函》，其投标应予以否决。</w:t>
      </w:r>
    </w:p>
    <w:p>
      <w:pPr>
        <w:pStyle w:val="6"/>
        <w:rPr>
          <w:sz w:val="32"/>
        </w:rPr>
      </w:pPr>
      <w:r>
        <w:rPr>
          <w:rFonts w:hint="eastAsia"/>
          <w:sz w:val="32"/>
        </w:rPr>
        <w:t>3.4招标文件的澄清和补正</w:t>
      </w:r>
    </w:p>
    <w:p>
      <w:pPr>
        <w:pStyle w:val="2"/>
      </w:pPr>
      <w:r>
        <w:rPr>
          <w:rFonts w:hint="eastAsia"/>
        </w:rPr>
        <w:t>3.4.1在评标过程中，评标委员会对认为需要招标人对招标文件进行解释、说明的事项，应由评标</w:t>
      </w:r>
    </w:p>
    <w:p>
      <w:pPr>
        <w:pStyle w:val="2"/>
        <w:ind w:left="0"/>
      </w:pPr>
      <w:r>
        <w:rPr>
          <w:rFonts w:hint="eastAsia"/>
        </w:rPr>
        <w:t>委员会向招标人发出书面《评标专家向招标人质疑函》（详附件1.2）进行询问。招标人的解释、说明应当采用书面形式，并由招标人的法定代表人或其授权的代理人签字有效。招标人的解释、说明应当合法、公平、公正，并不得改变招标文件的实质性内容。</w:t>
      </w:r>
    </w:p>
    <w:p>
      <w:pPr>
        <w:pStyle w:val="2"/>
      </w:pPr>
      <w:r>
        <w:rPr>
          <w:rFonts w:hint="eastAsia"/>
        </w:rPr>
        <w:t>3.4.2如果招标人未按要求提交《评标专家向招标人质疑函》，评标专家可拒绝评标或按不利于招标</w:t>
      </w:r>
    </w:p>
    <w:p>
      <w:pPr>
        <w:pStyle w:val="2"/>
        <w:ind w:left="0"/>
      </w:pPr>
      <w:r>
        <w:rPr>
          <w:rFonts w:hint="eastAsia"/>
        </w:rPr>
        <w:t>人的方式处理，招标人承担相应责任。</w:t>
      </w:r>
    </w:p>
    <w:p>
      <w:pPr>
        <w:pStyle w:val="6"/>
        <w:rPr>
          <w:sz w:val="32"/>
        </w:rPr>
      </w:pPr>
      <w:r>
        <w:rPr>
          <w:rFonts w:hint="eastAsia"/>
          <w:sz w:val="32"/>
        </w:rPr>
        <w:t>3.5评标结果</w:t>
      </w:r>
    </w:p>
    <w:p>
      <w:pPr>
        <w:pStyle w:val="2"/>
      </w:pPr>
      <w:r>
        <w:rPr>
          <w:rFonts w:hint="eastAsia"/>
        </w:rPr>
        <w:t>3.5.1 除第二章“投标人须知”前附表授权直接确定中标人外，评标委员会按照经评审的价格由低</w:t>
      </w:r>
    </w:p>
    <w:p>
      <w:pPr>
        <w:pStyle w:val="2"/>
        <w:ind w:left="0"/>
      </w:pPr>
      <w:r>
        <w:rPr>
          <w:rFonts w:hint="eastAsia"/>
        </w:rPr>
        <w:t>到高的顺序推荐中标候选人。</w:t>
      </w:r>
    </w:p>
    <w:p>
      <w:pPr>
        <w:pStyle w:val="2"/>
      </w:pPr>
      <w:r>
        <w:rPr>
          <w:rFonts w:hint="eastAsia"/>
        </w:rPr>
        <w:t>3.5.2 评标委员会完成评标后，应当向招标人提交书面评标报告。</w:t>
      </w:r>
    </w:p>
    <w:p>
      <w:r>
        <w:rPr>
          <w:rFonts w:hint="eastAsia"/>
        </w:rPr>
        <w:br w:type="page"/>
      </w:r>
    </w:p>
    <w:p>
      <w:pPr>
        <w:pStyle w:val="4"/>
      </w:pPr>
      <w:bookmarkStart w:id="33" w:name="_Toc8361"/>
      <w:r>
        <w:rPr>
          <w:rFonts w:hint="eastAsia"/>
        </w:rPr>
        <w:t>第三章 评标办法（综合评估法）</w:t>
      </w:r>
      <w:bookmarkEnd w:id="33"/>
    </w:p>
    <w:p>
      <w:pPr>
        <w:pStyle w:val="5"/>
        <w:jc w:val="center"/>
      </w:pPr>
      <w:r>
        <w:rPr>
          <w:rFonts w:hint="eastAsia"/>
        </w:rPr>
        <w:t>评标办法前附表</w:t>
      </w:r>
    </w:p>
    <w:tbl>
      <w:tblPr>
        <w:tblStyle w:val="16"/>
        <w:tblW w:w="10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1137"/>
        <w:gridCol w:w="1622"/>
        <w:gridCol w:w="79"/>
        <w:gridCol w:w="707"/>
        <w:gridCol w:w="5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93" w:type="dxa"/>
            <w:gridSpan w:val="2"/>
            <w:shd w:val="clear" w:color="auto" w:fill="auto"/>
            <w:vAlign w:val="center"/>
          </w:tcPr>
          <w:p>
            <w:pPr>
              <w:pStyle w:val="2"/>
              <w:ind w:left="0"/>
              <w:jc w:val="center"/>
              <w:rPr>
                <w:b/>
                <w:bCs/>
              </w:rPr>
            </w:pPr>
            <w:r>
              <w:rPr>
                <w:b/>
                <w:bCs/>
              </w:rPr>
              <w:t>条款号</w:t>
            </w:r>
          </w:p>
        </w:tc>
        <w:tc>
          <w:tcPr>
            <w:tcW w:w="2408" w:type="dxa"/>
            <w:gridSpan w:val="3"/>
            <w:shd w:val="clear" w:color="auto" w:fill="auto"/>
            <w:vAlign w:val="center"/>
          </w:tcPr>
          <w:p>
            <w:pPr>
              <w:pStyle w:val="2"/>
              <w:ind w:left="0"/>
              <w:jc w:val="center"/>
              <w:rPr>
                <w:b/>
                <w:bCs/>
              </w:rPr>
            </w:pPr>
            <w:r>
              <w:rPr>
                <w:b/>
                <w:bCs/>
              </w:rPr>
              <w:t>评审因素</w:t>
            </w:r>
          </w:p>
        </w:tc>
        <w:tc>
          <w:tcPr>
            <w:tcW w:w="5550" w:type="dxa"/>
            <w:shd w:val="clear" w:color="auto" w:fill="auto"/>
            <w:vAlign w:val="center"/>
          </w:tcPr>
          <w:p>
            <w:pPr>
              <w:pStyle w:val="2"/>
              <w:ind w:left="0"/>
              <w:jc w:val="center"/>
              <w:rPr>
                <w:b/>
                <w:bCs/>
              </w:rPr>
            </w:pPr>
            <w:r>
              <w:rPr>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restart"/>
            <w:shd w:val="clear" w:color="auto" w:fill="auto"/>
            <w:vAlign w:val="center"/>
          </w:tcPr>
          <w:p>
            <w:pPr>
              <w:pStyle w:val="2"/>
              <w:ind w:left="0"/>
              <w:jc w:val="center"/>
            </w:pPr>
            <w:r>
              <w:rPr>
                <w:rFonts w:hint="eastAsia"/>
              </w:rPr>
              <w:t>2.1.1</w:t>
            </w:r>
          </w:p>
        </w:tc>
        <w:tc>
          <w:tcPr>
            <w:tcW w:w="1137" w:type="dxa"/>
            <w:vMerge w:val="restart"/>
            <w:shd w:val="clear" w:color="auto" w:fill="auto"/>
            <w:vAlign w:val="center"/>
          </w:tcPr>
          <w:p>
            <w:pPr>
              <w:pStyle w:val="2"/>
              <w:ind w:left="0"/>
              <w:jc w:val="center"/>
            </w:pPr>
            <w:r>
              <w:t>形式评审标准</w:t>
            </w:r>
          </w:p>
        </w:tc>
        <w:tc>
          <w:tcPr>
            <w:tcW w:w="2408" w:type="dxa"/>
            <w:gridSpan w:val="3"/>
            <w:shd w:val="clear" w:color="auto" w:fill="auto"/>
            <w:vAlign w:val="center"/>
          </w:tcPr>
          <w:p>
            <w:pPr>
              <w:pStyle w:val="2"/>
              <w:ind w:left="0"/>
              <w:jc w:val="center"/>
            </w:pPr>
            <w:r>
              <w:t>投标人名称</w:t>
            </w:r>
          </w:p>
        </w:tc>
        <w:tc>
          <w:tcPr>
            <w:tcW w:w="5550" w:type="dxa"/>
            <w:shd w:val="clear" w:color="auto" w:fill="auto"/>
            <w:vAlign w:val="center"/>
          </w:tcPr>
          <w:p>
            <w:pPr>
              <w:pStyle w:val="2"/>
              <w:ind w:left="0"/>
            </w:pPr>
            <w:r>
              <w:t>与营业执照</w:t>
            </w:r>
            <w:r>
              <w:rPr>
                <w:rFonts w:hint="eastAsia"/>
              </w:rPr>
              <w:t>、资质证书</w:t>
            </w:r>
            <w:r>
              <w:t>一致</w:t>
            </w:r>
            <w:r>
              <w:rPr>
                <w:rFonts w:hint="eastAsia"/>
              </w:rPr>
              <w:t>，如为联合体，则联合体各方均须满足。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签字、盖章要求</w:t>
            </w:r>
          </w:p>
        </w:tc>
        <w:tc>
          <w:tcPr>
            <w:tcW w:w="5550" w:type="dxa"/>
            <w:shd w:val="clear" w:color="auto" w:fill="auto"/>
            <w:vAlign w:val="center"/>
          </w:tcPr>
          <w:p>
            <w:pPr>
              <w:pStyle w:val="2"/>
              <w:ind w:left="0"/>
            </w:pPr>
            <w:r>
              <w:rPr>
                <w:rFonts w:hint="eastAsia"/>
              </w:rPr>
              <w:t>符合第二章“投标人须知前附表”第</w:t>
            </w:r>
            <w:r>
              <w:t xml:space="preserve"> 3.7.3</w:t>
            </w:r>
            <w:r>
              <w:rPr>
                <w:rFonts w:hint="eastAsia"/>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投标文件格式</w:t>
            </w:r>
          </w:p>
        </w:tc>
        <w:tc>
          <w:tcPr>
            <w:tcW w:w="5550" w:type="dxa"/>
            <w:shd w:val="clear" w:color="auto" w:fill="auto"/>
            <w:vAlign w:val="center"/>
          </w:tcPr>
          <w:p>
            <w:pPr>
              <w:pStyle w:val="2"/>
              <w:ind w:left="0"/>
            </w:pPr>
            <w:r>
              <w:rPr>
                <w:rFonts w:hint="eastAsia"/>
              </w:rPr>
              <w:t>符合第六章“投标文件格式的要求和第二章“投标人须知前附表”第</w:t>
            </w:r>
            <w:r>
              <w:t xml:space="preserve"> 3.7.1</w:t>
            </w:r>
            <w:r>
              <w:rPr>
                <w:rFonts w:hint="eastAsia"/>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联合体投标人</w:t>
            </w:r>
          </w:p>
        </w:tc>
        <w:tc>
          <w:tcPr>
            <w:tcW w:w="5550" w:type="dxa"/>
            <w:shd w:val="clear" w:color="auto" w:fill="auto"/>
          </w:tcPr>
          <w:p>
            <w:pPr>
              <w:pStyle w:val="2"/>
              <w:ind w:left="0"/>
            </w:pPr>
            <w:r>
              <w:t>提交符合招标文件要求的联合体协议书，明确各方承担连带责任，并明确联合体牵头人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报价唯一</w:t>
            </w:r>
          </w:p>
        </w:tc>
        <w:tc>
          <w:tcPr>
            <w:tcW w:w="5550" w:type="dxa"/>
            <w:shd w:val="clear" w:color="auto" w:fill="auto"/>
            <w:vAlign w:val="center"/>
          </w:tcPr>
          <w:p>
            <w:pPr>
              <w:pStyle w:val="2"/>
              <w:ind w:left="0"/>
            </w:pPr>
            <w:r>
              <w:rPr>
                <w:rFonts w:hint="eastAsia"/>
              </w:rPr>
              <w:t>只能有一个有效报价，即符合第二章“投标人须知前附表”第</w:t>
            </w:r>
            <w:r>
              <w:t>10.</w:t>
            </w:r>
            <w:r>
              <w:rPr>
                <w:rFonts w:hint="eastAsia"/>
              </w:rPr>
              <w:t>4款要求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7958" w:type="dxa"/>
            <w:gridSpan w:val="4"/>
            <w:shd w:val="clear" w:color="auto" w:fill="auto"/>
            <w:vAlign w:val="center"/>
          </w:tcPr>
          <w:p>
            <w:pPr>
              <w:pStyle w:val="2"/>
              <w:ind w:left="0"/>
            </w:pPr>
            <w:r>
              <w:rPr>
                <w:rFonts w:hint="eastAsia"/>
              </w:rPr>
              <w:t>以上评审有一条不通过，则视为形式评审标准不通过，不进入下一步评审，应当否决其投标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56" w:type="dxa"/>
            <w:vMerge w:val="restart"/>
            <w:shd w:val="clear" w:color="auto" w:fill="auto"/>
            <w:vAlign w:val="center"/>
          </w:tcPr>
          <w:p>
            <w:pPr>
              <w:pStyle w:val="2"/>
              <w:ind w:left="0"/>
              <w:jc w:val="center"/>
            </w:pPr>
            <w:r>
              <w:rPr>
                <w:rFonts w:hint="eastAsia"/>
              </w:rPr>
              <w:t>2.1.2</w:t>
            </w:r>
          </w:p>
        </w:tc>
        <w:tc>
          <w:tcPr>
            <w:tcW w:w="1137" w:type="dxa"/>
            <w:vMerge w:val="restart"/>
            <w:shd w:val="clear" w:color="auto" w:fill="auto"/>
            <w:vAlign w:val="center"/>
          </w:tcPr>
          <w:p>
            <w:pPr>
              <w:pStyle w:val="2"/>
              <w:ind w:left="0"/>
              <w:jc w:val="center"/>
            </w:pPr>
            <w:r>
              <w:t>资格评审标准</w:t>
            </w:r>
          </w:p>
        </w:tc>
        <w:tc>
          <w:tcPr>
            <w:tcW w:w="2408" w:type="dxa"/>
            <w:gridSpan w:val="3"/>
            <w:shd w:val="clear" w:color="auto" w:fill="auto"/>
            <w:vAlign w:val="center"/>
          </w:tcPr>
          <w:p>
            <w:pPr>
              <w:pStyle w:val="2"/>
              <w:ind w:left="0"/>
              <w:jc w:val="center"/>
            </w:pPr>
            <w:r>
              <w:t>营业执照</w:t>
            </w:r>
          </w:p>
        </w:tc>
        <w:tc>
          <w:tcPr>
            <w:tcW w:w="5550" w:type="dxa"/>
            <w:shd w:val="clear" w:color="auto" w:fill="auto"/>
            <w:vAlign w:val="center"/>
          </w:tcPr>
          <w:p>
            <w:pPr>
              <w:pStyle w:val="2"/>
              <w:ind w:left="0"/>
            </w:pPr>
            <w:r>
              <w:rPr>
                <w:rFonts w:hint="eastAsia"/>
              </w:rPr>
              <w:t>具备有效的营业执照，联合体投标的联合体各方均须提供营业执照。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资格要求</w:t>
            </w:r>
          </w:p>
        </w:tc>
        <w:tc>
          <w:tcPr>
            <w:tcW w:w="5550" w:type="dxa"/>
            <w:shd w:val="clear" w:color="auto" w:fill="auto"/>
            <w:vAlign w:val="center"/>
          </w:tcPr>
          <w:p>
            <w:pPr>
              <w:pStyle w:val="2"/>
              <w:ind w:left="0"/>
            </w:pPr>
            <w:r>
              <w:t>符合第二章“投标人须知</w:t>
            </w:r>
            <w:r>
              <w:rPr>
                <w:rFonts w:hint="eastAsia"/>
              </w:rPr>
              <w:t>前附表</w:t>
            </w:r>
            <w: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□财务状况</w:t>
            </w:r>
          </w:p>
        </w:tc>
        <w:tc>
          <w:tcPr>
            <w:tcW w:w="5550" w:type="dxa"/>
            <w:shd w:val="clear" w:color="auto" w:fill="auto"/>
            <w:vAlign w:val="center"/>
          </w:tcPr>
          <w:p>
            <w:pPr>
              <w:pStyle w:val="2"/>
              <w:ind w:left="0"/>
            </w:pPr>
            <w:r>
              <w:t>符合第二章“投标人须知</w:t>
            </w:r>
            <w:r>
              <w:rPr>
                <w:rFonts w:hint="eastAsia"/>
              </w:rPr>
              <w:t>前附表</w:t>
            </w:r>
            <w: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w:t>
            </w:r>
            <w:r>
              <w:t>类似业绩要求</w:t>
            </w:r>
          </w:p>
        </w:tc>
        <w:tc>
          <w:tcPr>
            <w:tcW w:w="5550" w:type="dxa"/>
            <w:shd w:val="clear" w:color="auto" w:fill="auto"/>
            <w:vAlign w:val="center"/>
          </w:tcPr>
          <w:p>
            <w:pPr>
              <w:pStyle w:val="2"/>
              <w:ind w:left="0"/>
            </w:pPr>
            <w:r>
              <w:t>符合第二章“投标人须知</w:t>
            </w:r>
            <w:r>
              <w:rPr>
                <w:rFonts w:hint="eastAsia"/>
              </w:rPr>
              <w:t>前附表</w:t>
            </w:r>
            <w: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t>信誉要求</w:t>
            </w:r>
          </w:p>
        </w:tc>
        <w:tc>
          <w:tcPr>
            <w:tcW w:w="5550" w:type="dxa"/>
            <w:shd w:val="clear" w:color="auto" w:fill="auto"/>
            <w:vAlign w:val="center"/>
          </w:tcPr>
          <w:p>
            <w:pPr>
              <w:pStyle w:val="2"/>
              <w:ind w:left="0"/>
            </w:pPr>
            <w:r>
              <w:t>符合第二章“投标人须知</w:t>
            </w:r>
            <w:r>
              <w:rPr>
                <w:rFonts w:hint="eastAsia"/>
              </w:rPr>
              <w:t>前附表</w:t>
            </w:r>
            <w: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t>其他要求</w:t>
            </w:r>
          </w:p>
        </w:tc>
        <w:tc>
          <w:tcPr>
            <w:tcW w:w="5550" w:type="dxa"/>
            <w:shd w:val="clear" w:color="auto" w:fill="auto"/>
            <w:vAlign w:val="center"/>
          </w:tcPr>
          <w:p>
            <w:pPr>
              <w:pStyle w:val="2"/>
              <w:ind w:left="0"/>
            </w:pPr>
            <w:r>
              <w:t>符合第二章“投标人须知</w:t>
            </w:r>
            <w:r>
              <w:rPr>
                <w:rFonts w:hint="eastAsia"/>
              </w:rPr>
              <w:t>前附表</w:t>
            </w:r>
            <w: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□联合体投标人</w:t>
            </w:r>
          </w:p>
        </w:tc>
        <w:tc>
          <w:tcPr>
            <w:tcW w:w="5550" w:type="dxa"/>
            <w:shd w:val="clear" w:color="auto" w:fill="auto"/>
            <w:vAlign w:val="center"/>
          </w:tcPr>
          <w:p>
            <w:pPr>
              <w:pStyle w:val="2"/>
              <w:ind w:left="0"/>
            </w:pPr>
            <w:r>
              <w:rPr>
                <w:rFonts w:hint="eastAsia"/>
              </w:rPr>
              <w:t>符合第二章“投标人须知前附表”第</w:t>
            </w:r>
            <w:r>
              <w:t>1.4.</w:t>
            </w:r>
            <w:r>
              <w:rPr>
                <w:rFonts w:hint="eastAsia"/>
              </w:rPr>
              <w:t>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7958" w:type="dxa"/>
            <w:gridSpan w:val="4"/>
            <w:shd w:val="clear" w:color="auto" w:fill="auto"/>
            <w:vAlign w:val="center"/>
          </w:tcPr>
          <w:p>
            <w:pPr>
              <w:pStyle w:val="2"/>
              <w:ind w:left="0"/>
            </w:pPr>
            <w:r>
              <w:rPr>
                <w:rFonts w:hint="eastAsia"/>
              </w:rPr>
              <w:t>以上评审有一条不通过，则视为资格评审标准不通过，不进入下一步评审，应当否决其投标。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restart"/>
            <w:shd w:val="clear" w:color="auto" w:fill="auto"/>
            <w:vAlign w:val="center"/>
          </w:tcPr>
          <w:p>
            <w:pPr>
              <w:pStyle w:val="2"/>
              <w:ind w:left="0"/>
              <w:jc w:val="center"/>
            </w:pPr>
            <w:r>
              <w:rPr>
                <w:rFonts w:hint="eastAsia"/>
              </w:rPr>
              <w:t>2.1.3</w:t>
            </w:r>
          </w:p>
        </w:tc>
        <w:tc>
          <w:tcPr>
            <w:tcW w:w="1137" w:type="dxa"/>
            <w:vMerge w:val="restart"/>
            <w:shd w:val="clear" w:color="auto" w:fill="auto"/>
            <w:vAlign w:val="center"/>
          </w:tcPr>
          <w:p>
            <w:pPr>
              <w:pStyle w:val="2"/>
              <w:ind w:left="0"/>
              <w:jc w:val="center"/>
            </w:pPr>
            <w:r>
              <w:t>响应性评审标准</w:t>
            </w:r>
          </w:p>
        </w:tc>
        <w:tc>
          <w:tcPr>
            <w:tcW w:w="2408" w:type="dxa"/>
            <w:gridSpan w:val="3"/>
            <w:shd w:val="clear" w:color="auto" w:fill="auto"/>
            <w:vAlign w:val="center"/>
          </w:tcPr>
          <w:p>
            <w:pPr>
              <w:pStyle w:val="2"/>
              <w:ind w:left="0"/>
              <w:jc w:val="center"/>
            </w:pPr>
            <w:r>
              <w:rPr>
                <w:rFonts w:hint="eastAsia"/>
              </w:rPr>
              <w:t>投标其他要求</w:t>
            </w:r>
          </w:p>
        </w:tc>
        <w:tc>
          <w:tcPr>
            <w:tcW w:w="5550" w:type="dxa"/>
            <w:shd w:val="clear" w:color="auto" w:fill="auto"/>
            <w:vAlign w:val="center"/>
          </w:tcPr>
          <w:p>
            <w:pPr>
              <w:pStyle w:val="2"/>
              <w:ind w:left="0"/>
            </w:pPr>
            <w:r>
              <w:rPr>
                <w:rFonts w:hint="eastAsia"/>
              </w:rPr>
              <w:t>符合第二章“投标人须知前附表”第</w:t>
            </w:r>
            <w:r>
              <w:t>1.4.4</w:t>
            </w:r>
            <w:r>
              <w:rPr>
                <w:rFonts w:hint="eastAsia"/>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招标</w:t>
            </w:r>
            <w:r>
              <w:t>范围</w:t>
            </w:r>
          </w:p>
        </w:tc>
        <w:tc>
          <w:tcPr>
            <w:tcW w:w="5550" w:type="dxa"/>
            <w:shd w:val="clear" w:color="auto" w:fill="auto"/>
            <w:vAlign w:val="center"/>
          </w:tcPr>
          <w:p>
            <w:pPr>
              <w:pStyle w:val="2"/>
              <w:ind w:left="0"/>
            </w:pPr>
            <w:r>
              <w:t>符合第二章“投标人须知</w:t>
            </w:r>
            <w:r>
              <w:rPr>
                <w:rFonts w:hint="eastAsia"/>
              </w:rPr>
              <w:t>前附表</w:t>
            </w:r>
            <w:r>
              <w:t>”第1.3.</w:t>
            </w:r>
            <w:r>
              <w:rPr>
                <w:rFonts w:hint="eastAsia"/>
              </w:rPr>
              <w:t>1</w:t>
            </w:r>
            <w: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t>计划供货期</w:t>
            </w:r>
          </w:p>
        </w:tc>
        <w:tc>
          <w:tcPr>
            <w:tcW w:w="5550" w:type="dxa"/>
            <w:shd w:val="clear" w:color="auto" w:fill="auto"/>
            <w:vAlign w:val="center"/>
          </w:tcPr>
          <w:p>
            <w:pPr>
              <w:pStyle w:val="2"/>
              <w:ind w:left="0"/>
            </w:pPr>
            <w:r>
              <w:t>符合第二章“投标人须知</w:t>
            </w:r>
            <w:r>
              <w:rPr>
                <w:rFonts w:hint="eastAsia"/>
              </w:rPr>
              <w:t>前附表</w:t>
            </w:r>
            <w:r>
              <w:t>”第1.3.2项规定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质量要求</w:t>
            </w:r>
          </w:p>
        </w:tc>
        <w:tc>
          <w:tcPr>
            <w:tcW w:w="5550" w:type="dxa"/>
            <w:shd w:val="clear" w:color="auto" w:fill="auto"/>
            <w:vAlign w:val="center"/>
          </w:tcPr>
          <w:p>
            <w:pPr>
              <w:pStyle w:val="2"/>
              <w:ind w:left="0"/>
            </w:pPr>
            <w:r>
              <w:rPr>
                <w:rFonts w:hint="eastAsia"/>
              </w:rPr>
              <w:t>符合第二章“投标人须知前附表”第</w:t>
            </w:r>
            <w:r>
              <w:t>1.3.3</w:t>
            </w:r>
            <w:r>
              <w:rPr>
                <w:rFonts w:hint="eastAsia"/>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t>投标有效期</w:t>
            </w:r>
          </w:p>
        </w:tc>
        <w:tc>
          <w:tcPr>
            <w:tcW w:w="5550" w:type="dxa"/>
            <w:shd w:val="clear" w:color="auto" w:fill="auto"/>
            <w:vAlign w:val="center"/>
          </w:tcPr>
          <w:p>
            <w:pPr>
              <w:pStyle w:val="2"/>
              <w:ind w:left="0"/>
            </w:pPr>
            <w:r>
              <w:t>符合第二章“投标人须知</w:t>
            </w:r>
            <w:r>
              <w:rPr>
                <w:rFonts w:hint="eastAsia"/>
              </w:rPr>
              <w:t>前附表</w:t>
            </w:r>
            <w:r>
              <w:t>”第3.3.1项规定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投标保证金</w:t>
            </w:r>
          </w:p>
        </w:tc>
        <w:tc>
          <w:tcPr>
            <w:tcW w:w="5550" w:type="dxa"/>
            <w:shd w:val="clear" w:color="auto" w:fill="auto"/>
            <w:vAlign w:val="center"/>
          </w:tcPr>
          <w:p>
            <w:pPr>
              <w:pStyle w:val="2"/>
              <w:ind w:left="0"/>
            </w:pPr>
            <w:r>
              <w:rPr>
                <w:rFonts w:hint="eastAsia"/>
              </w:rPr>
              <w:t>符合第二章“投标人须知前附表”第3.4.1项规定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招标控制价</w:t>
            </w:r>
          </w:p>
        </w:tc>
        <w:tc>
          <w:tcPr>
            <w:tcW w:w="5550" w:type="dxa"/>
            <w:shd w:val="clear" w:color="auto" w:fill="auto"/>
            <w:vAlign w:val="center"/>
          </w:tcPr>
          <w:p>
            <w:pPr>
              <w:pStyle w:val="2"/>
              <w:ind w:left="0"/>
            </w:pPr>
            <w:r>
              <w:rPr>
                <w:rFonts w:hint="eastAsia"/>
              </w:rPr>
              <w:t>符合第二章“投标人须知前附表”第10.1项规定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投标要求</w:t>
            </w:r>
          </w:p>
        </w:tc>
        <w:tc>
          <w:tcPr>
            <w:tcW w:w="5550" w:type="dxa"/>
            <w:shd w:val="clear" w:color="auto" w:fill="auto"/>
            <w:vAlign w:val="center"/>
          </w:tcPr>
          <w:p>
            <w:pPr>
              <w:pStyle w:val="2"/>
              <w:ind w:left="0"/>
            </w:pPr>
            <w:r>
              <w:rPr>
                <w:rFonts w:hint="eastAsia"/>
              </w:rPr>
              <w:t>不存在本章第</w:t>
            </w:r>
            <w:r>
              <w:t>3.1.2</w:t>
            </w:r>
            <w:r>
              <w:rPr>
                <w:rFonts w:hint="eastAsia"/>
              </w:rPr>
              <w:t>项任何一种情形之一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权利义务</w:t>
            </w:r>
          </w:p>
        </w:tc>
        <w:tc>
          <w:tcPr>
            <w:tcW w:w="5550" w:type="dxa"/>
            <w:shd w:val="clear" w:color="auto" w:fill="auto"/>
            <w:vAlign w:val="center"/>
          </w:tcPr>
          <w:p>
            <w:pPr>
              <w:pStyle w:val="2"/>
              <w:ind w:left="0"/>
            </w:pPr>
            <w:r>
              <w:rPr>
                <w:rFonts w:hint="eastAsia"/>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w:t>
            </w:r>
            <w:r>
              <w:t>技术标准和要求</w:t>
            </w:r>
          </w:p>
        </w:tc>
        <w:tc>
          <w:tcPr>
            <w:tcW w:w="5550" w:type="dxa"/>
            <w:shd w:val="clear" w:color="auto" w:fill="auto"/>
            <w:vAlign w:val="center"/>
          </w:tcPr>
          <w:p>
            <w:pPr>
              <w:pStyle w:val="2"/>
              <w:ind w:left="0"/>
            </w:pPr>
            <w:r>
              <w:t>符合第五章“技术标准和要求”规定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2408" w:type="dxa"/>
            <w:gridSpan w:val="3"/>
            <w:shd w:val="clear" w:color="auto" w:fill="auto"/>
            <w:vAlign w:val="center"/>
          </w:tcPr>
          <w:p>
            <w:pPr>
              <w:pStyle w:val="2"/>
              <w:ind w:left="0"/>
              <w:jc w:val="center"/>
            </w:pPr>
            <w:r>
              <w:rPr>
                <w:rFonts w:hint="eastAsia"/>
              </w:rPr>
              <w:t>□技术方案</w:t>
            </w:r>
          </w:p>
        </w:tc>
        <w:tc>
          <w:tcPr>
            <w:tcW w:w="5550" w:type="dxa"/>
            <w:shd w:val="clear" w:color="auto" w:fill="auto"/>
            <w:vAlign w:val="center"/>
          </w:tcPr>
          <w:p>
            <w:pPr>
              <w:pStyle w:val="2"/>
              <w:ind w:left="0"/>
            </w:pPr>
            <w:r>
              <w:t>符合第</w:t>
            </w:r>
            <w:r>
              <w:rPr>
                <w:rFonts w:hint="eastAsia"/>
              </w:rPr>
              <w:t>六</w:t>
            </w:r>
            <w:r>
              <w:t>章“</w:t>
            </w:r>
            <w:r>
              <w:rPr>
                <w:rFonts w:hint="eastAsia"/>
              </w:rPr>
              <w:t>投标文件格式</w:t>
            </w:r>
            <w: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956" w:type="dxa"/>
            <w:vMerge w:val="continue"/>
            <w:shd w:val="clear" w:color="auto" w:fill="auto"/>
            <w:vAlign w:val="center"/>
          </w:tcPr>
          <w:p>
            <w:pPr>
              <w:pStyle w:val="2"/>
              <w:ind w:left="0"/>
            </w:pPr>
          </w:p>
        </w:tc>
        <w:tc>
          <w:tcPr>
            <w:tcW w:w="1137" w:type="dxa"/>
            <w:vMerge w:val="continue"/>
            <w:shd w:val="clear" w:color="auto" w:fill="auto"/>
            <w:vAlign w:val="center"/>
          </w:tcPr>
          <w:p>
            <w:pPr>
              <w:pStyle w:val="2"/>
              <w:ind w:left="0"/>
            </w:pPr>
          </w:p>
        </w:tc>
        <w:tc>
          <w:tcPr>
            <w:tcW w:w="7958" w:type="dxa"/>
            <w:gridSpan w:val="4"/>
            <w:shd w:val="clear" w:color="auto" w:fill="auto"/>
            <w:vAlign w:val="center"/>
          </w:tcPr>
          <w:p>
            <w:pPr>
              <w:pStyle w:val="2"/>
              <w:ind w:left="0"/>
            </w:pPr>
            <w:r>
              <w:rPr>
                <w:rFonts w:hint="eastAsia"/>
              </w:rPr>
              <w:t>以上评审有一条不通过，则视为响应性评审标准不通过，不进入下一步评审，应当否决其投标。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56" w:type="dxa"/>
            <w:shd w:val="clear" w:color="auto" w:fill="auto"/>
            <w:vAlign w:val="center"/>
          </w:tcPr>
          <w:p>
            <w:pPr>
              <w:pStyle w:val="2"/>
              <w:ind w:left="0"/>
              <w:jc w:val="center"/>
              <w:rPr>
                <w:b/>
                <w:bCs/>
              </w:rPr>
            </w:pPr>
            <w:r>
              <w:rPr>
                <w:b/>
                <w:bCs/>
              </w:rPr>
              <w:t>条款号</w:t>
            </w:r>
          </w:p>
        </w:tc>
        <w:tc>
          <w:tcPr>
            <w:tcW w:w="1137" w:type="dxa"/>
            <w:shd w:val="clear" w:color="auto" w:fill="auto"/>
            <w:vAlign w:val="center"/>
          </w:tcPr>
          <w:p>
            <w:pPr>
              <w:pStyle w:val="2"/>
              <w:ind w:left="0"/>
              <w:jc w:val="center"/>
              <w:rPr>
                <w:b/>
                <w:bCs/>
              </w:rPr>
            </w:pPr>
            <w:r>
              <w:rPr>
                <w:b/>
                <w:bCs/>
              </w:rPr>
              <w:t>条款内容</w:t>
            </w:r>
          </w:p>
        </w:tc>
        <w:tc>
          <w:tcPr>
            <w:tcW w:w="7958" w:type="dxa"/>
            <w:gridSpan w:val="4"/>
            <w:shd w:val="clear" w:color="auto" w:fill="auto"/>
            <w:vAlign w:val="center"/>
          </w:tcPr>
          <w:p>
            <w:pPr>
              <w:pStyle w:val="2"/>
              <w:ind w:left="0"/>
              <w:jc w:val="center"/>
              <w:rPr>
                <w:b/>
                <w:bCs/>
              </w:rPr>
            </w:pPr>
            <w:r>
              <w:rPr>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956" w:type="dxa"/>
            <w:shd w:val="clear" w:color="auto" w:fill="auto"/>
            <w:vAlign w:val="center"/>
          </w:tcPr>
          <w:p>
            <w:pPr>
              <w:pStyle w:val="2"/>
              <w:ind w:left="0"/>
              <w:jc w:val="center"/>
            </w:pPr>
            <w:r>
              <w:rPr>
                <w:rFonts w:hint="eastAsia"/>
              </w:rPr>
              <w:t>2.1.4</w:t>
            </w:r>
          </w:p>
        </w:tc>
        <w:tc>
          <w:tcPr>
            <w:tcW w:w="1137" w:type="dxa"/>
            <w:shd w:val="clear" w:color="auto" w:fill="auto"/>
            <w:vAlign w:val="center"/>
          </w:tcPr>
          <w:p>
            <w:pPr>
              <w:pStyle w:val="2"/>
              <w:ind w:left="0"/>
              <w:jc w:val="center"/>
            </w:pPr>
            <w:r>
              <w:rPr>
                <w:rFonts w:hint="eastAsia"/>
              </w:rPr>
              <w:t>投</w:t>
            </w:r>
          </w:p>
          <w:p>
            <w:pPr>
              <w:pStyle w:val="2"/>
              <w:ind w:left="0"/>
              <w:jc w:val="center"/>
            </w:pPr>
            <w:r>
              <w:rPr>
                <w:rFonts w:hint="eastAsia"/>
              </w:rPr>
              <w:t>标</w:t>
            </w:r>
          </w:p>
          <w:p>
            <w:pPr>
              <w:pStyle w:val="2"/>
              <w:ind w:left="0"/>
              <w:jc w:val="center"/>
            </w:pPr>
            <w:r>
              <w:rPr>
                <w:rFonts w:hint="eastAsia"/>
              </w:rPr>
              <w:t>报</w:t>
            </w:r>
          </w:p>
          <w:p>
            <w:pPr>
              <w:pStyle w:val="2"/>
              <w:ind w:left="0"/>
              <w:jc w:val="center"/>
            </w:pPr>
            <w:r>
              <w:rPr>
                <w:rFonts w:hint="eastAsia"/>
              </w:rPr>
              <w:t>价</w:t>
            </w:r>
          </w:p>
          <w:p>
            <w:pPr>
              <w:pStyle w:val="2"/>
              <w:ind w:left="0"/>
              <w:jc w:val="center"/>
            </w:pPr>
            <w:r>
              <w:rPr>
                <w:rFonts w:hint="eastAsia"/>
              </w:rPr>
              <w:t>初</w:t>
            </w:r>
          </w:p>
          <w:p>
            <w:pPr>
              <w:pStyle w:val="2"/>
              <w:ind w:left="0"/>
              <w:jc w:val="center"/>
            </w:pPr>
            <w:r>
              <w:rPr>
                <w:rFonts w:hint="eastAsia"/>
              </w:rPr>
              <w:t>步</w:t>
            </w:r>
          </w:p>
          <w:p>
            <w:pPr>
              <w:pStyle w:val="2"/>
              <w:ind w:left="0"/>
              <w:jc w:val="center"/>
            </w:pPr>
            <w:r>
              <w:rPr>
                <w:rFonts w:hint="eastAsia"/>
              </w:rPr>
              <w:t>评</w:t>
            </w:r>
          </w:p>
          <w:p>
            <w:pPr>
              <w:pStyle w:val="2"/>
              <w:ind w:left="0"/>
              <w:jc w:val="center"/>
            </w:pPr>
            <w:r>
              <w:rPr>
                <w:rFonts w:hint="eastAsia"/>
              </w:rPr>
              <w:t>审</w:t>
            </w:r>
          </w:p>
        </w:tc>
        <w:tc>
          <w:tcPr>
            <w:tcW w:w="7958" w:type="dxa"/>
            <w:gridSpan w:val="4"/>
            <w:shd w:val="clear" w:color="auto" w:fill="auto"/>
            <w:vAlign w:val="center"/>
          </w:tcPr>
          <w:p>
            <w:pPr>
              <w:pStyle w:val="2"/>
              <w:ind w:left="0"/>
            </w:pPr>
            <w:r>
              <w:rPr>
                <w:rFonts w:hint="eastAsia"/>
              </w:rPr>
              <w:t>评标委员会仅</w:t>
            </w:r>
            <w:r>
              <w:t>对</w:t>
            </w:r>
            <w:r>
              <w:rPr>
                <w:rFonts w:hint="eastAsia"/>
              </w:rPr>
              <w:t>通过</w:t>
            </w:r>
            <w:r>
              <w:t>投标文件</w:t>
            </w:r>
            <w:r>
              <w:rPr>
                <w:rFonts w:hint="eastAsia"/>
              </w:rPr>
              <w:t>形式评审、资格评审、响应性评审的投标文件进行投标报价初步评审。</w:t>
            </w:r>
          </w:p>
          <w:p>
            <w:pPr>
              <w:pStyle w:val="2"/>
              <w:ind w:left="0"/>
              <w:rPr>
                <w:b/>
                <w:bCs/>
              </w:rPr>
            </w:pPr>
            <w:r>
              <w:rPr>
                <w:rFonts w:hint="eastAsia"/>
                <w:b/>
                <w:bCs/>
              </w:rPr>
              <w:t>投标报价有下列情况之一的，评标委员会应当否决其投标。</w:t>
            </w:r>
          </w:p>
          <w:p>
            <w:pPr>
              <w:pStyle w:val="2"/>
              <w:ind w:left="0"/>
            </w:pPr>
            <w:r>
              <w:rPr>
                <w:rFonts w:hint="eastAsia"/>
              </w:rPr>
              <w:t>（一）投标人投标函中填报的金额、投标报价文件中投标总价扉页的金额（修正前）超过招标文件中公布的招标控制价的；</w:t>
            </w:r>
          </w:p>
          <w:p>
            <w:pPr>
              <w:pStyle w:val="2"/>
              <w:ind w:left="0"/>
            </w:pPr>
            <w:r>
              <w:rPr>
                <w:rFonts w:hint="eastAsia"/>
              </w:rPr>
              <w:t>（二）投标报价文件（包括投标函）中的任何单价、合价或总价，不论大写金额或小写金额不唯一；</w:t>
            </w:r>
          </w:p>
          <w:p>
            <w:pPr>
              <w:pStyle w:val="2"/>
              <w:ind w:left="0"/>
            </w:pPr>
            <w:r>
              <w:rPr>
                <w:rFonts w:hint="eastAsia"/>
              </w:rPr>
              <w:t>（三）未响应招标文件中对投标人投标报价其他实质性要求的；</w:t>
            </w:r>
          </w:p>
          <w:p>
            <w:pPr>
              <w:pStyle w:val="2"/>
              <w:ind w:left="0"/>
            </w:pPr>
            <w:r>
              <w:rPr>
                <w:rFonts w:hint="eastAsia"/>
              </w:rPr>
              <w:t>□（四）投标报价中暂列金额未按招标清单中列明的金额填报的。</w:t>
            </w:r>
          </w:p>
          <w:p>
            <w:pPr>
              <w:pStyle w:val="2"/>
              <w:ind w:left="0"/>
            </w:pPr>
            <w:r>
              <w:rPr>
                <w:rFonts w:hint="eastAsia"/>
              </w:rPr>
              <w:t>□本次投标允许算术修正，评标委员会对发现投标报价存在算数性错误的，应按以下原则对投标报价进行修正：</w:t>
            </w:r>
          </w:p>
          <w:p>
            <w:pPr>
              <w:pStyle w:val="2"/>
              <w:ind w:left="0"/>
            </w:pPr>
            <w:r>
              <w:rPr>
                <w:rFonts w:hint="eastAsia"/>
              </w:rPr>
              <w:t>（一）当综合单价与该项数量（或计算基础金额与费率）的乘积与合价不一致时，以综合单价（或费率）为准修正合价及总价，除非报价评审组认为综合单价（或费率）有明显的小数点错误，此时应以合价为准，并修正综合单价；</w:t>
            </w:r>
          </w:p>
          <w:p>
            <w:pPr>
              <w:pStyle w:val="2"/>
              <w:ind w:left="0"/>
            </w:pPr>
            <w:r>
              <w:rPr>
                <w:rFonts w:hint="eastAsia"/>
              </w:rPr>
              <w:t>（二）当各单项金额相加与其合计金额不一致时，以各单项金额为准修正相应合计金额及总价。</w:t>
            </w:r>
          </w:p>
          <w:p>
            <w:pPr>
              <w:pStyle w:val="2"/>
              <w:ind w:left="0"/>
            </w:pPr>
            <w:r>
              <w:rPr>
                <w:rFonts w:hint="eastAsia"/>
                <w:b/>
                <w:bCs/>
              </w:rPr>
              <w:t>评标委员会修正后的价格经投标人书面确认后具有约束力。投标人不接受修正价格或修正后价格高于招标控制价的，评标委员会应否决其投标。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956" w:type="dxa"/>
            <w:shd w:val="clear" w:color="auto" w:fill="auto"/>
            <w:vAlign w:val="center"/>
          </w:tcPr>
          <w:p>
            <w:pPr>
              <w:pStyle w:val="2"/>
              <w:ind w:left="0"/>
              <w:jc w:val="center"/>
            </w:pPr>
            <w:r>
              <w:rPr>
                <w:rFonts w:hint="eastAsia"/>
              </w:rPr>
              <w:t>2.1.5</w:t>
            </w:r>
          </w:p>
        </w:tc>
        <w:tc>
          <w:tcPr>
            <w:tcW w:w="1137" w:type="dxa"/>
            <w:shd w:val="clear" w:color="auto" w:fill="auto"/>
            <w:vAlign w:val="center"/>
          </w:tcPr>
          <w:p>
            <w:pPr>
              <w:pStyle w:val="2"/>
              <w:ind w:left="0"/>
              <w:jc w:val="center"/>
            </w:pPr>
            <w:r>
              <w:rPr>
                <w:rFonts w:hint="eastAsia"/>
              </w:rPr>
              <w:t>投</w:t>
            </w:r>
          </w:p>
          <w:p>
            <w:pPr>
              <w:pStyle w:val="2"/>
              <w:ind w:left="0"/>
              <w:jc w:val="center"/>
            </w:pPr>
            <w:r>
              <w:rPr>
                <w:rFonts w:hint="eastAsia"/>
              </w:rPr>
              <w:t>标</w:t>
            </w:r>
          </w:p>
          <w:p>
            <w:pPr>
              <w:pStyle w:val="2"/>
              <w:ind w:left="0"/>
              <w:jc w:val="center"/>
            </w:pPr>
            <w:r>
              <w:rPr>
                <w:rFonts w:hint="eastAsia"/>
              </w:rPr>
              <w:t>报</w:t>
            </w:r>
          </w:p>
          <w:p>
            <w:pPr>
              <w:pStyle w:val="2"/>
              <w:ind w:left="0"/>
              <w:jc w:val="center"/>
            </w:pPr>
            <w:r>
              <w:rPr>
                <w:rFonts w:hint="eastAsia"/>
              </w:rPr>
              <w:t>价</w:t>
            </w:r>
          </w:p>
          <w:p>
            <w:pPr>
              <w:pStyle w:val="2"/>
              <w:ind w:left="0"/>
              <w:jc w:val="center"/>
            </w:pPr>
            <w:r>
              <w:rPr>
                <w:rFonts w:hint="eastAsia"/>
              </w:rPr>
              <w:t>低</w:t>
            </w:r>
          </w:p>
          <w:p>
            <w:pPr>
              <w:pStyle w:val="2"/>
              <w:ind w:left="0"/>
              <w:jc w:val="center"/>
            </w:pPr>
            <w:r>
              <w:rPr>
                <w:rFonts w:hint="eastAsia"/>
              </w:rPr>
              <w:t>于</w:t>
            </w:r>
          </w:p>
          <w:p>
            <w:pPr>
              <w:pStyle w:val="2"/>
              <w:ind w:left="0"/>
              <w:jc w:val="center"/>
            </w:pPr>
            <w:r>
              <w:rPr>
                <w:rFonts w:hint="eastAsia"/>
              </w:rPr>
              <w:t>成</w:t>
            </w:r>
          </w:p>
          <w:p>
            <w:pPr>
              <w:pStyle w:val="2"/>
              <w:ind w:left="0"/>
              <w:jc w:val="center"/>
            </w:pPr>
            <w:r>
              <w:rPr>
                <w:rFonts w:hint="eastAsia"/>
              </w:rPr>
              <w:t>本</w:t>
            </w:r>
          </w:p>
          <w:p>
            <w:pPr>
              <w:pStyle w:val="2"/>
              <w:ind w:left="0"/>
              <w:jc w:val="center"/>
            </w:pPr>
            <w:r>
              <w:rPr>
                <w:rFonts w:hint="eastAsia"/>
              </w:rPr>
              <w:t>评</w:t>
            </w:r>
          </w:p>
          <w:p>
            <w:pPr>
              <w:pStyle w:val="2"/>
              <w:ind w:left="0"/>
              <w:jc w:val="center"/>
            </w:pPr>
            <w:r>
              <w:rPr>
                <w:rFonts w:hint="eastAsia"/>
              </w:rPr>
              <w:t>审</w:t>
            </w:r>
          </w:p>
        </w:tc>
        <w:tc>
          <w:tcPr>
            <w:tcW w:w="7958" w:type="dxa"/>
            <w:gridSpan w:val="4"/>
            <w:shd w:val="clear" w:color="auto" w:fill="auto"/>
            <w:vAlign w:val="center"/>
          </w:tcPr>
          <w:p>
            <w:pPr>
              <w:pStyle w:val="2"/>
              <w:ind w:left="0"/>
              <w:rPr>
                <w:b/>
                <w:bCs/>
              </w:rPr>
            </w:pPr>
            <w:r>
              <w:rPr>
                <w:b/>
                <w:bCs/>
              </w:rPr>
              <w:t>评标委员会只对</w:t>
            </w:r>
            <w:r>
              <w:rPr>
                <w:rFonts w:hint="eastAsia"/>
                <w:b/>
                <w:bCs/>
              </w:rPr>
              <w:t>通过报价</w:t>
            </w:r>
            <w:r>
              <w:rPr>
                <w:b/>
                <w:bCs/>
              </w:rPr>
              <w:t>初步评审后的投标报价进行</w:t>
            </w:r>
            <w:r>
              <w:rPr>
                <w:rFonts w:hint="eastAsia"/>
                <w:b/>
                <w:bCs/>
              </w:rPr>
              <w:t>低于成本评审</w:t>
            </w:r>
            <w:r>
              <w:rPr>
                <w:b/>
                <w:bCs/>
              </w:rPr>
              <w:t>。</w:t>
            </w:r>
          </w:p>
          <w:p>
            <w:pPr>
              <w:pStyle w:val="2"/>
              <w:ind w:left="0"/>
            </w:pPr>
            <w:r>
              <w:rPr>
                <w:rFonts w:hint="eastAsia"/>
              </w:rPr>
              <w:t>投标报价低于成本的数据为通过投标报价初步评审的全部投标人的投标报价数据。</w:t>
            </w:r>
          </w:p>
          <w:p>
            <w:pPr>
              <w:pStyle w:val="2"/>
              <w:ind w:left="0"/>
            </w:pPr>
            <w:r>
              <w:rPr>
                <w:rFonts w:hint="eastAsia"/>
              </w:rPr>
              <w:t>○在评标过程中，评标委员会发现投标人的报价明显低于其他投标报价，使得其投标报价可能低于其个别成本的，应当要求该投标人作出书面说明，评标委员会应从投标人的供货周期、制作</w:t>
            </w:r>
            <w:r>
              <w:t>工艺、</w:t>
            </w:r>
            <w:r>
              <w:rPr>
                <w:rFonts w:hint="eastAsia"/>
              </w:rPr>
              <w:t>管理成本等方面综合考虑对投标人是否低于其个别成本进行认定。</w:t>
            </w:r>
          </w:p>
          <w:p>
            <w:pPr>
              <w:pStyle w:val="2"/>
              <w:ind w:left="0"/>
            </w:pPr>
            <w:r>
              <w:rPr>
                <w:rFonts w:hint="eastAsia"/>
              </w:rPr>
              <w:t>○在评标过程中，招标人对投标人的报价</w:t>
            </w:r>
            <w:r>
              <w:t>低于成本的</w:t>
            </w:r>
            <w:r>
              <w:rPr>
                <w:rFonts w:hint="eastAsia"/>
              </w:rPr>
              <w:t>规定</w:t>
            </w:r>
            <w:r>
              <w:t>为：</w:t>
            </w:r>
            <w:r>
              <w:rPr>
                <w:rFonts w:hint="eastAsia"/>
                <w:u w:val="single"/>
              </w:rPr>
              <w:t xml:space="preserve">              </w:t>
            </w:r>
            <w:r>
              <w:rPr>
                <w:rFonts w:hint="eastAsia"/>
              </w:rPr>
              <w:t xml:space="preserve"> 。</w:t>
            </w:r>
          </w:p>
          <w:p>
            <w:pPr>
              <w:pStyle w:val="2"/>
              <w:ind w:left="0" w:firstLine="440" w:firstLineChars="200"/>
            </w:pPr>
            <w:r>
              <w:rPr>
                <w:rFonts w:hint="eastAsia"/>
              </w:rPr>
              <w:t>评标委员会经评审认为其不低于成本的，应当书面说明理由。投标人不能说明或者评标委员会认为说明不合理的，由评标委员会认定该投标人以低于成本报价竞标，其投标应作否决处理。</w:t>
            </w:r>
          </w:p>
          <w:p>
            <w:pPr>
              <w:pStyle w:val="2"/>
              <w:ind w:left="0" w:firstLine="440" w:firstLineChars="200"/>
            </w:pPr>
            <w:r>
              <w:rPr>
                <w:rFonts w:hint="eastAsia"/>
              </w:rPr>
              <w:t>评标委员会全体成员三分之二以上认为该投标人不能合理说明的，认定该投标人以低于成本报价竞标，其投标应作否决处理。持有异议的评标委员会成员可以书面方式阐述其不同意见和理由，拒绝签字且不陈述其不同意见和理由的，视为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1" w:hRule="atLeast"/>
          <w:jc w:val="center"/>
        </w:trPr>
        <w:tc>
          <w:tcPr>
            <w:tcW w:w="956" w:type="dxa"/>
            <w:shd w:val="clear" w:color="auto" w:fill="auto"/>
            <w:vAlign w:val="center"/>
          </w:tcPr>
          <w:p>
            <w:pPr>
              <w:pStyle w:val="2"/>
              <w:ind w:left="0"/>
              <w:jc w:val="center"/>
            </w:pPr>
            <w:r>
              <w:rPr>
                <w:rFonts w:hint="eastAsia"/>
              </w:rPr>
              <w:t>2.2.1</w:t>
            </w:r>
          </w:p>
        </w:tc>
        <w:tc>
          <w:tcPr>
            <w:tcW w:w="2838" w:type="dxa"/>
            <w:gridSpan w:val="3"/>
            <w:shd w:val="clear" w:color="auto" w:fill="auto"/>
            <w:vAlign w:val="center"/>
          </w:tcPr>
          <w:p>
            <w:pPr>
              <w:pStyle w:val="2"/>
              <w:ind w:left="0"/>
              <w:jc w:val="center"/>
            </w:pPr>
            <w:r>
              <w:rPr>
                <w:rFonts w:hint="eastAsia"/>
              </w:rPr>
              <w:t>分值构成</w:t>
            </w:r>
          </w:p>
          <w:p>
            <w:pPr>
              <w:pStyle w:val="2"/>
              <w:ind w:left="0"/>
              <w:jc w:val="center"/>
            </w:pPr>
            <w:r>
              <w:rPr>
                <w:rFonts w:hint="eastAsia"/>
              </w:rPr>
              <w:t>(100分)</w:t>
            </w:r>
          </w:p>
        </w:tc>
        <w:tc>
          <w:tcPr>
            <w:tcW w:w="6257" w:type="dxa"/>
            <w:gridSpan w:val="2"/>
            <w:shd w:val="clear" w:color="auto" w:fill="auto"/>
            <w:vAlign w:val="center"/>
          </w:tcPr>
          <w:p>
            <w:pPr>
              <w:pStyle w:val="2"/>
              <w:ind w:left="0"/>
            </w:pPr>
            <w:r>
              <w:rPr>
                <w:rFonts w:hint="eastAsia"/>
              </w:rPr>
              <w:t>实施方案和技术参数</w:t>
            </w:r>
            <w:r>
              <w:t>：</w:t>
            </w:r>
            <w:r>
              <w:rPr>
                <w:u w:val="single"/>
              </w:rPr>
              <w:t xml:space="preserve">       </w:t>
            </w:r>
            <w:r>
              <w:t>分</w:t>
            </w:r>
            <w:r>
              <w:rPr>
                <w:rFonts w:hint="eastAsia"/>
              </w:rPr>
              <w:t>（5-20）</w:t>
            </w:r>
          </w:p>
          <w:p>
            <w:pPr>
              <w:pStyle w:val="2"/>
              <w:ind w:left="0"/>
            </w:pPr>
            <w:r>
              <w:t>项目管理机构：</w:t>
            </w:r>
            <w:r>
              <w:rPr>
                <w:u w:val="single"/>
              </w:rPr>
              <w:t xml:space="preserve">       </w:t>
            </w:r>
            <w:r>
              <w:t>分</w:t>
            </w:r>
            <w:r>
              <w:rPr>
                <w:rFonts w:hint="eastAsia"/>
              </w:rPr>
              <w:t>（0-20）</w:t>
            </w:r>
          </w:p>
          <w:p>
            <w:pPr>
              <w:pStyle w:val="2"/>
              <w:ind w:left="0"/>
            </w:pPr>
            <w:r>
              <w:t>投标报价：</w:t>
            </w:r>
            <w:r>
              <w:rPr>
                <w:u w:val="single"/>
              </w:rPr>
              <w:t xml:space="preserve">           </w:t>
            </w:r>
            <w:r>
              <w:t>分</w:t>
            </w:r>
            <w:r>
              <w:rPr>
                <w:rFonts w:hint="eastAsia"/>
              </w:rPr>
              <w:t>（不低于60分）</w:t>
            </w:r>
          </w:p>
          <w:p>
            <w:pPr>
              <w:pStyle w:val="2"/>
              <w:ind w:left="0"/>
            </w:pPr>
            <w:r>
              <w:t>其他评分因素：</w:t>
            </w:r>
            <w:r>
              <w:rPr>
                <w:u w:val="single"/>
              </w:rPr>
              <w:t xml:space="preserve">       </w:t>
            </w:r>
            <w:r>
              <w:t>分</w:t>
            </w:r>
            <w:r>
              <w:rPr>
                <w:rFonts w:hint="eastAsia"/>
              </w:rPr>
              <w:t>（00-10）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956" w:type="dxa"/>
            <w:shd w:val="clear" w:color="auto" w:fill="auto"/>
            <w:vAlign w:val="center"/>
          </w:tcPr>
          <w:p>
            <w:pPr>
              <w:pStyle w:val="2"/>
              <w:ind w:left="0"/>
              <w:jc w:val="center"/>
            </w:pPr>
            <w:r>
              <w:rPr>
                <w:rFonts w:hint="eastAsia"/>
              </w:rPr>
              <w:t>2.2.2</w:t>
            </w:r>
          </w:p>
        </w:tc>
        <w:tc>
          <w:tcPr>
            <w:tcW w:w="2838" w:type="dxa"/>
            <w:gridSpan w:val="3"/>
            <w:shd w:val="clear" w:color="auto" w:fill="auto"/>
            <w:vAlign w:val="center"/>
          </w:tcPr>
          <w:p>
            <w:pPr>
              <w:pStyle w:val="2"/>
              <w:ind w:left="0"/>
              <w:jc w:val="center"/>
            </w:pPr>
            <w:r>
              <w:rPr>
                <w:rFonts w:hint="eastAsia"/>
              </w:rPr>
              <w:t>评标基准价计算</w:t>
            </w:r>
          </w:p>
        </w:tc>
        <w:tc>
          <w:tcPr>
            <w:tcW w:w="6257" w:type="dxa"/>
            <w:gridSpan w:val="2"/>
            <w:shd w:val="clear" w:color="auto" w:fill="auto"/>
            <w:vAlign w:val="center"/>
          </w:tcPr>
          <w:p>
            <w:pPr>
              <w:pStyle w:val="2"/>
              <w:ind w:left="0"/>
            </w:pPr>
            <w:r>
              <w:t>采用下列</w:t>
            </w:r>
            <w:r>
              <w:rPr>
                <w:u w:val="single"/>
              </w:rPr>
              <w:t xml:space="preserve">    </w:t>
            </w:r>
            <w:r>
              <w:t>方式</w:t>
            </w:r>
            <w:r>
              <w:rPr>
                <w:rFonts w:hint="eastAsia"/>
              </w:rPr>
              <w:t>计算评标</w:t>
            </w:r>
            <w:r>
              <w:t>基准价：</w:t>
            </w:r>
          </w:p>
          <w:p>
            <w:pPr>
              <w:pStyle w:val="2"/>
              <w:ind w:left="0"/>
            </w:pPr>
            <w:r>
              <w:rPr>
                <w:b/>
                <w:bCs/>
              </w:rPr>
              <w:t>A方式：</w:t>
            </w:r>
            <w:r>
              <w:t>采用</w:t>
            </w:r>
            <w:r>
              <w:rPr>
                <w:rFonts w:hint="eastAsia"/>
              </w:rPr>
              <w:t>经评审的</w:t>
            </w:r>
            <w:r>
              <w:t>有效报价（经初步评审合格且不低于成本的投标报价；报价有修正的，以修正后的价格为准）中最低报价为评标基准价，计算公式为：</w:t>
            </w:r>
            <w:r>
              <w:br w:type="textWrapping"/>
            </w:r>
            <w:r>
              <w:t>S（评标基准价）= amin，amin为有效的最低投标报价。</w:t>
            </w:r>
            <w:r>
              <w:br w:type="textWrapping"/>
            </w:r>
            <w:r>
              <w:rPr>
                <w:b/>
                <w:bCs/>
              </w:rPr>
              <w:t>B方式：</w:t>
            </w:r>
            <w:r>
              <w:t>采用</w:t>
            </w:r>
            <w:r>
              <w:rPr>
                <w:rFonts w:hint="eastAsia"/>
              </w:rPr>
              <w:t>经评审的有</w:t>
            </w:r>
            <w:r>
              <w:t>效报价（经初步评审合格且不低于成本的投标报价；报价有修正的，以修正后的价格为准）的算术平均值为评标基准价，计算公式为：</w:t>
            </w:r>
            <w:r>
              <w:br w:type="textWrapping"/>
            </w:r>
            <w:r>
              <w:t>S（评标基准价）= （a1 +……+an）/n，a为有效的投标报价。</w:t>
            </w:r>
            <w:r>
              <w:br w:type="textWrapping"/>
            </w:r>
            <w:r>
              <w:rPr>
                <w:b/>
                <w:bCs/>
              </w:rPr>
              <w:t>C方式：</w:t>
            </w:r>
            <w:r>
              <w:rPr>
                <w:u w:val="single"/>
              </w:rPr>
              <w:t xml:space="preserve">    </w:t>
            </w:r>
            <w:r>
              <w:t>（招标人合理设定的其他方式）。</w:t>
            </w:r>
          </w:p>
          <w:p>
            <w:pPr>
              <w:pStyle w:val="2"/>
              <w:ind w:left="0"/>
            </w:pPr>
            <w:r>
              <w:rPr>
                <w:rFonts w:hint="eastAsia"/>
              </w:rPr>
              <w:t>注：经评审的有</w:t>
            </w:r>
            <w:r>
              <w:t>效报价</w:t>
            </w:r>
            <w:r>
              <w:rPr>
                <w:rFonts w:hint="eastAsia"/>
              </w:rPr>
              <w:t>=</w:t>
            </w:r>
            <w:r>
              <w:t>投标报价-暂列金额。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1" w:hRule="atLeast"/>
          <w:jc w:val="center"/>
        </w:trPr>
        <w:tc>
          <w:tcPr>
            <w:tcW w:w="956" w:type="dxa"/>
            <w:shd w:val="clear" w:color="auto" w:fill="auto"/>
            <w:vAlign w:val="center"/>
          </w:tcPr>
          <w:p>
            <w:pPr>
              <w:pStyle w:val="2"/>
              <w:ind w:left="0"/>
              <w:jc w:val="center"/>
            </w:pPr>
            <w:r>
              <w:t>2.2.3</w:t>
            </w:r>
          </w:p>
        </w:tc>
        <w:tc>
          <w:tcPr>
            <w:tcW w:w="2838" w:type="dxa"/>
            <w:gridSpan w:val="3"/>
            <w:shd w:val="clear" w:color="auto" w:fill="auto"/>
            <w:vAlign w:val="center"/>
          </w:tcPr>
          <w:p>
            <w:pPr>
              <w:pStyle w:val="2"/>
              <w:ind w:left="0"/>
              <w:jc w:val="center"/>
            </w:pPr>
            <w:r>
              <w:t>投标报价的偏差率</w:t>
            </w:r>
            <w:r>
              <w:rPr>
                <w:rFonts w:hint="eastAsia"/>
              </w:rPr>
              <w:t>计算公式</w:t>
            </w:r>
          </w:p>
        </w:tc>
        <w:tc>
          <w:tcPr>
            <w:tcW w:w="6257" w:type="dxa"/>
            <w:gridSpan w:val="2"/>
            <w:shd w:val="clear" w:color="auto" w:fill="auto"/>
            <w:vAlign w:val="center"/>
          </w:tcPr>
          <w:p>
            <w:pPr>
              <w:pStyle w:val="2"/>
              <w:ind w:left="0"/>
            </w:pPr>
            <w:r>
              <w:rPr>
                <w:rFonts w:hint="eastAsia"/>
              </w:rPr>
              <w:t>偏差率=（有效投标的评审价-评标基准价）/评标基准价×</w:t>
            </w:r>
            <w:r>
              <w:t>100%</w:t>
            </w:r>
            <w:r>
              <w:rPr>
                <w:rFonts w:hint="eastAsia"/>
              </w:rPr>
              <w:t>（保留2位小数，小数点后第3位四舍五入）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093" w:type="dxa"/>
            <w:gridSpan w:val="2"/>
            <w:shd w:val="clear" w:color="auto" w:fill="auto"/>
            <w:vAlign w:val="center"/>
          </w:tcPr>
          <w:p>
            <w:pPr>
              <w:pStyle w:val="2"/>
              <w:ind w:left="0"/>
              <w:jc w:val="center"/>
              <w:rPr>
                <w:b/>
                <w:bCs/>
              </w:rPr>
            </w:pPr>
            <w:r>
              <w:rPr>
                <w:rFonts w:hint="eastAsia"/>
                <w:b/>
                <w:bCs/>
              </w:rPr>
              <w:t>条款号</w:t>
            </w:r>
          </w:p>
        </w:tc>
        <w:tc>
          <w:tcPr>
            <w:tcW w:w="1701" w:type="dxa"/>
            <w:gridSpan w:val="2"/>
            <w:shd w:val="clear" w:color="auto" w:fill="auto"/>
            <w:vAlign w:val="center"/>
          </w:tcPr>
          <w:p>
            <w:pPr>
              <w:pStyle w:val="2"/>
              <w:ind w:left="0"/>
              <w:jc w:val="center"/>
              <w:rPr>
                <w:b/>
                <w:bCs/>
              </w:rPr>
            </w:pPr>
            <w:r>
              <w:rPr>
                <w:rFonts w:hint="eastAsia"/>
                <w:b/>
                <w:bCs/>
              </w:rPr>
              <w:t>评分因素</w:t>
            </w:r>
          </w:p>
        </w:tc>
        <w:tc>
          <w:tcPr>
            <w:tcW w:w="6257" w:type="dxa"/>
            <w:gridSpan w:val="2"/>
            <w:shd w:val="clear" w:color="auto" w:fill="auto"/>
            <w:vAlign w:val="center"/>
          </w:tcPr>
          <w:p>
            <w:pPr>
              <w:pStyle w:val="2"/>
              <w:ind w:left="0"/>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56" w:type="dxa"/>
            <w:vMerge w:val="restart"/>
            <w:shd w:val="clear" w:color="auto" w:fill="auto"/>
            <w:vAlign w:val="center"/>
          </w:tcPr>
          <w:p>
            <w:pPr>
              <w:pStyle w:val="2"/>
              <w:ind w:left="0"/>
              <w:jc w:val="center"/>
            </w:pPr>
            <w:r>
              <w:rPr>
                <w:rFonts w:hint="eastAsia"/>
              </w:rPr>
              <w:t>2.2.4</w:t>
            </w:r>
          </w:p>
          <w:p>
            <w:pPr>
              <w:pStyle w:val="2"/>
              <w:ind w:left="0"/>
              <w:jc w:val="center"/>
            </w:pPr>
            <w:r>
              <w:rPr>
                <w:rFonts w:hint="eastAsia"/>
              </w:rPr>
              <w:t>(1)</w:t>
            </w:r>
          </w:p>
        </w:tc>
        <w:tc>
          <w:tcPr>
            <w:tcW w:w="1137" w:type="dxa"/>
            <w:vMerge w:val="restart"/>
            <w:shd w:val="clear" w:color="auto" w:fill="auto"/>
            <w:vAlign w:val="center"/>
          </w:tcPr>
          <w:p>
            <w:pPr>
              <w:pStyle w:val="2"/>
              <w:ind w:left="0"/>
              <w:jc w:val="center"/>
            </w:pPr>
            <w:r>
              <w:rPr>
                <w:rFonts w:hint="eastAsia"/>
              </w:rPr>
              <w:t>实施方案和技术参数</w:t>
            </w:r>
          </w:p>
        </w:tc>
        <w:tc>
          <w:tcPr>
            <w:tcW w:w="1701" w:type="dxa"/>
            <w:gridSpan w:val="2"/>
            <w:shd w:val="clear" w:color="auto" w:fill="auto"/>
            <w:vAlign w:val="center"/>
          </w:tcPr>
          <w:p>
            <w:pPr>
              <w:pStyle w:val="2"/>
              <w:ind w:left="0"/>
              <w:jc w:val="center"/>
            </w:pPr>
            <w:r>
              <w:rPr>
                <w:rFonts w:hint="eastAsia"/>
              </w:rPr>
              <w:t>质量保证措施及承诺</w:t>
            </w:r>
          </w:p>
          <w:p>
            <w:pPr>
              <w:pStyle w:val="2"/>
              <w:ind w:left="0"/>
              <w:jc w:val="center"/>
            </w:pPr>
            <w:r>
              <w:rPr>
                <w:rFonts w:hint="eastAsia"/>
              </w:rPr>
              <w:t>（  分）</w:t>
            </w:r>
          </w:p>
        </w:tc>
        <w:tc>
          <w:tcPr>
            <w:tcW w:w="6257" w:type="dxa"/>
            <w:gridSpan w:val="2"/>
            <w:shd w:val="clear" w:color="auto" w:fill="auto"/>
            <w:vAlign w:val="center"/>
          </w:tcPr>
          <w:p>
            <w:pPr>
              <w:pStyle w:val="2"/>
              <w:ind w:left="0"/>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1701" w:type="dxa"/>
            <w:gridSpan w:val="2"/>
            <w:shd w:val="clear" w:color="auto" w:fill="auto"/>
            <w:vAlign w:val="center"/>
          </w:tcPr>
          <w:p>
            <w:pPr>
              <w:pStyle w:val="2"/>
              <w:ind w:left="0"/>
              <w:jc w:val="center"/>
            </w:pPr>
            <w:r>
              <w:rPr>
                <w:rFonts w:hint="eastAsia"/>
              </w:rPr>
              <w:t>供货服务方案及保障措施</w:t>
            </w:r>
          </w:p>
          <w:p>
            <w:pPr>
              <w:pStyle w:val="2"/>
              <w:ind w:left="0"/>
              <w:jc w:val="center"/>
            </w:pPr>
            <w:r>
              <w:rPr>
                <w:rFonts w:hint="eastAsia"/>
              </w:rPr>
              <w:t>（  分）</w:t>
            </w:r>
          </w:p>
        </w:tc>
        <w:tc>
          <w:tcPr>
            <w:tcW w:w="6257" w:type="dxa"/>
            <w:gridSpan w:val="2"/>
            <w:shd w:val="clear" w:color="auto" w:fill="auto"/>
            <w:vAlign w:val="center"/>
          </w:tcPr>
          <w:p>
            <w:pPr>
              <w:pStyle w:val="2"/>
              <w:ind w:left="0"/>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1701" w:type="dxa"/>
            <w:gridSpan w:val="2"/>
            <w:shd w:val="clear" w:color="auto" w:fill="auto"/>
            <w:vAlign w:val="center"/>
          </w:tcPr>
          <w:p>
            <w:pPr>
              <w:pStyle w:val="2"/>
              <w:ind w:left="0"/>
              <w:jc w:val="center"/>
            </w:pPr>
            <w:r>
              <w:rPr>
                <w:rFonts w:hint="eastAsia"/>
              </w:rPr>
              <w:t>功能主要指标参数</w:t>
            </w:r>
          </w:p>
          <w:p>
            <w:pPr>
              <w:pStyle w:val="2"/>
              <w:ind w:left="0"/>
              <w:jc w:val="center"/>
            </w:pPr>
            <w:r>
              <w:rPr>
                <w:rFonts w:hint="eastAsia"/>
              </w:rPr>
              <w:t>（  分）</w:t>
            </w:r>
          </w:p>
        </w:tc>
        <w:tc>
          <w:tcPr>
            <w:tcW w:w="6257" w:type="dxa"/>
            <w:gridSpan w:val="2"/>
            <w:shd w:val="clear" w:color="auto" w:fill="auto"/>
            <w:vAlign w:val="center"/>
          </w:tcPr>
          <w:p>
            <w:pPr>
              <w:pStyle w:val="2"/>
              <w:ind w:left="0"/>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1701" w:type="dxa"/>
            <w:gridSpan w:val="2"/>
            <w:shd w:val="clear" w:color="auto" w:fill="auto"/>
            <w:vAlign w:val="center"/>
          </w:tcPr>
          <w:p>
            <w:pPr>
              <w:pStyle w:val="2"/>
              <w:ind w:left="0"/>
              <w:jc w:val="center"/>
            </w:pPr>
            <w:r>
              <w:rPr>
                <w:rFonts w:hint="eastAsia"/>
              </w:rPr>
              <w:t>……</w:t>
            </w:r>
          </w:p>
        </w:tc>
        <w:tc>
          <w:tcPr>
            <w:tcW w:w="6257" w:type="dxa"/>
            <w:gridSpan w:val="2"/>
            <w:shd w:val="clear" w:color="auto" w:fill="auto"/>
            <w:vAlign w:val="center"/>
          </w:tcPr>
          <w:p>
            <w:pPr>
              <w:pStyle w:val="2"/>
              <w:ind w:left="0"/>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3"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7958" w:type="dxa"/>
            <w:gridSpan w:val="4"/>
            <w:shd w:val="clear" w:color="auto" w:fill="auto"/>
            <w:vAlign w:val="center"/>
          </w:tcPr>
          <w:p>
            <w:pPr>
              <w:pStyle w:val="2"/>
              <w:ind w:left="0"/>
            </w:pPr>
            <w:r>
              <w:rPr>
                <w:rFonts w:hint="eastAsia"/>
              </w:rPr>
              <w:t>按照技术方案优劣、综合实力分为“好、中、差、无”四档，“好”得最高分， “无”得0分。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56" w:type="dxa"/>
            <w:vMerge w:val="restart"/>
            <w:shd w:val="clear" w:color="auto" w:fill="auto"/>
            <w:vAlign w:val="center"/>
          </w:tcPr>
          <w:p>
            <w:pPr>
              <w:pStyle w:val="2"/>
              <w:ind w:left="0"/>
              <w:jc w:val="center"/>
            </w:pPr>
            <w:r>
              <w:rPr>
                <w:rFonts w:hint="eastAsia"/>
              </w:rPr>
              <w:t>2.2.4</w:t>
            </w:r>
          </w:p>
          <w:p>
            <w:pPr>
              <w:pStyle w:val="2"/>
              <w:ind w:left="0"/>
              <w:jc w:val="center"/>
            </w:pPr>
            <w:r>
              <w:rPr>
                <w:rFonts w:hint="eastAsia"/>
              </w:rPr>
              <w:t>(1)</w:t>
            </w:r>
          </w:p>
        </w:tc>
        <w:tc>
          <w:tcPr>
            <w:tcW w:w="1137" w:type="dxa"/>
            <w:vMerge w:val="restart"/>
            <w:shd w:val="clear" w:color="auto" w:fill="auto"/>
            <w:vAlign w:val="center"/>
          </w:tcPr>
          <w:p>
            <w:pPr>
              <w:pStyle w:val="2"/>
              <w:ind w:left="0"/>
              <w:jc w:val="center"/>
            </w:pPr>
            <w:r>
              <w:t>项目管理机构</w:t>
            </w:r>
            <w:r>
              <w:rPr>
                <w:rFonts w:hint="eastAsia"/>
              </w:rPr>
              <w:t>评分</w:t>
            </w:r>
          </w:p>
        </w:tc>
        <w:tc>
          <w:tcPr>
            <w:tcW w:w="1701" w:type="dxa"/>
            <w:gridSpan w:val="2"/>
            <w:shd w:val="clear" w:color="auto" w:fill="auto"/>
            <w:vAlign w:val="center"/>
          </w:tcPr>
          <w:p>
            <w:pPr>
              <w:pStyle w:val="2"/>
              <w:ind w:left="0"/>
              <w:jc w:val="center"/>
            </w:pPr>
            <w:r>
              <w:rPr>
                <w:rFonts w:hint="eastAsia"/>
              </w:rPr>
              <w:t>项目负责人</w:t>
            </w:r>
            <w:r>
              <w:t>任职资格与业绩</w:t>
            </w:r>
          </w:p>
          <w:p>
            <w:pPr>
              <w:pStyle w:val="2"/>
              <w:ind w:left="0"/>
              <w:jc w:val="center"/>
            </w:pPr>
            <w:r>
              <w:rPr>
                <w:rFonts w:hint="eastAsia"/>
              </w:rPr>
              <w:t>（  分）</w:t>
            </w:r>
          </w:p>
        </w:tc>
        <w:tc>
          <w:tcPr>
            <w:tcW w:w="6257" w:type="dxa"/>
            <w:gridSpan w:val="2"/>
            <w:shd w:val="clear" w:color="auto" w:fill="auto"/>
            <w:vAlign w:val="center"/>
          </w:tcPr>
          <w:p>
            <w:pPr>
              <w:pStyle w:val="2"/>
              <w:ind w:left="0"/>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3"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1701" w:type="dxa"/>
            <w:gridSpan w:val="2"/>
            <w:shd w:val="clear" w:color="auto" w:fill="auto"/>
            <w:vAlign w:val="center"/>
          </w:tcPr>
          <w:p>
            <w:pPr>
              <w:pStyle w:val="2"/>
              <w:ind w:left="0"/>
              <w:jc w:val="center"/>
            </w:pPr>
            <w:r>
              <w:t>其他主要</w:t>
            </w:r>
            <w:r>
              <w:rPr>
                <w:rFonts w:hint="eastAsia"/>
              </w:rPr>
              <w:t>技术</w:t>
            </w:r>
            <w:r>
              <w:t>人员</w:t>
            </w:r>
          </w:p>
          <w:p>
            <w:pPr>
              <w:pStyle w:val="2"/>
              <w:ind w:left="0"/>
              <w:jc w:val="center"/>
            </w:pPr>
            <w:r>
              <w:rPr>
                <w:rFonts w:hint="eastAsia"/>
              </w:rPr>
              <w:t>（  分）</w:t>
            </w:r>
          </w:p>
        </w:tc>
        <w:tc>
          <w:tcPr>
            <w:tcW w:w="6257" w:type="dxa"/>
            <w:gridSpan w:val="2"/>
            <w:shd w:val="clear" w:color="auto" w:fill="auto"/>
            <w:vAlign w:val="center"/>
          </w:tcPr>
          <w:p>
            <w:pPr>
              <w:pStyle w:val="2"/>
              <w:ind w:left="0"/>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1701" w:type="dxa"/>
            <w:gridSpan w:val="2"/>
            <w:shd w:val="clear" w:color="auto" w:fill="auto"/>
            <w:vAlign w:val="center"/>
          </w:tcPr>
          <w:p>
            <w:pPr>
              <w:pStyle w:val="2"/>
              <w:ind w:left="0"/>
              <w:jc w:val="center"/>
            </w:pPr>
            <w:r>
              <w:t>……</w:t>
            </w:r>
          </w:p>
        </w:tc>
        <w:tc>
          <w:tcPr>
            <w:tcW w:w="6257" w:type="dxa"/>
            <w:gridSpan w:val="2"/>
            <w:shd w:val="clear" w:color="auto" w:fill="auto"/>
            <w:vAlign w:val="center"/>
          </w:tcPr>
          <w:p>
            <w:pPr>
              <w:pStyle w:val="2"/>
              <w:ind w:left="0"/>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56" w:type="dxa"/>
            <w:shd w:val="clear" w:color="auto" w:fill="auto"/>
            <w:vAlign w:val="center"/>
          </w:tcPr>
          <w:p>
            <w:pPr>
              <w:pStyle w:val="2"/>
              <w:ind w:left="0"/>
              <w:jc w:val="center"/>
            </w:pPr>
            <w:r>
              <w:rPr>
                <w:rFonts w:hint="eastAsia"/>
              </w:rPr>
              <w:t>2.2.4</w:t>
            </w:r>
          </w:p>
          <w:p>
            <w:pPr>
              <w:pStyle w:val="2"/>
              <w:ind w:left="0"/>
              <w:jc w:val="center"/>
            </w:pPr>
            <w:r>
              <w:rPr>
                <w:rFonts w:hint="eastAsia"/>
              </w:rPr>
              <w:t>(3)</w:t>
            </w:r>
          </w:p>
        </w:tc>
        <w:tc>
          <w:tcPr>
            <w:tcW w:w="1137" w:type="dxa"/>
            <w:shd w:val="clear" w:color="auto" w:fill="auto"/>
            <w:vAlign w:val="center"/>
          </w:tcPr>
          <w:p>
            <w:pPr>
              <w:pStyle w:val="2"/>
              <w:ind w:left="0"/>
              <w:jc w:val="center"/>
            </w:pPr>
            <w:r>
              <w:t>投标报价</w:t>
            </w:r>
          </w:p>
        </w:tc>
        <w:tc>
          <w:tcPr>
            <w:tcW w:w="7958" w:type="dxa"/>
            <w:gridSpan w:val="4"/>
            <w:shd w:val="clear" w:color="auto" w:fill="auto"/>
            <w:vAlign w:val="center"/>
          </w:tcPr>
          <w:p>
            <w:pPr>
              <w:pStyle w:val="2"/>
              <w:ind w:left="0"/>
            </w:pPr>
            <w:r>
              <w:rPr>
                <w:rFonts w:hint="eastAsia"/>
              </w:rPr>
              <w:t>以评标基准价为准，经评审的有</w:t>
            </w:r>
            <w:r>
              <w:t>效报价</w:t>
            </w:r>
            <w:r>
              <w:rPr>
                <w:rFonts w:hint="eastAsia"/>
              </w:rPr>
              <w:t>等于基准价的得满分，</w:t>
            </w:r>
          </w:p>
          <w:p>
            <w:pPr>
              <w:pStyle w:val="2"/>
              <w:ind w:left="0"/>
            </w:pPr>
            <w:r>
              <w:rPr>
                <w:rFonts w:hint="eastAsia"/>
                <w:u w:val="single"/>
              </w:rPr>
              <w:t>○</w:t>
            </w:r>
            <w:r>
              <w:rPr>
                <w:rFonts w:hint="eastAsia"/>
              </w:rPr>
              <w:t>（评标基准价计算方法为A方式时）</w:t>
            </w:r>
          </w:p>
          <w:p>
            <w:pPr>
              <w:pStyle w:val="2"/>
              <w:ind w:left="0"/>
            </w:pPr>
            <w:r>
              <w:rPr>
                <w:rFonts w:hint="eastAsia"/>
              </w:rPr>
              <w:t>经评审的有</w:t>
            </w:r>
            <w:r>
              <w:t>效报价</w:t>
            </w:r>
            <w:r>
              <w:rPr>
                <w:rFonts w:hint="eastAsia"/>
              </w:rPr>
              <w:t>低于基准价的，每低1%扣</w:t>
            </w:r>
            <w:r>
              <w:rPr>
                <w:rFonts w:hint="eastAsia"/>
                <w:u w:val="single"/>
              </w:rPr>
              <w:t xml:space="preserve">  </w:t>
            </w:r>
            <w:r>
              <w:rPr>
                <w:rFonts w:hint="eastAsia"/>
              </w:rPr>
              <w:t>分（不低于0.5），</w:t>
            </w:r>
          </w:p>
          <w:p>
            <w:pPr>
              <w:pStyle w:val="2"/>
              <w:ind w:left="0"/>
            </w:pPr>
            <w:r>
              <w:rPr>
                <w:rFonts w:hint="eastAsia"/>
                <w:u w:val="single"/>
              </w:rPr>
              <w:t>○</w:t>
            </w:r>
            <w:r>
              <w:rPr>
                <w:rFonts w:hint="eastAsia"/>
              </w:rPr>
              <w:t>（评标基准价计算方法为B方式时）</w:t>
            </w:r>
          </w:p>
          <w:p>
            <w:pPr>
              <w:pStyle w:val="2"/>
              <w:ind w:left="0"/>
            </w:pPr>
            <w:r>
              <w:rPr>
                <w:rFonts w:hint="eastAsia"/>
              </w:rPr>
              <w:t>经评审的有</w:t>
            </w:r>
            <w:r>
              <w:t>效报价</w:t>
            </w:r>
            <w:r>
              <w:rPr>
                <w:rFonts w:hint="eastAsia"/>
              </w:rPr>
              <w:t>低于基准价的，每低1%扣</w:t>
            </w:r>
            <w:r>
              <w:rPr>
                <w:rFonts w:hint="eastAsia"/>
                <w:u w:val="single"/>
              </w:rPr>
              <w:t xml:space="preserve">  </w:t>
            </w:r>
            <w:r>
              <w:rPr>
                <w:rFonts w:hint="eastAsia"/>
              </w:rPr>
              <w:t>分（不低于0.5），</w:t>
            </w:r>
          </w:p>
          <w:p>
            <w:pPr>
              <w:pStyle w:val="2"/>
              <w:ind w:left="0"/>
            </w:pPr>
            <w:r>
              <w:rPr>
                <w:rFonts w:hint="eastAsia"/>
              </w:rPr>
              <w:t>经评审的有</w:t>
            </w:r>
            <w:r>
              <w:t>效报价</w:t>
            </w:r>
            <w:r>
              <w:rPr>
                <w:rFonts w:hint="eastAsia"/>
              </w:rPr>
              <w:t>高于基准价的，每高1%扣</w:t>
            </w:r>
            <w:r>
              <w:rPr>
                <w:rFonts w:hint="eastAsia"/>
                <w:u w:val="single"/>
              </w:rPr>
              <w:t xml:space="preserve">  </w:t>
            </w:r>
            <w:r>
              <w:rPr>
                <w:rFonts w:hint="eastAsia"/>
              </w:rPr>
              <w:t>分（不低于1）；</w:t>
            </w:r>
          </w:p>
          <w:p>
            <w:pPr>
              <w:pStyle w:val="2"/>
              <w:ind w:left="0"/>
            </w:pPr>
            <w:r>
              <w:rPr>
                <w:rFonts w:hint="eastAsia"/>
                <w:u w:val="single"/>
              </w:rPr>
              <w:t>○</w:t>
            </w:r>
            <w:r>
              <w:rPr>
                <w:rFonts w:hint="eastAsia"/>
              </w:rPr>
              <w:t>（评标基准价计算方法为C方式时）</w:t>
            </w:r>
          </w:p>
          <w:p>
            <w:pPr>
              <w:pStyle w:val="2"/>
              <w:ind w:left="0"/>
            </w:pPr>
            <w:r>
              <w:rPr>
                <w:rFonts w:hint="eastAsia"/>
                <w:u w:val="single"/>
              </w:rPr>
              <w:t xml:space="preserve">                                              </w:t>
            </w:r>
          </w:p>
          <w:p>
            <w:pPr>
              <w:pStyle w:val="2"/>
              <w:ind w:left="0"/>
            </w:pPr>
            <w:r>
              <w:rPr>
                <w:rFonts w:hint="eastAsia"/>
              </w:rPr>
              <w:t>中间值用插入法进行计算，小数点后保留两位。</w:t>
            </w:r>
          </w:p>
          <w:p>
            <w:pPr>
              <w:pStyle w:val="2"/>
              <w:ind w:left="0"/>
            </w:pPr>
            <w:r>
              <w:rPr>
                <w:rFonts w:hint="eastAsia"/>
              </w:rPr>
              <w:t>注：每低1%所扣分值不得高于每高1%所扣分值。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956" w:type="dxa"/>
            <w:vMerge w:val="restart"/>
            <w:shd w:val="clear" w:color="auto" w:fill="auto"/>
            <w:vAlign w:val="center"/>
          </w:tcPr>
          <w:p>
            <w:pPr>
              <w:pStyle w:val="2"/>
              <w:ind w:left="0"/>
              <w:jc w:val="center"/>
            </w:pPr>
            <w:r>
              <w:rPr>
                <w:rFonts w:hint="eastAsia"/>
              </w:rPr>
              <w:t>2.2.4</w:t>
            </w:r>
          </w:p>
          <w:p>
            <w:pPr>
              <w:pStyle w:val="2"/>
              <w:ind w:left="0"/>
              <w:jc w:val="center"/>
            </w:pPr>
            <w:r>
              <w:rPr>
                <w:rFonts w:hint="eastAsia"/>
              </w:rPr>
              <w:t>(4)</w:t>
            </w:r>
          </w:p>
        </w:tc>
        <w:tc>
          <w:tcPr>
            <w:tcW w:w="1137" w:type="dxa"/>
            <w:vMerge w:val="restart"/>
            <w:shd w:val="clear" w:color="auto" w:fill="auto"/>
            <w:vAlign w:val="center"/>
          </w:tcPr>
          <w:p>
            <w:pPr>
              <w:pStyle w:val="2"/>
              <w:ind w:left="0"/>
              <w:jc w:val="center"/>
            </w:pPr>
            <w:r>
              <w:t>其他评分因素</w:t>
            </w:r>
          </w:p>
        </w:tc>
        <w:tc>
          <w:tcPr>
            <w:tcW w:w="1622" w:type="dxa"/>
            <w:shd w:val="clear" w:color="auto" w:fill="auto"/>
            <w:vAlign w:val="center"/>
          </w:tcPr>
          <w:p>
            <w:pPr>
              <w:pStyle w:val="2"/>
              <w:ind w:left="0"/>
            </w:pPr>
            <w:r>
              <w:rPr>
                <w:rFonts w:hint="eastAsia"/>
              </w:rPr>
              <w:t>企业类似业绩</w:t>
            </w:r>
          </w:p>
        </w:tc>
        <w:tc>
          <w:tcPr>
            <w:tcW w:w="6336" w:type="dxa"/>
            <w:gridSpan w:val="3"/>
            <w:shd w:val="clear" w:color="auto" w:fill="auto"/>
            <w:vAlign w:val="center"/>
          </w:tcPr>
          <w:p>
            <w:pPr>
              <w:pStyle w:val="2"/>
              <w:ind w:left="0"/>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1622" w:type="dxa"/>
            <w:shd w:val="clear" w:color="auto" w:fill="auto"/>
            <w:vAlign w:val="center"/>
          </w:tcPr>
          <w:p>
            <w:pPr>
              <w:pStyle w:val="2"/>
              <w:ind w:left="0"/>
            </w:pPr>
            <w:r>
              <w:rPr>
                <w:rFonts w:hint="eastAsia"/>
              </w:rPr>
              <w:t>技术优化</w:t>
            </w:r>
          </w:p>
        </w:tc>
        <w:tc>
          <w:tcPr>
            <w:tcW w:w="6336" w:type="dxa"/>
            <w:gridSpan w:val="3"/>
            <w:shd w:val="clear" w:color="auto" w:fill="auto"/>
            <w:vAlign w:val="center"/>
          </w:tcPr>
          <w:p>
            <w:pPr>
              <w:pStyle w:val="2"/>
              <w:ind w:left="0"/>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1622" w:type="dxa"/>
            <w:shd w:val="clear" w:color="auto" w:fill="auto"/>
            <w:vAlign w:val="center"/>
          </w:tcPr>
          <w:p>
            <w:pPr>
              <w:pStyle w:val="2"/>
              <w:ind w:left="0"/>
            </w:pPr>
            <w:r>
              <w:t>……</w:t>
            </w:r>
          </w:p>
        </w:tc>
        <w:tc>
          <w:tcPr>
            <w:tcW w:w="6336" w:type="dxa"/>
            <w:gridSpan w:val="3"/>
            <w:shd w:val="clear" w:color="auto" w:fill="auto"/>
            <w:vAlign w:val="center"/>
          </w:tcPr>
          <w:p>
            <w:pPr>
              <w:pStyle w:val="2"/>
              <w:ind w:left="0"/>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1622" w:type="dxa"/>
            <w:shd w:val="clear" w:color="auto" w:fill="auto"/>
            <w:vAlign w:val="center"/>
          </w:tcPr>
          <w:p>
            <w:pPr>
              <w:pStyle w:val="2"/>
              <w:ind w:left="0"/>
            </w:pPr>
            <w:r>
              <w:t>……</w:t>
            </w:r>
          </w:p>
        </w:tc>
        <w:tc>
          <w:tcPr>
            <w:tcW w:w="6336" w:type="dxa"/>
            <w:gridSpan w:val="3"/>
            <w:shd w:val="clear" w:color="auto" w:fill="auto"/>
            <w:vAlign w:val="center"/>
          </w:tcPr>
          <w:p>
            <w:pPr>
              <w:pStyle w:val="2"/>
              <w:ind w:left="0"/>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56" w:type="dxa"/>
            <w:vMerge w:val="continue"/>
            <w:shd w:val="clear" w:color="auto" w:fill="auto"/>
            <w:vAlign w:val="center"/>
          </w:tcPr>
          <w:p>
            <w:pPr>
              <w:pStyle w:val="2"/>
              <w:ind w:left="0"/>
              <w:jc w:val="center"/>
            </w:pPr>
          </w:p>
        </w:tc>
        <w:tc>
          <w:tcPr>
            <w:tcW w:w="1137" w:type="dxa"/>
            <w:vMerge w:val="continue"/>
            <w:shd w:val="clear" w:color="auto" w:fill="auto"/>
            <w:vAlign w:val="center"/>
          </w:tcPr>
          <w:p>
            <w:pPr>
              <w:pStyle w:val="2"/>
              <w:ind w:left="0"/>
              <w:jc w:val="center"/>
            </w:pPr>
          </w:p>
        </w:tc>
        <w:tc>
          <w:tcPr>
            <w:tcW w:w="7958" w:type="dxa"/>
            <w:gridSpan w:val="4"/>
            <w:shd w:val="clear" w:color="auto" w:fill="auto"/>
            <w:vAlign w:val="center"/>
          </w:tcPr>
          <w:p>
            <w:pPr>
              <w:pStyle w:val="2"/>
              <w:ind w:left="0"/>
            </w:pPr>
            <w:r>
              <w:rPr>
                <w:rFonts w:hint="eastAsia"/>
              </w:rPr>
              <w:t>（1）类似业绩可设置加分，但不得以特定行政区域或者特定行业的业绩作为加分条件。</w:t>
            </w:r>
          </w:p>
          <w:p>
            <w:pPr>
              <w:pStyle w:val="2"/>
              <w:ind w:left="0"/>
            </w:pPr>
            <w:r>
              <w:rPr>
                <w:rFonts w:hint="eastAsia"/>
              </w:rPr>
              <w:t>（2）类似业绩指标仅限于工程规模、供货类型、产品工艺等方面，且应符合本次招标的内容。类似业绩中设置的投资额、供货量等规模性量化指标不得高于本次招标的相应指标。类似业绩的时限限定在三年之内；业绩个数不得超过5个。</w:t>
            </w:r>
          </w:p>
          <w:p>
            <w:pPr>
              <w:pStyle w:val="2"/>
              <w:ind w:left="0"/>
            </w:pPr>
            <w:r>
              <w:rPr>
                <w:rFonts w:hint="eastAsia"/>
              </w:rPr>
              <w:t>（3）标准产品对技术无要求的，不再设置技术优化评审；系统、软件开发等承包人可对技术进行深化或优化的，可设置加分，分值不超过3分。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56" w:type="dxa"/>
            <w:shd w:val="clear" w:color="auto" w:fill="auto"/>
            <w:vAlign w:val="center"/>
          </w:tcPr>
          <w:p>
            <w:pPr>
              <w:pStyle w:val="2"/>
              <w:ind w:left="0"/>
              <w:jc w:val="center"/>
            </w:pPr>
            <w:r>
              <w:rPr>
                <w:rFonts w:hint="eastAsia"/>
              </w:rPr>
              <w:t>2.3</w:t>
            </w:r>
          </w:p>
        </w:tc>
        <w:tc>
          <w:tcPr>
            <w:tcW w:w="1137" w:type="dxa"/>
            <w:shd w:val="clear" w:color="auto" w:fill="auto"/>
            <w:vAlign w:val="center"/>
          </w:tcPr>
          <w:p>
            <w:pPr>
              <w:pStyle w:val="2"/>
              <w:ind w:left="0"/>
              <w:jc w:val="center"/>
            </w:pPr>
            <w:r>
              <w:rPr>
                <w:rFonts w:hint="eastAsia"/>
              </w:rPr>
              <w:t>推荐</w:t>
            </w:r>
          </w:p>
          <w:p>
            <w:pPr>
              <w:pStyle w:val="2"/>
              <w:ind w:left="0"/>
              <w:jc w:val="center"/>
            </w:pPr>
            <w:r>
              <w:rPr>
                <w:rFonts w:hint="eastAsia"/>
              </w:rPr>
              <w:t>中标候选人</w:t>
            </w:r>
          </w:p>
        </w:tc>
        <w:tc>
          <w:tcPr>
            <w:tcW w:w="7958" w:type="dxa"/>
            <w:gridSpan w:val="4"/>
            <w:shd w:val="clear" w:color="auto" w:fill="auto"/>
            <w:vAlign w:val="center"/>
          </w:tcPr>
          <w:p>
            <w:pPr>
              <w:pStyle w:val="2"/>
              <w:ind w:left="0"/>
            </w:pPr>
            <w:r>
              <w:rPr>
                <w:rFonts w:hint="eastAsia"/>
              </w:rPr>
              <w:t>1、只有通过投标报价是否低于成本评审，未被认定为低于成本报价竞标的投标人方可能被推荐为中标候选人或直接确定为中标人。</w:t>
            </w:r>
          </w:p>
          <w:p>
            <w:pPr>
              <w:pStyle w:val="2"/>
              <w:ind w:left="0"/>
            </w:pPr>
            <w:r>
              <w:rPr>
                <w:rFonts w:hint="eastAsia"/>
              </w:rPr>
              <w:t>2、评标委员会按综合得分由高至低的顺序依次推荐前1-3名为中标候选人，并注明排名顺序。经公示无异议后，本项目招标人将确定排名第一的中标候选人为中标人。</w:t>
            </w:r>
          </w:p>
          <w:p>
            <w:pPr>
              <w:pStyle w:val="2"/>
              <w:ind w:left="0"/>
            </w:pPr>
            <w:r>
              <w:rPr>
                <w:rFonts w:hint="eastAsia"/>
              </w:rPr>
              <w:t>3、当采用综合评估法且投标未被全部否决时，评标委员会应当在有效投标中按照综合得分从高到低的顺序推荐中标候选人或根据招标人授权直接确定中标人。</w:t>
            </w:r>
          </w:p>
          <w:p>
            <w:pPr>
              <w:pStyle w:val="2"/>
              <w:ind w:left="0"/>
            </w:pPr>
            <w:r>
              <w:rPr>
                <w:rFonts w:hint="eastAsia"/>
              </w:rPr>
              <w:t>4、</w:t>
            </w:r>
            <w:r>
              <w:t>综合评分相等时，以投标报价低的优先；投标报价也相等的</w:t>
            </w:r>
            <w:r>
              <w:rPr>
                <w:rFonts w:hint="eastAsia"/>
              </w:rPr>
              <w:t>，                            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956" w:type="dxa"/>
            <w:shd w:val="clear" w:color="auto" w:fill="auto"/>
            <w:vAlign w:val="center"/>
          </w:tcPr>
          <w:p>
            <w:pPr>
              <w:pStyle w:val="2"/>
              <w:ind w:left="0"/>
              <w:jc w:val="center"/>
            </w:pPr>
            <w:r>
              <w:rPr>
                <w:rFonts w:hint="eastAsia"/>
              </w:rPr>
              <w:t>2</w:t>
            </w:r>
            <w:r>
              <w:t>.</w:t>
            </w:r>
            <w:r>
              <w:rPr>
                <w:rFonts w:hint="eastAsia"/>
              </w:rPr>
              <w:t>4</w:t>
            </w:r>
          </w:p>
        </w:tc>
        <w:tc>
          <w:tcPr>
            <w:tcW w:w="1137" w:type="dxa"/>
            <w:shd w:val="clear" w:color="auto" w:fill="auto"/>
            <w:vAlign w:val="center"/>
          </w:tcPr>
          <w:p>
            <w:pPr>
              <w:pStyle w:val="2"/>
              <w:ind w:left="0"/>
              <w:jc w:val="center"/>
            </w:pPr>
            <w:r>
              <w:rPr>
                <w:rFonts w:hint="eastAsia"/>
              </w:rPr>
              <w:t>补充说明</w:t>
            </w:r>
          </w:p>
        </w:tc>
        <w:tc>
          <w:tcPr>
            <w:tcW w:w="7958" w:type="dxa"/>
            <w:gridSpan w:val="4"/>
            <w:shd w:val="clear" w:color="auto" w:fill="auto"/>
            <w:vAlign w:val="center"/>
          </w:tcPr>
          <w:p>
            <w:pPr>
              <w:pStyle w:val="2"/>
              <w:ind w:left="0"/>
            </w:pPr>
            <w:r>
              <w:rPr>
                <w:rFonts w:hint="eastAsia"/>
              </w:rPr>
              <w:t>1、评标委员会经评审否决不合格投标后，因有效投标（指经过全部评审而未被否决的投标，下同）不足三个使得投标明显缺乏竞争的，可以否决全部投标。投标人是否具有竞争性应从其实力、信誉、技术方案及投标报价等方面认定。评标委员会否决全部投标或认定可以继续评审的，应当在评标报告中书面说明理由。招标文件对明显缺乏竞争有量化规定的，从其规定；对于招标文件明显缺乏竞争无量化规定的，由评标委员会认定。</w:t>
            </w:r>
          </w:p>
          <w:p>
            <w:pPr>
              <w:pStyle w:val="2"/>
              <w:ind w:left="0"/>
            </w:pPr>
            <w:r>
              <w:rPr>
                <w:rFonts w:hint="eastAsia"/>
              </w:rPr>
              <w:t>2、评标委员会在做出否决投标决定前，应向当事人发出“否决通知书”，告知投标人否决投标理由。否决投标应当由评标委员会集体表决。</w:t>
            </w:r>
          </w:p>
          <w:p>
            <w:pPr>
              <w:pStyle w:val="2"/>
              <w:ind w:left="0"/>
            </w:pPr>
            <w:r>
              <w:rPr>
                <w:rFonts w:hint="eastAsia"/>
              </w:rPr>
              <w:t>3、评标时评标委员会应按照附表一串通投标行为认定表中情形，根据投标文件如实填写“无”或“有”，并签字确认。有情形之一的，应认定为串通投标，并签字确认，作为评标报告一部分。</w:t>
            </w:r>
          </w:p>
        </w:tc>
      </w:tr>
    </w:tbl>
    <w:p>
      <w:pPr>
        <w:pStyle w:val="2"/>
      </w:pPr>
    </w:p>
    <w:p>
      <w:pPr>
        <w:pStyle w:val="2"/>
        <w:ind w:left="0"/>
      </w:pPr>
      <w:r>
        <w:rPr>
          <w:rFonts w:hint="eastAsia"/>
        </w:rPr>
        <w:t>注：“评标办法前附表”中内容仅能填空，如果因为招标项目的情况，需增加其他相关条款，应填入“评标办法前附表增加条款表”中，增加的条款不能与“评标办法前附表”中内容相冲突。评标办法前附表内容和评标办法"须知“不一致的，以评标办法前附表为准。</w:t>
      </w:r>
    </w:p>
    <w:p>
      <w:pPr>
        <w:pStyle w:val="2"/>
        <w:ind w:left="0"/>
      </w:pPr>
    </w:p>
    <w:p>
      <w:pPr>
        <w:pStyle w:val="2"/>
        <w:ind w:left="0"/>
      </w:pPr>
    </w:p>
    <w:p>
      <w:pPr>
        <w:pStyle w:val="2"/>
        <w:ind w:left="0"/>
        <w:jc w:val="both"/>
        <w:rPr>
          <w:b/>
          <w:bCs/>
        </w:rPr>
      </w:pPr>
      <w:r>
        <w:rPr>
          <w:rFonts w:hint="eastAsia"/>
          <w:b/>
          <w:bCs/>
        </w:rPr>
        <w:t>评标办法前附表增加条款表</w:t>
      </w:r>
    </w:p>
    <w:tbl>
      <w:tblPr>
        <w:tblStyle w:val="16"/>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843"/>
        <w:gridCol w:w="6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pPr>
              <w:pStyle w:val="2"/>
              <w:ind w:left="0"/>
              <w:jc w:val="center"/>
            </w:pPr>
            <w:r>
              <w:rPr>
                <w:rFonts w:hint="eastAsia"/>
              </w:rPr>
              <w:t>条款号</w:t>
            </w:r>
          </w:p>
        </w:tc>
        <w:tc>
          <w:tcPr>
            <w:tcW w:w="1843" w:type="dxa"/>
            <w:vAlign w:val="center"/>
          </w:tcPr>
          <w:p>
            <w:pPr>
              <w:pStyle w:val="2"/>
              <w:ind w:left="0"/>
              <w:jc w:val="center"/>
            </w:pPr>
            <w:r>
              <w:rPr>
                <w:rFonts w:hint="eastAsia"/>
              </w:rPr>
              <w:t>评审因素</w:t>
            </w:r>
          </w:p>
        </w:tc>
        <w:tc>
          <w:tcPr>
            <w:tcW w:w="6194" w:type="dxa"/>
            <w:vAlign w:val="center"/>
          </w:tcPr>
          <w:p>
            <w:pPr>
              <w:pStyle w:val="2"/>
              <w:ind w:left="0"/>
              <w:jc w:val="center"/>
            </w:pPr>
            <w:r>
              <w:rPr>
                <w:rFonts w:hint="eastAsia"/>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26" w:type="dxa"/>
          </w:tcPr>
          <w:p>
            <w:pPr>
              <w:spacing w:line="500" w:lineRule="exact"/>
              <w:jc w:val="center"/>
              <w:rPr>
                <w:rFonts w:ascii="宋体" w:hAnsi="宋体"/>
                <w:b/>
                <w:sz w:val="24"/>
                <w:szCs w:val="21"/>
              </w:rPr>
            </w:pPr>
          </w:p>
        </w:tc>
        <w:tc>
          <w:tcPr>
            <w:tcW w:w="1843" w:type="dxa"/>
          </w:tcPr>
          <w:p>
            <w:pPr>
              <w:spacing w:line="500" w:lineRule="exact"/>
              <w:jc w:val="center"/>
              <w:rPr>
                <w:rFonts w:ascii="宋体" w:hAnsi="宋体"/>
                <w:b/>
                <w:sz w:val="24"/>
                <w:szCs w:val="21"/>
              </w:rPr>
            </w:pPr>
          </w:p>
        </w:tc>
        <w:tc>
          <w:tcPr>
            <w:tcW w:w="6194" w:type="dxa"/>
          </w:tcPr>
          <w:p>
            <w:pPr>
              <w:spacing w:line="500" w:lineRule="exact"/>
              <w:jc w:val="center"/>
              <w:rPr>
                <w:rFonts w:ascii="宋体" w:hAnsi="宋体"/>
                <w:b/>
                <w:sz w:val="24"/>
                <w:szCs w:val="21"/>
              </w:rPr>
            </w:pPr>
          </w:p>
        </w:tc>
      </w:tr>
    </w:tbl>
    <w:p>
      <w:r>
        <w:rPr>
          <w:rFonts w:hint="eastAsia"/>
        </w:rPr>
        <w:br w:type="page"/>
      </w:r>
    </w:p>
    <w:p>
      <w:pPr>
        <w:pStyle w:val="5"/>
        <w:numPr>
          <w:ilvl w:val="0"/>
          <w:numId w:val="6"/>
        </w:numPr>
      </w:pPr>
      <w:r>
        <w:rPr>
          <w:rFonts w:hint="eastAsia"/>
        </w:rPr>
        <w:t>评标方法</w:t>
      </w:r>
    </w:p>
    <w:p>
      <w:pPr>
        <w:pStyle w:val="2"/>
      </w:pPr>
      <w:r>
        <w:t>本次评标采用综合评估法。评标委员会对满足招标文件实质性要求的投标文件，按照本章第2.2款</w:t>
      </w:r>
    </w:p>
    <w:p>
      <w:pPr>
        <w:pStyle w:val="2"/>
        <w:ind w:left="0"/>
      </w:pPr>
      <w:r>
        <w:t>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pStyle w:val="5"/>
        <w:numPr>
          <w:ilvl w:val="0"/>
          <w:numId w:val="6"/>
        </w:numPr>
      </w:pPr>
      <w:bookmarkStart w:id="34" w:name="_Toc185047327"/>
      <w:r>
        <w:rPr>
          <w:rFonts w:hint="eastAsia"/>
        </w:rPr>
        <w:t>评审标准</w:t>
      </w:r>
      <w:bookmarkEnd w:id="34"/>
    </w:p>
    <w:p>
      <w:pPr>
        <w:pStyle w:val="6"/>
        <w:numPr>
          <w:ilvl w:val="1"/>
          <w:numId w:val="6"/>
        </w:numPr>
      </w:pPr>
      <w:bookmarkStart w:id="35" w:name="_Toc185047328"/>
      <w:r>
        <w:rPr>
          <w:rFonts w:hint="eastAsia"/>
        </w:rPr>
        <w:t>初步评审标准</w:t>
      </w:r>
      <w:bookmarkEnd w:id="35"/>
    </w:p>
    <w:p>
      <w:pPr>
        <w:pStyle w:val="2"/>
      </w:pPr>
      <w:r>
        <w:rPr>
          <w:rFonts w:hint="eastAsia"/>
        </w:rPr>
        <w:t>2.1.1 形式评审标准：见评标办法前附表。</w:t>
      </w:r>
    </w:p>
    <w:p>
      <w:pPr>
        <w:pStyle w:val="2"/>
      </w:pPr>
      <w:r>
        <w:rPr>
          <w:rFonts w:hint="eastAsia"/>
        </w:rPr>
        <w:t>2.1.2 资格评审标准：见评标办法前附表。</w:t>
      </w:r>
    </w:p>
    <w:p>
      <w:pPr>
        <w:pStyle w:val="2"/>
      </w:pPr>
      <w:r>
        <w:rPr>
          <w:rFonts w:hint="eastAsia"/>
        </w:rPr>
        <w:t>2.1.3 响应性评审标准：见评标办法前附表。</w:t>
      </w:r>
    </w:p>
    <w:p>
      <w:pPr>
        <w:pStyle w:val="2"/>
      </w:pPr>
      <w:r>
        <w:rPr>
          <w:rFonts w:hint="eastAsia"/>
        </w:rPr>
        <w:t>2.1.4 投标报价初步评审：见评标办法前附表。</w:t>
      </w:r>
    </w:p>
    <w:p>
      <w:pPr>
        <w:pStyle w:val="2"/>
      </w:pPr>
      <w:r>
        <w:rPr>
          <w:rFonts w:hint="eastAsia"/>
        </w:rPr>
        <w:t>2.1.5投标报价低于成本评：审见评标办法前附表。</w:t>
      </w:r>
    </w:p>
    <w:p>
      <w:pPr>
        <w:pStyle w:val="6"/>
        <w:numPr>
          <w:ilvl w:val="1"/>
          <w:numId w:val="6"/>
        </w:numPr>
      </w:pPr>
      <w:bookmarkStart w:id="36" w:name="_Toc185047329"/>
      <w:r>
        <w:rPr>
          <w:rFonts w:hint="eastAsia"/>
        </w:rPr>
        <w:t>量化因素分值构成与评分标准</w:t>
      </w:r>
      <w:bookmarkEnd w:id="36"/>
    </w:p>
    <w:p>
      <w:pPr>
        <w:pStyle w:val="2"/>
      </w:pPr>
      <w:r>
        <w:rPr>
          <w:rFonts w:hint="eastAsia"/>
        </w:rPr>
        <w:t>2.2.1 分值构成</w:t>
      </w:r>
    </w:p>
    <w:p>
      <w:pPr>
        <w:pStyle w:val="2"/>
      </w:pPr>
      <w:r>
        <w:rPr>
          <w:rFonts w:hint="eastAsia"/>
        </w:rPr>
        <w:t>(l）其他因素：见评标办法前附表；</w:t>
      </w:r>
    </w:p>
    <w:p>
      <w:pPr>
        <w:pStyle w:val="2"/>
      </w:pPr>
      <w:r>
        <w:rPr>
          <w:rFonts w:hint="eastAsia"/>
        </w:rPr>
        <w:t>(2）投标报价：见评标办法前附表。</w:t>
      </w:r>
    </w:p>
    <w:p>
      <w:pPr>
        <w:pStyle w:val="2"/>
      </w:pPr>
      <w:r>
        <w:rPr>
          <w:rFonts w:hint="eastAsia"/>
        </w:rPr>
        <w:t>2.2.2 评标基准价计算</w:t>
      </w:r>
    </w:p>
    <w:p>
      <w:pPr>
        <w:pStyle w:val="2"/>
      </w:pPr>
      <w:r>
        <w:rPr>
          <w:rFonts w:hint="eastAsia"/>
        </w:rPr>
        <w:t>评标基准价计算方法：见评标办法前附表。</w:t>
      </w:r>
    </w:p>
    <w:p>
      <w:pPr>
        <w:pStyle w:val="2"/>
      </w:pPr>
      <w:r>
        <w:rPr>
          <w:rFonts w:hint="eastAsia"/>
        </w:rPr>
        <w:t>2.2.3 投标报价的偏差率计算</w:t>
      </w:r>
    </w:p>
    <w:p>
      <w:pPr>
        <w:pStyle w:val="2"/>
      </w:pPr>
      <w:r>
        <w:rPr>
          <w:rFonts w:hint="eastAsia"/>
        </w:rPr>
        <w:t>投标报价的偏差率计算公式：见评标办法前附表。</w:t>
      </w:r>
    </w:p>
    <w:p>
      <w:pPr>
        <w:pStyle w:val="2"/>
      </w:pPr>
      <w:r>
        <w:rPr>
          <w:rFonts w:hint="eastAsia"/>
        </w:rPr>
        <w:t>2.2.4 评分标准</w:t>
      </w:r>
    </w:p>
    <w:p>
      <w:pPr>
        <w:pStyle w:val="2"/>
      </w:pPr>
      <w:r>
        <w:rPr>
          <w:rFonts w:hint="eastAsia"/>
        </w:rPr>
        <w:t>（1）实施方案和技术参数：见评标办法前附表；</w:t>
      </w:r>
    </w:p>
    <w:p>
      <w:pPr>
        <w:pStyle w:val="2"/>
      </w:pPr>
      <w:r>
        <w:rPr>
          <w:rFonts w:hint="eastAsia"/>
        </w:rPr>
        <w:t>（2）项目管理机构评分标准：见评标办法前附表；</w:t>
      </w:r>
    </w:p>
    <w:p>
      <w:pPr>
        <w:pStyle w:val="2"/>
      </w:pPr>
      <w:r>
        <w:rPr>
          <w:rFonts w:hint="eastAsia"/>
        </w:rPr>
        <w:t>（3）投标报价评分标准：见评标办法前附表；</w:t>
      </w:r>
    </w:p>
    <w:p>
      <w:pPr>
        <w:pStyle w:val="2"/>
      </w:pPr>
      <w:r>
        <w:rPr>
          <w:rFonts w:hint="eastAsia"/>
        </w:rPr>
        <w:t>（4）其他因素评分标准：见评标办法前附表。</w:t>
      </w:r>
    </w:p>
    <w:p>
      <w:pPr>
        <w:pStyle w:val="5"/>
        <w:numPr>
          <w:ilvl w:val="0"/>
          <w:numId w:val="6"/>
        </w:numPr>
      </w:pPr>
      <w:bookmarkStart w:id="37" w:name="_Toc185047330"/>
      <w:r>
        <w:rPr>
          <w:rFonts w:hint="eastAsia"/>
        </w:rPr>
        <w:t>评标程序</w:t>
      </w:r>
      <w:bookmarkEnd w:id="37"/>
    </w:p>
    <w:p>
      <w:pPr>
        <w:pStyle w:val="6"/>
        <w:numPr>
          <w:ilvl w:val="1"/>
          <w:numId w:val="6"/>
        </w:numPr>
      </w:pPr>
      <w:bookmarkStart w:id="38" w:name="_Toc185047331"/>
      <w:r>
        <w:rPr>
          <w:rFonts w:hint="eastAsia"/>
        </w:rPr>
        <w:t>初步评审</w:t>
      </w:r>
      <w:bookmarkEnd w:id="38"/>
    </w:p>
    <w:p>
      <w:pPr>
        <w:pStyle w:val="2"/>
      </w:pPr>
      <w:r>
        <w:rPr>
          <w:rFonts w:hint="eastAsia"/>
        </w:rPr>
        <w:t>3.1.1 评标委员会可以要求投标人提交第二章“投标人须知”第3.5.1 项至第3.5.5 项规定的有</w:t>
      </w:r>
    </w:p>
    <w:p>
      <w:pPr>
        <w:pStyle w:val="2"/>
        <w:ind w:left="0"/>
      </w:pPr>
      <w:r>
        <w:rPr>
          <w:rFonts w:hint="eastAsia"/>
        </w:rPr>
        <w:t>关证明和证件的原件，以便核验。评标委员会依据本章第2.1 款规定的标准对投标文件进行初步评审。有一项不符合评审标准的，作否决投标处理。</w:t>
      </w:r>
    </w:p>
    <w:p>
      <w:pPr>
        <w:pStyle w:val="2"/>
      </w:pPr>
      <w:r>
        <w:rPr>
          <w:rFonts w:hint="eastAsia"/>
        </w:rPr>
        <w:t>3.1.2 投标人有以下情形之一的，其投标作否决投标处理：</w:t>
      </w:r>
    </w:p>
    <w:p>
      <w:pPr>
        <w:pStyle w:val="2"/>
      </w:pPr>
      <w:r>
        <w:rPr>
          <w:rFonts w:hint="eastAsia"/>
        </w:rPr>
        <w:t>(</w:t>
      </w:r>
      <w:r>
        <w:t>1</w:t>
      </w:r>
      <w:r>
        <w:rPr>
          <w:rFonts w:hint="eastAsia"/>
        </w:rPr>
        <w:t>）串通投标或弄虚作假或有其他违法行为的；</w:t>
      </w:r>
    </w:p>
    <w:p>
      <w:pPr>
        <w:pStyle w:val="2"/>
      </w:pPr>
      <w:r>
        <w:rPr>
          <w:rFonts w:hint="eastAsia"/>
        </w:rPr>
        <w:t>(</w:t>
      </w:r>
      <w:r>
        <w:t>2</w:t>
      </w:r>
      <w:r>
        <w:rPr>
          <w:rFonts w:hint="eastAsia"/>
        </w:rPr>
        <w:t>）不按评标委员会要求澄清、说明或补正的。</w:t>
      </w:r>
    </w:p>
    <w:p>
      <w:pPr>
        <w:pStyle w:val="2"/>
      </w:pPr>
      <w:r>
        <w:rPr>
          <w:rFonts w:hint="eastAsia"/>
        </w:rPr>
        <w:t>3.1.3 投标报价有细微偏差的，评标委员会按以下原则对投标报价进行修正，修正的价格经投标人</w:t>
      </w:r>
    </w:p>
    <w:p>
      <w:pPr>
        <w:pStyle w:val="2"/>
        <w:ind w:left="0"/>
      </w:pPr>
      <w:r>
        <w:rPr>
          <w:rFonts w:hint="eastAsia"/>
        </w:rPr>
        <w:t>书面确认后具有约束力。投标人不接受修正价格的，其投标作否决投标处理。</w:t>
      </w:r>
    </w:p>
    <w:p>
      <w:pPr>
        <w:pStyle w:val="2"/>
        <w:numPr>
          <w:ilvl w:val="0"/>
          <w:numId w:val="7"/>
        </w:numPr>
      </w:pPr>
      <w:r>
        <w:rPr>
          <w:rFonts w:hint="eastAsia"/>
        </w:rPr>
        <w:t>总价金额与依据单价计算出的结果不一致的，以单价金额为准修正总价，但单价金额小数点有</w:t>
      </w:r>
    </w:p>
    <w:p>
      <w:pPr>
        <w:pStyle w:val="2"/>
        <w:ind w:left="0"/>
      </w:pPr>
      <w:r>
        <w:rPr>
          <w:rFonts w:hint="eastAsia"/>
        </w:rPr>
        <w:t>明显错误的除外。</w:t>
      </w:r>
    </w:p>
    <w:p>
      <w:pPr>
        <w:pStyle w:val="2"/>
      </w:pPr>
      <w:r>
        <w:rPr>
          <w:rFonts w:hint="eastAsia"/>
        </w:rPr>
        <w:t>（</w:t>
      </w:r>
      <w:r>
        <w:t>2</w:t>
      </w:r>
      <w:r>
        <w:rPr>
          <w:rFonts w:hint="eastAsia"/>
        </w:rPr>
        <w:t>）</w:t>
      </w:r>
      <w:r>
        <w:t>暂列金额未按招标文件中列出的金额填写的，依据招标文件中列出的金额进行更正并对其投</w:t>
      </w:r>
    </w:p>
    <w:p>
      <w:pPr>
        <w:pStyle w:val="2"/>
        <w:ind w:left="0"/>
      </w:pPr>
      <w:r>
        <w:t>标报价进行相应修正</w:t>
      </w:r>
      <w:r>
        <w:rPr>
          <w:rFonts w:hint="eastAsia"/>
        </w:rPr>
        <w:t>。</w:t>
      </w:r>
    </w:p>
    <w:p>
      <w:pPr>
        <w:pStyle w:val="6"/>
        <w:numPr>
          <w:ilvl w:val="1"/>
          <w:numId w:val="6"/>
        </w:numPr>
      </w:pPr>
      <w:bookmarkStart w:id="39" w:name="_Toc185047332"/>
      <w:r>
        <w:rPr>
          <w:rFonts w:hint="eastAsia"/>
        </w:rPr>
        <w:t>详细评审</w:t>
      </w:r>
      <w:bookmarkEnd w:id="39"/>
    </w:p>
    <w:p>
      <w:pPr>
        <w:pStyle w:val="2"/>
      </w:pPr>
      <w:r>
        <w:rPr>
          <w:rFonts w:hint="eastAsia"/>
        </w:rPr>
        <w:t>3.2.1 评标委员会按本章第2.2 款规定的量化因素和分值进行打分，并计算出综合评估得分。</w:t>
      </w:r>
    </w:p>
    <w:p>
      <w:pPr>
        <w:pStyle w:val="2"/>
      </w:pPr>
      <w:r>
        <w:rPr>
          <w:rFonts w:hint="eastAsia"/>
        </w:rPr>
        <w:t>(1）按本章第2.2.4(1）目规定的评审因素和分值对实施方案和技术参数计算出得分A ；</w:t>
      </w:r>
    </w:p>
    <w:p>
      <w:pPr>
        <w:pStyle w:val="2"/>
      </w:pPr>
      <w:r>
        <w:rPr>
          <w:rFonts w:hint="eastAsia"/>
        </w:rPr>
        <w:t>(2）按本章第2.2.4(2）目规定的评审因素和分值对项目管理机构计算出得分B；</w:t>
      </w:r>
    </w:p>
    <w:p>
      <w:pPr>
        <w:pStyle w:val="2"/>
      </w:pPr>
      <w:r>
        <w:rPr>
          <w:rFonts w:hint="eastAsia"/>
        </w:rPr>
        <w:t>(3）按本章第2.2.4(3）目规定的评审因素和分值对投标报价评分标准计算出得分</w:t>
      </w:r>
      <w:r>
        <w:rPr>
          <w:rFonts w:hint="eastAsia"/>
        </w:rPr>
        <w:tab/>
      </w:r>
      <w:r>
        <w:rPr>
          <w:rFonts w:hint="eastAsia"/>
        </w:rPr>
        <w:t>C；</w:t>
      </w:r>
    </w:p>
    <w:p>
      <w:pPr>
        <w:pStyle w:val="2"/>
      </w:pPr>
      <w:r>
        <w:rPr>
          <w:rFonts w:hint="eastAsia"/>
        </w:rPr>
        <w:t>(4）按本章第2.2.4(4）目规定的评审因素和分值对其他因素评分标准计算出得分D；</w:t>
      </w:r>
    </w:p>
    <w:p>
      <w:pPr>
        <w:pStyle w:val="2"/>
      </w:pPr>
      <w:r>
        <w:rPr>
          <w:rFonts w:hint="eastAsia"/>
        </w:rPr>
        <w:t>3.2.2 评分分值计算保留小数点后两位，小数点后第三位“四舍五入”。</w:t>
      </w:r>
    </w:p>
    <w:p>
      <w:pPr>
        <w:pStyle w:val="2"/>
      </w:pPr>
      <w:r>
        <w:rPr>
          <w:rFonts w:hint="eastAsia"/>
        </w:rPr>
        <w:t>3.2.3 投标人得分=A＋B＋C＋D 。</w:t>
      </w:r>
    </w:p>
    <w:p>
      <w:pPr>
        <w:pStyle w:val="2"/>
      </w:pPr>
      <w:r>
        <w:rPr>
          <w:rFonts w:hint="eastAsia"/>
        </w:rPr>
        <w:t>3.2.4 评标委员会发现投标人的报价明显低于其他投标报价，或者在设有标底时明显低于标底，使</w:t>
      </w:r>
    </w:p>
    <w:p>
      <w:pPr>
        <w:pStyle w:val="2"/>
        <w:ind w:left="0"/>
      </w:pPr>
      <w:r>
        <w:rPr>
          <w:rFonts w:hint="eastAsia"/>
        </w:rPr>
        <w:t>得其投标报价可能低于其个别成本的，应当要求该投标人作出书面说明并提供相应的证明材料。投标人不能合理说明或者不能提供相应证明材料的，由评标委员会认定该投标人以低于成本报价竞标，其投标作否决投标处理。</w:t>
      </w:r>
    </w:p>
    <w:p>
      <w:pPr>
        <w:pStyle w:val="6"/>
        <w:numPr>
          <w:ilvl w:val="1"/>
          <w:numId w:val="6"/>
        </w:numPr>
      </w:pPr>
      <w:bookmarkStart w:id="40" w:name="_Toc185047323"/>
      <w:r>
        <w:rPr>
          <w:rFonts w:hint="eastAsia"/>
        </w:rPr>
        <w:t>投标文件的澄清和补正</w:t>
      </w:r>
      <w:bookmarkEnd w:id="40"/>
    </w:p>
    <w:p>
      <w:pPr>
        <w:pStyle w:val="2"/>
      </w:pPr>
      <w:r>
        <w:rPr>
          <w:rFonts w:hint="eastAsia"/>
        </w:rPr>
        <w:t>3.3.1 评标专家在评审过程中，对认为需要投标人澄清、说明或补正的事项，应由评标委员会向投</w:t>
      </w:r>
    </w:p>
    <w:p>
      <w:pPr>
        <w:pStyle w:val="2"/>
        <w:ind w:left="0"/>
      </w:pPr>
      <w:r>
        <w:rPr>
          <w:rFonts w:hint="eastAsia"/>
        </w:rPr>
        <w:t>标人发出书面《评标专家向投标人质疑函》（详附件1.1）进行询问。投标人的澄清、说明或补正应当采用书面形式，并由投标人的法定代表人或其授权的代理人签字有效。</w:t>
      </w:r>
    </w:p>
    <w:p>
      <w:pPr>
        <w:pStyle w:val="2"/>
      </w:pPr>
      <w:r>
        <w:rPr>
          <w:rFonts w:hint="eastAsia"/>
        </w:rPr>
        <w:t>3.3.2如果评标专家对投标人提交的澄清、说明或补正依然存在疑问，评标专家可以进一步要求澄</w:t>
      </w:r>
    </w:p>
    <w:p>
      <w:pPr>
        <w:pStyle w:val="2"/>
        <w:ind w:left="0"/>
      </w:pPr>
      <w:r>
        <w:rPr>
          <w:rFonts w:hint="eastAsia"/>
        </w:rPr>
        <w:t>清、说明或补正，投标人应进一步澄清、说明或补正，直至评标专家认为全部疑问得到澄清和说明。</w:t>
      </w:r>
    </w:p>
    <w:p>
      <w:pPr>
        <w:pStyle w:val="2"/>
      </w:pPr>
      <w:r>
        <w:rPr>
          <w:rFonts w:hint="eastAsia"/>
        </w:rPr>
        <w:t>3.</w:t>
      </w:r>
      <w:r>
        <w:t>3</w:t>
      </w:r>
      <w:r>
        <w:rPr>
          <w:rFonts w:hint="eastAsia"/>
        </w:rPr>
        <w:t>.3在评标过程中，评标委员会可以书面形式要求投标人对所提交的投标文件中不明确的内容进</w:t>
      </w:r>
    </w:p>
    <w:p>
      <w:pPr>
        <w:pStyle w:val="2"/>
        <w:ind w:left="0"/>
      </w:pPr>
      <w:r>
        <w:rPr>
          <w:rFonts w:hint="eastAsia"/>
        </w:rPr>
        <w:t>行书面澄清或说明，或者对细微偏差进行补正。评标委员会不接受投标人主动提出的澄清、说明或补正。</w:t>
      </w:r>
    </w:p>
    <w:p>
      <w:pPr>
        <w:pStyle w:val="2"/>
      </w:pPr>
      <w:r>
        <w:rPr>
          <w:rFonts w:hint="eastAsia"/>
        </w:rPr>
        <w:t>3.</w:t>
      </w:r>
      <w:r>
        <w:t>3</w:t>
      </w:r>
      <w:r>
        <w:rPr>
          <w:rFonts w:hint="eastAsia"/>
        </w:rPr>
        <w:t>.4如果投标人未按要求及时提交《评标专家向投标人质疑函》，其投标应予以否决。</w:t>
      </w:r>
    </w:p>
    <w:p>
      <w:pPr>
        <w:pStyle w:val="6"/>
        <w:numPr>
          <w:ilvl w:val="1"/>
          <w:numId w:val="6"/>
        </w:numPr>
      </w:pPr>
      <w:r>
        <w:rPr>
          <w:rFonts w:hint="eastAsia"/>
        </w:rPr>
        <w:t>招标文件的澄清和补正</w:t>
      </w:r>
    </w:p>
    <w:p>
      <w:pPr>
        <w:pStyle w:val="2"/>
      </w:pPr>
      <w:r>
        <w:rPr>
          <w:rFonts w:hint="eastAsia"/>
        </w:rPr>
        <w:t>3.4.1在评标过程中，评标委员会对认为需要招标人对招标文件进行解释、说明的事项，应由评标</w:t>
      </w:r>
    </w:p>
    <w:p>
      <w:pPr>
        <w:pStyle w:val="2"/>
        <w:ind w:left="0"/>
      </w:pPr>
      <w:r>
        <w:rPr>
          <w:rFonts w:hint="eastAsia"/>
        </w:rPr>
        <w:t>委员会向招标人发出书面《评标专家向招标人质疑函》（详附件1.2）进行询问。招标人的解释、说明应当采用书面形式，并由招标人的法定代表人或其授权的代理人签字有效。招标人的解释、说明应当合法、公平、公正，并不得改变招标文件的实质性内容。</w:t>
      </w:r>
    </w:p>
    <w:p>
      <w:pPr>
        <w:pStyle w:val="2"/>
      </w:pPr>
      <w:r>
        <w:rPr>
          <w:rFonts w:hint="eastAsia"/>
        </w:rPr>
        <w:t>3.4.2如果招标人未按要求提交《评标专家向招标人质疑函》，评标专家可拒绝评标或按不利于招标</w:t>
      </w:r>
    </w:p>
    <w:p>
      <w:pPr>
        <w:pStyle w:val="2"/>
        <w:ind w:left="0"/>
      </w:pPr>
      <w:r>
        <w:rPr>
          <w:rFonts w:hint="eastAsia"/>
        </w:rPr>
        <w:t>人的方式处理，招标人承担相应责任。</w:t>
      </w:r>
    </w:p>
    <w:p>
      <w:pPr>
        <w:pStyle w:val="6"/>
        <w:numPr>
          <w:ilvl w:val="1"/>
          <w:numId w:val="6"/>
        </w:numPr>
      </w:pPr>
      <w:bookmarkStart w:id="41" w:name="_Toc185047324"/>
      <w:r>
        <w:rPr>
          <w:rFonts w:hint="eastAsia"/>
        </w:rPr>
        <w:t>评标结果</w:t>
      </w:r>
      <w:bookmarkEnd w:id="41"/>
    </w:p>
    <w:p>
      <w:pPr>
        <w:pStyle w:val="2"/>
      </w:pPr>
      <w:r>
        <w:rPr>
          <w:rFonts w:hint="eastAsia"/>
        </w:rPr>
        <w:t>3.5.1 除第二章“投标人须知”前附表授权直接确定中标人外，评标委员会按照综合得分高到低的</w:t>
      </w:r>
    </w:p>
    <w:p>
      <w:pPr>
        <w:pStyle w:val="2"/>
        <w:ind w:left="0"/>
      </w:pPr>
      <w:r>
        <w:rPr>
          <w:rFonts w:hint="eastAsia"/>
        </w:rPr>
        <w:t>顺序推荐中标候选人。</w:t>
      </w:r>
    </w:p>
    <w:p>
      <w:pPr>
        <w:pStyle w:val="2"/>
      </w:pPr>
      <w:r>
        <w:rPr>
          <w:rFonts w:hint="eastAsia"/>
        </w:rPr>
        <w:t>3.5.2 评标委员会完成评标后，应当向招标人提交书面评标报告。</w:t>
      </w:r>
    </w:p>
    <w:p>
      <w:pPr>
        <w:pStyle w:val="2"/>
      </w:pPr>
    </w:p>
    <w:p>
      <w:r>
        <w:rPr>
          <w:rFonts w:hint="eastAsia"/>
        </w:rPr>
        <w:br w:type="page"/>
      </w:r>
    </w:p>
    <w:p/>
    <w:p>
      <w:pPr>
        <w:pStyle w:val="6"/>
      </w:pPr>
      <w:r>
        <w:rPr>
          <w:rFonts w:hint="eastAsia"/>
        </w:rPr>
        <w:t>附件1：质疑用表</w:t>
      </w:r>
    </w:p>
    <w:p>
      <w:pPr>
        <w:pStyle w:val="7"/>
        <w:ind w:left="0"/>
        <w:jc w:val="left"/>
      </w:pPr>
      <w:r>
        <w:rPr>
          <w:rFonts w:hint="eastAsia"/>
        </w:rPr>
        <w:t>1.1评标专家向投标人质疑函</w:t>
      </w:r>
    </w:p>
    <w:p>
      <w:pPr>
        <w:pStyle w:val="2"/>
        <w:jc w:val="center"/>
      </w:pPr>
      <w:r>
        <w:rPr>
          <w:rFonts w:hint="eastAsia"/>
          <w:b/>
          <w:bCs/>
          <w:sz w:val="30"/>
          <w:szCs w:val="30"/>
        </w:rPr>
        <w:t>评标专家向投标人质疑函</w:t>
      </w:r>
    </w:p>
    <w:p>
      <w:pPr>
        <w:pStyle w:val="2"/>
        <w:ind w:left="0"/>
      </w:pPr>
      <w:r>
        <w:rPr>
          <w:rFonts w:hint="eastAsia"/>
        </w:rPr>
        <w:t>投标人名称：                                            编号：</w:t>
      </w:r>
    </w:p>
    <w:tbl>
      <w:tblPr>
        <w:tblStyle w:val="16"/>
        <w:tblpPr w:leftFromText="180" w:rightFromText="180" w:vertAnchor="text" w:tblpXSpec="center" w:tblpY="1"/>
        <w:tblOverlap w:val="never"/>
        <w:tblW w:w="97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8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668" w:type="dxa"/>
            <w:gridSpan w:val="2"/>
            <w:vAlign w:val="center"/>
          </w:tcPr>
          <w:p>
            <w:pPr>
              <w:pStyle w:val="2"/>
              <w:ind w:left="0"/>
              <w:jc w:val="center"/>
            </w:pPr>
            <w:r>
              <w:rPr>
                <w:rFonts w:hint="eastAsia"/>
              </w:rPr>
              <w:t>标段名称</w:t>
            </w:r>
          </w:p>
        </w:tc>
        <w:tc>
          <w:tcPr>
            <w:tcW w:w="8100"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23" w:hRule="atLeast"/>
          <w:jc w:val="center"/>
        </w:trPr>
        <w:tc>
          <w:tcPr>
            <w:tcW w:w="817" w:type="dxa"/>
          </w:tcPr>
          <w:p>
            <w:pPr>
              <w:pStyle w:val="2"/>
              <w:ind w:left="0"/>
              <w:jc w:val="center"/>
            </w:pPr>
          </w:p>
          <w:p>
            <w:pPr>
              <w:pStyle w:val="2"/>
              <w:ind w:left="0"/>
              <w:jc w:val="center"/>
            </w:pPr>
          </w:p>
          <w:p>
            <w:pPr>
              <w:pStyle w:val="2"/>
              <w:ind w:left="0"/>
              <w:jc w:val="center"/>
            </w:pPr>
            <w:r>
              <w:rPr>
                <w:rFonts w:hint="eastAsia"/>
              </w:rPr>
              <w:t>质</w:t>
            </w:r>
          </w:p>
          <w:p>
            <w:pPr>
              <w:pStyle w:val="2"/>
              <w:ind w:left="0"/>
              <w:jc w:val="center"/>
            </w:pPr>
            <w:r>
              <w:rPr>
                <w:rFonts w:hint="eastAsia"/>
              </w:rPr>
              <w:t>疑</w:t>
            </w:r>
          </w:p>
          <w:p>
            <w:pPr>
              <w:pStyle w:val="2"/>
              <w:ind w:left="0"/>
              <w:jc w:val="center"/>
            </w:pPr>
            <w:r>
              <w:rPr>
                <w:rFonts w:hint="eastAsia"/>
              </w:rPr>
              <w:t>问</w:t>
            </w:r>
          </w:p>
          <w:p>
            <w:pPr>
              <w:pStyle w:val="2"/>
              <w:ind w:left="0"/>
              <w:jc w:val="center"/>
            </w:pPr>
            <w:r>
              <w:rPr>
                <w:rFonts w:hint="eastAsia"/>
              </w:rPr>
              <w:t>题</w:t>
            </w:r>
          </w:p>
          <w:p>
            <w:pPr>
              <w:pStyle w:val="2"/>
              <w:ind w:left="0"/>
              <w:jc w:val="center"/>
            </w:pPr>
          </w:p>
        </w:tc>
        <w:tc>
          <w:tcPr>
            <w:tcW w:w="8951" w:type="dxa"/>
            <w:gridSpan w:val="2"/>
          </w:tcPr>
          <w:p>
            <w:pPr>
              <w:pStyle w:val="2"/>
              <w:ind w:left="0"/>
            </w:pPr>
          </w:p>
          <w:p>
            <w:pPr>
              <w:pStyle w:val="2"/>
              <w:ind w:left="0"/>
            </w:pPr>
          </w:p>
          <w:p>
            <w:pPr>
              <w:pStyle w:val="2"/>
              <w:ind w:left="0"/>
            </w:pPr>
          </w:p>
          <w:p>
            <w:pPr>
              <w:pStyle w:val="2"/>
              <w:ind w:left="0"/>
            </w:pPr>
          </w:p>
          <w:p>
            <w:pPr>
              <w:pStyle w:val="2"/>
              <w:ind w:left="0"/>
              <w:jc w:val="right"/>
            </w:pPr>
            <w:r>
              <w:rPr>
                <w:rFonts w:hint="eastAsia"/>
              </w:rPr>
              <w:t xml:space="preserve">   </w:t>
            </w:r>
            <w:r>
              <w:rPr>
                <w:u w:val="single"/>
              </w:rPr>
              <w:t xml:space="preserve">                       </w:t>
            </w:r>
            <w:r>
              <w:rPr>
                <w:rFonts w:hint="eastAsia"/>
              </w:rPr>
              <w:t>（项目名称）</w:t>
            </w:r>
            <w:r>
              <w:rPr>
                <w:u w:val="single"/>
              </w:rPr>
              <w:t xml:space="preserve">         </w:t>
            </w:r>
            <w:r>
              <w:rPr>
                <w:rFonts w:hint="eastAsia"/>
              </w:rPr>
              <w:t>标段招标评标委员会</w:t>
            </w:r>
          </w:p>
          <w:p>
            <w:pPr>
              <w:pStyle w:val="2"/>
              <w:ind w:left="0"/>
              <w:jc w:val="right"/>
            </w:pPr>
            <w:r>
              <w:rPr>
                <w:rFonts w:hint="eastAsia"/>
              </w:rPr>
              <w:t xml:space="preserve">          </w:t>
            </w:r>
          </w:p>
          <w:p>
            <w:pPr>
              <w:pStyle w:val="2"/>
              <w:ind w:left="0"/>
              <w:jc w:val="right"/>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3" w:hRule="atLeast"/>
          <w:jc w:val="center"/>
        </w:trPr>
        <w:tc>
          <w:tcPr>
            <w:tcW w:w="817" w:type="dxa"/>
            <w:vAlign w:val="center"/>
          </w:tcPr>
          <w:p>
            <w:pPr>
              <w:pStyle w:val="2"/>
              <w:ind w:left="0"/>
              <w:jc w:val="center"/>
            </w:pPr>
            <w:r>
              <w:rPr>
                <w:rFonts w:hint="eastAsia"/>
              </w:rPr>
              <w:t>澄</w:t>
            </w:r>
          </w:p>
          <w:p>
            <w:pPr>
              <w:pStyle w:val="2"/>
              <w:ind w:left="0"/>
              <w:jc w:val="center"/>
            </w:pPr>
            <w:r>
              <w:rPr>
                <w:rFonts w:hint="eastAsia"/>
              </w:rPr>
              <w:t>清</w:t>
            </w:r>
          </w:p>
          <w:p>
            <w:pPr>
              <w:pStyle w:val="2"/>
              <w:ind w:left="0"/>
              <w:jc w:val="center"/>
            </w:pPr>
            <w:r>
              <w:rPr>
                <w:rFonts w:hint="eastAsia"/>
              </w:rPr>
              <w:t>内</w:t>
            </w:r>
          </w:p>
          <w:p>
            <w:pPr>
              <w:pStyle w:val="2"/>
              <w:ind w:left="0"/>
              <w:jc w:val="center"/>
            </w:pPr>
            <w:r>
              <w:rPr>
                <w:rFonts w:hint="eastAsia"/>
              </w:rPr>
              <w:t>容</w:t>
            </w:r>
          </w:p>
        </w:tc>
        <w:tc>
          <w:tcPr>
            <w:tcW w:w="8951" w:type="dxa"/>
            <w:gridSpan w:val="2"/>
          </w:tcPr>
          <w:p>
            <w:pPr>
              <w:pStyle w:val="2"/>
              <w:ind w:left="0"/>
            </w:pPr>
          </w:p>
          <w:p>
            <w:pPr>
              <w:pStyle w:val="2"/>
              <w:ind w:left="0"/>
            </w:pPr>
          </w:p>
          <w:p>
            <w:pPr>
              <w:pStyle w:val="2"/>
              <w:ind w:left="0"/>
            </w:pPr>
          </w:p>
          <w:p>
            <w:pPr>
              <w:pStyle w:val="2"/>
              <w:ind w:left="0"/>
            </w:pPr>
            <w:r>
              <w:rPr>
                <w:rFonts w:hint="eastAsia"/>
              </w:rPr>
              <w:t xml:space="preserve">         </w:t>
            </w:r>
          </w:p>
          <w:p>
            <w:pPr>
              <w:pStyle w:val="2"/>
              <w:ind w:left="0"/>
              <w:jc w:val="right"/>
            </w:pPr>
            <w:r>
              <w:rPr>
                <w:rFonts w:hint="eastAsia"/>
              </w:rPr>
              <w:t>投标人法定代表人或其授权代理人：</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（签章）</w:t>
            </w:r>
          </w:p>
          <w:p>
            <w:pPr>
              <w:pStyle w:val="2"/>
              <w:ind w:left="0"/>
              <w:jc w:val="right"/>
            </w:pP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8" w:hRule="atLeast"/>
          <w:jc w:val="center"/>
        </w:trPr>
        <w:tc>
          <w:tcPr>
            <w:tcW w:w="817" w:type="dxa"/>
            <w:vAlign w:val="center"/>
          </w:tcPr>
          <w:p>
            <w:pPr>
              <w:pStyle w:val="2"/>
              <w:ind w:left="0"/>
              <w:jc w:val="center"/>
            </w:pPr>
            <w:r>
              <w:rPr>
                <w:rFonts w:hint="eastAsia"/>
              </w:rPr>
              <w:t>递交方式和时间</w:t>
            </w:r>
          </w:p>
        </w:tc>
        <w:tc>
          <w:tcPr>
            <w:tcW w:w="8951" w:type="dxa"/>
            <w:gridSpan w:val="2"/>
            <w:vAlign w:val="center"/>
          </w:tcPr>
          <w:p>
            <w:pPr>
              <w:pStyle w:val="2"/>
              <w:ind w:left="0"/>
            </w:pPr>
            <w:r>
              <w:rPr>
                <w:rFonts w:hint="eastAsia"/>
              </w:rPr>
              <w:t>请将上述问题的澄清、说明或者补正于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分（北京时间）前递交至</w:t>
            </w:r>
            <w:r>
              <w:t xml:space="preserve"> </w:t>
            </w:r>
            <w:r>
              <w:rPr>
                <w:u w:val="single"/>
              </w:rPr>
              <w:t xml:space="preserve">                                 </w:t>
            </w:r>
            <w:r>
              <w:rPr>
                <w:rFonts w:hint="eastAsia"/>
              </w:rPr>
              <w:t>（详细地址）。</w:t>
            </w:r>
          </w:p>
          <w:p>
            <w:pPr>
              <w:pStyle w:val="2"/>
              <w:ind w:left="0"/>
            </w:pPr>
            <w:r>
              <w:rPr>
                <w:rFonts w:hint="eastAsia"/>
              </w:rPr>
              <w:t>注：评标委员会在评标过程中，如要求投标人澄清或说明的，评标委员会要求投标人递交书面澄清或说明的时间距招标人收到评标委员会书面通知的时间不得少于60分钟。</w:t>
            </w:r>
          </w:p>
          <w:p>
            <w:pPr>
              <w:pStyle w:val="2"/>
              <w:ind w:left="0"/>
            </w:pPr>
            <w:r>
              <w:rPr>
                <w:rFonts w:hint="eastAsia"/>
              </w:rPr>
              <w:t>评标委员会认为投标人的澄清或说明不够明确，应再次要求投标人对不明确的内容进行澄清或说明，评标委员会要求投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817" w:type="dxa"/>
            <w:vAlign w:val="center"/>
          </w:tcPr>
          <w:p>
            <w:pPr>
              <w:pStyle w:val="2"/>
              <w:ind w:left="0"/>
              <w:jc w:val="center"/>
            </w:pPr>
            <w:r>
              <w:rPr>
                <w:rFonts w:hint="eastAsia"/>
              </w:rPr>
              <w:t>结论</w:t>
            </w:r>
          </w:p>
        </w:tc>
        <w:tc>
          <w:tcPr>
            <w:tcW w:w="8951" w:type="dxa"/>
            <w:gridSpan w:val="2"/>
          </w:tcPr>
          <w:p>
            <w:pPr>
              <w:pStyle w:val="2"/>
              <w:ind w:left="0"/>
            </w:pPr>
          </w:p>
          <w:p>
            <w:pPr>
              <w:pStyle w:val="2"/>
              <w:ind w:left="0"/>
              <w:jc w:val="right"/>
            </w:pPr>
            <w:r>
              <w:rPr>
                <w:rFonts w:hint="eastAsia"/>
              </w:rPr>
              <w:t xml:space="preserve">                     评标委员会：</w:t>
            </w:r>
            <w:r>
              <w:rPr>
                <w:rFonts w:hint="eastAsia"/>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bl>
    <w:p>
      <w:r>
        <w:rPr>
          <w:rFonts w:hint="eastAsia"/>
        </w:rPr>
        <w:br w:type="page"/>
      </w:r>
      <w:r>
        <w:rPr>
          <w:rFonts w:hint="eastAsia"/>
        </w:rPr>
        <w:t>1.2评标专家向招标人质疑函</w:t>
      </w:r>
    </w:p>
    <w:p>
      <w:pPr>
        <w:pStyle w:val="2"/>
        <w:jc w:val="center"/>
        <w:rPr>
          <w:b/>
          <w:bCs/>
          <w:sz w:val="30"/>
          <w:szCs w:val="30"/>
        </w:rPr>
      </w:pPr>
      <w:r>
        <w:rPr>
          <w:rFonts w:hint="eastAsia"/>
          <w:b/>
          <w:bCs/>
          <w:sz w:val="30"/>
          <w:szCs w:val="30"/>
        </w:rPr>
        <w:t>评标专家向招标人质疑函</w:t>
      </w:r>
    </w:p>
    <w:p>
      <w:pPr>
        <w:pStyle w:val="2"/>
        <w:ind w:left="0"/>
        <w:jc w:val="both"/>
      </w:pPr>
      <w:r>
        <w:rPr>
          <w:rFonts w:hint="eastAsia"/>
        </w:rPr>
        <w:t>招标人名称：                                           编号：</w:t>
      </w:r>
    </w:p>
    <w:tbl>
      <w:tblPr>
        <w:tblStyle w:val="16"/>
        <w:tblpPr w:leftFromText="180" w:rightFromText="180" w:vertAnchor="text" w:tblpY="1"/>
        <w:tblOverlap w:val="never"/>
        <w:tblW w:w="96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79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668" w:type="dxa"/>
            <w:gridSpan w:val="2"/>
            <w:vAlign w:val="center"/>
          </w:tcPr>
          <w:p>
            <w:pPr>
              <w:pStyle w:val="2"/>
              <w:ind w:left="0"/>
            </w:pPr>
            <w:r>
              <w:rPr>
                <w:rFonts w:hint="eastAsia"/>
              </w:rPr>
              <w:t>标段名称</w:t>
            </w:r>
          </w:p>
        </w:tc>
        <w:tc>
          <w:tcPr>
            <w:tcW w:w="799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1" w:hRule="atLeast"/>
        </w:trPr>
        <w:tc>
          <w:tcPr>
            <w:tcW w:w="817" w:type="dxa"/>
            <w:vAlign w:val="center"/>
          </w:tcPr>
          <w:p>
            <w:pPr>
              <w:pStyle w:val="2"/>
              <w:ind w:left="0"/>
              <w:jc w:val="center"/>
            </w:pPr>
          </w:p>
          <w:p>
            <w:pPr>
              <w:pStyle w:val="2"/>
              <w:ind w:left="0"/>
              <w:jc w:val="center"/>
            </w:pPr>
            <w:r>
              <w:rPr>
                <w:rFonts w:hint="eastAsia"/>
              </w:rPr>
              <w:t>质</w:t>
            </w:r>
          </w:p>
          <w:p>
            <w:pPr>
              <w:pStyle w:val="2"/>
              <w:ind w:left="0"/>
              <w:jc w:val="center"/>
            </w:pPr>
            <w:r>
              <w:rPr>
                <w:rFonts w:hint="eastAsia"/>
              </w:rPr>
              <w:t>疑</w:t>
            </w:r>
          </w:p>
          <w:p>
            <w:pPr>
              <w:pStyle w:val="2"/>
              <w:ind w:left="0"/>
              <w:jc w:val="center"/>
            </w:pPr>
            <w:r>
              <w:rPr>
                <w:rFonts w:hint="eastAsia"/>
              </w:rPr>
              <w:t>问</w:t>
            </w:r>
          </w:p>
          <w:p>
            <w:pPr>
              <w:pStyle w:val="2"/>
              <w:ind w:left="0"/>
              <w:jc w:val="center"/>
            </w:pPr>
            <w:r>
              <w:rPr>
                <w:rFonts w:hint="eastAsia"/>
              </w:rPr>
              <w:t>题</w:t>
            </w:r>
          </w:p>
          <w:p>
            <w:pPr>
              <w:pStyle w:val="2"/>
              <w:ind w:left="0"/>
              <w:jc w:val="center"/>
            </w:pPr>
          </w:p>
        </w:tc>
        <w:tc>
          <w:tcPr>
            <w:tcW w:w="8846" w:type="dxa"/>
            <w:gridSpan w:val="2"/>
          </w:tcPr>
          <w:p>
            <w:pPr>
              <w:pStyle w:val="2"/>
              <w:ind w:left="0"/>
            </w:pPr>
          </w:p>
          <w:p>
            <w:pPr>
              <w:pStyle w:val="2"/>
              <w:ind w:left="0"/>
            </w:pPr>
          </w:p>
          <w:p>
            <w:pPr>
              <w:pStyle w:val="2"/>
              <w:ind w:left="0"/>
            </w:pPr>
          </w:p>
          <w:p>
            <w:pPr>
              <w:pStyle w:val="2"/>
              <w:ind w:left="0"/>
              <w:jc w:val="right"/>
            </w:pPr>
          </w:p>
          <w:p>
            <w:pPr>
              <w:pStyle w:val="2"/>
              <w:ind w:left="0"/>
              <w:jc w:val="right"/>
            </w:pPr>
            <w:r>
              <w:t xml:space="preserve">  </w:t>
            </w:r>
            <w:r>
              <w:rPr>
                <w:rFonts w:hint="eastAsia"/>
              </w:rPr>
              <w:t xml:space="preserve">  </w:t>
            </w:r>
            <w:r>
              <w:t xml:space="preserve">  </w:t>
            </w:r>
          </w:p>
          <w:p>
            <w:pPr>
              <w:pStyle w:val="2"/>
              <w:ind w:left="0"/>
              <w:jc w:val="right"/>
            </w:pPr>
            <w:r>
              <w:t xml:space="preserve">   </w:t>
            </w:r>
            <w:r>
              <w:rPr>
                <w:u w:val="single"/>
              </w:rPr>
              <w:t xml:space="preserve">                 </w:t>
            </w:r>
            <w:r>
              <w:rPr>
                <w:rFonts w:hint="eastAsia"/>
              </w:rPr>
              <w:t>（项目名称）</w:t>
            </w:r>
            <w:r>
              <w:rPr>
                <w:u w:val="single"/>
              </w:rPr>
              <w:t xml:space="preserve">         </w:t>
            </w:r>
            <w:r>
              <w:rPr>
                <w:rFonts w:hint="eastAsia"/>
              </w:rPr>
              <w:t xml:space="preserve">标段招标评标委员会                          </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3" w:hRule="atLeast"/>
        </w:trPr>
        <w:tc>
          <w:tcPr>
            <w:tcW w:w="817" w:type="dxa"/>
            <w:vAlign w:val="center"/>
          </w:tcPr>
          <w:p>
            <w:pPr>
              <w:pStyle w:val="2"/>
              <w:ind w:left="0"/>
              <w:jc w:val="center"/>
            </w:pPr>
          </w:p>
          <w:p>
            <w:pPr>
              <w:pStyle w:val="2"/>
              <w:ind w:left="0"/>
              <w:jc w:val="center"/>
            </w:pPr>
            <w:r>
              <w:rPr>
                <w:rFonts w:hint="eastAsia"/>
              </w:rPr>
              <w:t>澄</w:t>
            </w:r>
          </w:p>
          <w:p>
            <w:pPr>
              <w:pStyle w:val="2"/>
              <w:ind w:left="0"/>
              <w:jc w:val="center"/>
            </w:pPr>
            <w:r>
              <w:rPr>
                <w:rFonts w:hint="eastAsia"/>
              </w:rPr>
              <w:t>清</w:t>
            </w:r>
          </w:p>
          <w:p>
            <w:pPr>
              <w:pStyle w:val="2"/>
              <w:ind w:left="0"/>
              <w:jc w:val="center"/>
            </w:pPr>
            <w:r>
              <w:rPr>
                <w:rFonts w:hint="eastAsia"/>
              </w:rPr>
              <w:t>内</w:t>
            </w:r>
          </w:p>
          <w:p>
            <w:pPr>
              <w:pStyle w:val="2"/>
              <w:ind w:left="0"/>
              <w:jc w:val="center"/>
            </w:pPr>
            <w:r>
              <w:rPr>
                <w:rFonts w:hint="eastAsia"/>
              </w:rPr>
              <w:t>容</w:t>
            </w:r>
          </w:p>
        </w:tc>
        <w:tc>
          <w:tcPr>
            <w:tcW w:w="8846" w:type="dxa"/>
            <w:gridSpan w:val="2"/>
          </w:tcPr>
          <w:p>
            <w:pPr>
              <w:pStyle w:val="2"/>
              <w:ind w:left="0"/>
            </w:pPr>
          </w:p>
          <w:p>
            <w:pPr>
              <w:pStyle w:val="2"/>
              <w:ind w:left="0"/>
            </w:pPr>
          </w:p>
          <w:p>
            <w:pPr>
              <w:pStyle w:val="2"/>
              <w:ind w:left="0"/>
            </w:pPr>
          </w:p>
          <w:p>
            <w:pPr>
              <w:pStyle w:val="2"/>
              <w:ind w:left="0"/>
            </w:pPr>
            <w:r>
              <w:rPr>
                <w:rFonts w:hint="eastAsia"/>
              </w:rPr>
              <w:t xml:space="preserve"> </w:t>
            </w:r>
          </w:p>
          <w:p>
            <w:pPr>
              <w:pStyle w:val="2"/>
              <w:ind w:left="0"/>
            </w:pPr>
          </w:p>
          <w:p>
            <w:pPr>
              <w:pStyle w:val="2"/>
              <w:ind w:left="0"/>
              <w:jc w:val="right"/>
            </w:pPr>
            <w:r>
              <w:rPr>
                <w:rFonts w:hint="eastAsia"/>
              </w:rPr>
              <w:t xml:space="preserve">       招标人法定代表人或其授权代理人：</w:t>
            </w:r>
            <w:r>
              <w:rPr>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817" w:type="dxa"/>
            <w:vAlign w:val="center"/>
          </w:tcPr>
          <w:p>
            <w:pPr>
              <w:pStyle w:val="2"/>
              <w:ind w:left="0"/>
              <w:jc w:val="center"/>
            </w:pPr>
            <w:r>
              <w:rPr>
                <w:rFonts w:hint="eastAsia"/>
              </w:rPr>
              <w:t>递交方式和时间</w:t>
            </w:r>
          </w:p>
        </w:tc>
        <w:tc>
          <w:tcPr>
            <w:tcW w:w="8846" w:type="dxa"/>
            <w:gridSpan w:val="2"/>
            <w:vAlign w:val="center"/>
          </w:tcPr>
          <w:p>
            <w:pPr>
              <w:pStyle w:val="2"/>
              <w:ind w:left="0"/>
            </w:pPr>
            <w:r>
              <w:rPr>
                <w:rFonts w:hint="eastAsia"/>
              </w:rPr>
              <w:t xml:space="preserve">请将上述问题的澄清、说明或者补正于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分（北京时间）前递交至</w:t>
            </w:r>
            <w:r>
              <w:rPr>
                <w:u w:val="single"/>
              </w:rPr>
              <w:t xml:space="preserve">                                  </w:t>
            </w:r>
            <w:r>
              <w:rPr>
                <w:rFonts w:hint="eastAsia"/>
              </w:rPr>
              <w:t>（详细地址）。</w:t>
            </w:r>
          </w:p>
          <w:p>
            <w:pPr>
              <w:pStyle w:val="2"/>
              <w:ind w:left="0"/>
            </w:pPr>
            <w:r>
              <w:rPr>
                <w:rFonts w:hint="eastAsia"/>
              </w:rPr>
              <w:t>注：评标委员会在评标过程中，如要求招标人澄清或说明的，评标委员会要求招标人递交书面澄清或说明的时间距招标人收到评标委员会书面通知的时间不得少于60分钟。</w:t>
            </w:r>
          </w:p>
          <w:p>
            <w:pPr>
              <w:pStyle w:val="2"/>
              <w:ind w:left="0"/>
            </w:pPr>
            <w:r>
              <w:rPr>
                <w:rFonts w:hint="eastAsia"/>
              </w:rPr>
              <w:t>评标委员会认为招标人的澄清或说明不够明确，应再次要求招标人对不明确的内容进行澄清或说明，评标委员会要求招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1" w:hRule="atLeast"/>
        </w:trPr>
        <w:tc>
          <w:tcPr>
            <w:tcW w:w="817" w:type="dxa"/>
            <w:vAlign w:val="center"/>
          </w:tcPr>
          <w:p>
            <w:pPr>
              <w:pStyle w:val="2"/>
              <w:ind w:left="0"/>
              <w:jc w:val="center"/>
            </w:pPr>
            <w:r>
              <w:rPr>
                <w:rFonts w:hint="eastAsia"/>
              </w:rPr>
              <w:t>结论</w:t>
            </w:r>
          </w:p>
        </w:tc>
        <w:tc>
          <w:tcPr>
            <w:tcW w:w="8846" w:type="dxa"/>
            <w:gridSpan w:val="2"/>
          </w:tcPr>
          <w:p>
            <w:pPr>
              <w:pStyle w:val="2"/>
              <w:ind w:left="0"/>
            </w:pPr>
          </w:p>
          <w:p>
            <w:pPr>
              <w:pStyle w:val="2"/>
              <w:ind w:left="0"/>
            </w:pPr>
          </w:p>
          <w:p>
            <w:pPr>
              <w:pStyle w:val="2"/>
              <w:ind w:left="0"/>
            </w:pPr>
          </w:p>
          <w:p>
            <w:pPr>
              <w:pStyle w:val="2"/>
              <w:ind w:left="0"/>
              <w:jc w:val="right"/>
            </w:pPr>
            <w:r>
              <w:rPr>
                <w:rFonts w:hint="eastAsia"/>
              </w:rPr>
              <w:t>评标委员会：</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bl>
    <w:p>
      <w:r>
        <w:rPr>
          <w:rFonts w:hint="eastAsia"/>
        </w:rPr>
        <w:br w:type="page"/>
      </w:r>
    </w:p>
    <w:p>
      <w:pPr>
        <w:pStyle w:val="4"/>
        <w:numPr>
          <w:ilvl w:val="0"/>
          <w:numId w:val="8"/>
        </w:numPr>
      </w:pPr>
      <w:r>
        <w:rPr>
          <w:rFonts w:hint="eastAsia"/>
        </w:rPr>
        <w:t xml:space="preserve"> </w:t>
      </w:r>
      <w:bookmarkStart w:id="42" w:name="_Toc16931"/>
      <w:r>
        <w:rPr>
          <w:rFonts w:hint="eastAsia"/>
        </w:rPr>
        <w:t>合同条款及格式</w:t>
      </w:r>
      <w:bookmarkEnd w:id="42"/>
    </w:p>
    <w:p>
      <w:pPr>
        <w:pStyle w:val="2"/>
        <w:ind w:left="0"/>
        <w:jc w:val="center"/>
      </w:pPr>
      <w:r>
        <w:rPr>
          <w:rFonts w:hint="eastAsia"/>
        </w:rPr>
        <w:t>注：招标人自拟</w:t>
      </w:r>
    </w:p>
    <w:p>
      <w:r>
        <w:rPr>
          <w:rFonts w:hint="eastAsia"/>
        </w:rPr>
        <w:br w:type="page"/>
      </w:r>
    </w:p>
    <w:p>
      <w:pPr>
        <w:pStyle w:val="3"/>
      </w:pPr>
    </w:p>
    <w:p>
      <w:pPr>
        <w:pStyle w:val="3"/>
      </w:pPr>
    </w:p>
    <w:p>
      <w:pPr>
        <w:pStyle w:val="3"/>
      </w:pPr>
    </w:p>
    <w:p>
      <w:pPr>
        <w:pStyle w:val="3"/>
        <w:sectPr>
          <w:footerReference r:id="rId8" w:type="default"/>
          <w:pgSz w:w="12240" w:h="15840"/>
          <w:pgMar w:top="1134" w:right="1134" w:bottom="1134" w:left="1134" w:header="0" w:footer="921" w:gutter="0"/>
          <w:cols w:space="720" w:num="1"/>
        </w:sectPr>
      </w:pPr>
      <w:bookmarkStart w:id="43" w:name="_Toc12869"/>
      <w:r>
        <w:rPr>
          <w:rFonts w:hint="eastAsia"/>
        </w:rPr>
        <w:t>第二卷</w:t>
      </w:r>
      <w:bookmarkEnd w:id="43"/>
    </w:p>
    <w:p>
      <w:pPr>
        <w:pStyle w:val="4"/>
      </w:pPr>
      <w:bookmarkStart w:id="44" w:name="_Toc13921"/>
      <w:r>
        <w:rPr>
          <w:rFonts w:hint="eastAsia"/>
        </w:rPr>
        <w:t xml:space="preserve">第五章 </w:t>
      </w:r>
      <w:r>
        <w:t>技术标准和要求</w:t>
      </w:r>
      <w:bookmarkEnd w:id="44"/>
    </w:p>
    <w:p>
      <w:pPr>
        <w:pStyle w:val="2"/>
      </w:pPr>
      <w:r>
        <w:rPr>
          <w:rFonts w:hint="eastAsia"/>
        </w:rPr>
        <w:t>投标人使用CA数字证书</w:t>
      </w:r>
      <w:r>
        <w:t>在</w:t>
      </w:r>
      <w:r>
        <w:rPr>
          <w:rFonts w:hint="eastAsia"/>
        </w:rPr>
        <w:t>成都市公共资源电子交易云平台(</w:t>
      </w:r>
      <w:r>
        <w:t>www.cdggzy.com）下载</w:t>
      </w:r>
    </w:p>
    <w:p>
      <w:pPr>
        <w:pStyle w:val="2"/>
      </w:pPr>
      <w:r>
        <w:rPr>
          <w:rFonts w:hint="eastAsia"/>
        </w:rPr>
        <w:t xml:space="preserve">              </w:t>
      </w:r>
      <w:r>
        <w:t xml:space="preserve">          </w:t>
      </w:r>
    </w:p>
    <w:p>
      <w:pPr>
        <w:pStyle w:val="2"/>
      </w:pPr>
      <w:r>
        <w:rPr>
          <w:rFonts w:hint="eastAsia"/>
        </w:rPr>
        <w:t>注：招标人自拟</w:t>
      </w:r>
      <w:r>
        <w:t>。</w:t>
      </w:r>
    </w:p>
    <w:p>
      <w:r>
        <w:br w:type="page"/>
      </w:r>
    </w:p>
    <w:p>
      <w:pPr>
        <w:pStyle w:val="3"/>
      </w:pPr>
    </w:p>
    <w:p>
      <w:pPr>
        <w:pStyle w:val="3"/>
      </w:pPr>
    </w:p>
    <w:p>
      <w:pPr>
        <w:pStyle w:val="3"/>
      </w:pPr>
    </w:p>
    <w:p>
      <w:pPr>
        <w:pStyle w:val="3"/>
        <w:sectPr>
          <w:footerReference r:id="rId9" w:type="default"/>
          <w:pgSz w:w="12240" w:h="15840"/>
          <w:pgMar w:top="1134" w:right="1134" w:bottom="1134" w:left="1134" w:header="0" w:footer="921" w:gutter="0"/>
          <w:cols w:space="720" w:num="1"/>
        </w:sectPr>
      </w:pPr>
      <w:bookmarkStart w:id="45" w:name="_Toc30195"/>
      <w:r>
        <w:rPr>
          <w:rFonts w:hint="eastAsia"/>
        </w:rPr>
        <w:t>第三卷</w:t>
      </w:r>
      <w:bookmarkEnd w:id="45"/>
    </w:p>
    <w:p>
      <w:pPr>
        <w:pStyle w:val="4"/>
      </w:pPr>
      <w:bookmarkStart w:id="46" w:name="_Toc14140"/>
      <w:r>
        <w:rPr>
          <w:rFonts w:hint="eastAsia"/>
        </w:rPr>
        <w:t>第六章 投标文件格式</w:t>
      </w:r>
      <w:bookmarkEnd w:id="46"/>
    </w:p>
    <w:p>
      <w:r>
        <w:rPr>
          <w:rFonts w:hint="eastAsia"/>
        </w:rPr>
        <w:br w:type="page"/>
      </w:r>
    </w:p>
    <w:p>
      <w:pPr>
        <w:jc w:val="center"/>
        <w:rPr>
          <w:sz w:val="32"/>
          <w:szCs w:val="32"/>
        </w:rPr>
      </w:pPr>
      <w:bookmarkStart w:id="47" w:name="_Toc25474"/>
      <w:bookmarkStart w:id="48" w:name="_Toc26565"/>
      <w:r>
        <w:rPr>
          <w:rFonts w:hint="eastAsia"/>
          <w:sz w:val="32"/>
          <w:szCs w:val="32"/>
          <w:u w:val="single"/>
        </w:rPr>
        <w:t xml:space="preserve">              </w:t>
      </w:r>
      <w:r>
        <w:rPr>
          <w:sz w:val="32"/>
          <w:szCs w:val="32"/>
        </w:rPr>
        <w:t>（项目名称）</w:t>
      </w:r>
      <w:r>
        <w:rPr>
          <w:rFonts w:hint="eastAsia"/>
          <w:sz w:val="32"/>
          <w:szCs w:val="32"/>
        </w:rPr>
        <w:t>采购</w:t>
      </w:r>
      <w:r>
        <w:rPr>
          <w:sz w:val="32"/>
          <w:szCs w:val="32"/>
          <w:u w:val="single"/>
        </w:rPr>
        <w:t xml:space="preserve">   </w:t>
      </w:r>
      <w:r>
        <w:rPr>
          <w:rFonts w:hint="eastAsia"/>
          <w:sz w:val="32"/>
          <w:szCs w:val="32"/>
          <w:u w:val="single"/>
        </w:rPr>
        <w:t xml:space="preserve"> </w:t>
      </w:r>
      <w:r>
        <w:rPr>
          <w:sz w:val="32"/>
          <w:szCs w:val="32"/>
          <w:u w:val="single"/>
        </w:rPr>
        <w:t xml:space="preserve"> </w:t>
      </w:r>
      <w:r>
        <w:rPr>
          <w:rFonts w:hint="eastAsia"/>
          <w:sz w:val="32"/>
          <w:szCs w:val="32"/>
        </w:rPr>
        <w:t>标段</w:t>
      </w:r>
      <w:r>
        <w:rPr>
          <w:sz w:val="32"/>
          <w:szCs w:val="32"/>
        </w:rPr>
        <w:t>招标项目</w:t>
      </w:r>
      <w:bookmarkEnd w:id="47"/>
      <w:bookmarkEnd w:id="48"/>
    </w:p>
    <w:p>
      <w:pPr>
        <w:jc w:val="center"/>
        <w:rPr>
          <w:sz w:val="32"/>
          <w:szCs w:val="32"/>
        </w:rPr>
      </w:pPr>
    </w:p>
    <w:p>
      <w:pPr>
        <w:pStyle w:val="2"/>
        <w:rPr>
          <w:sz w:val="32"/>
          <w:szCs w:val="32"/>
        </w:rPr>
      </w:pPr>
    </w:p>
    <w:p>
      <w:pPr>
        <w:pStyle w:val="2"/>
        <w:rPr>
          <w:sz w:val="32"/>
          <w:szCs w:val="32"/>
        </w:rPr>
      </w:pPr>
    </w:p>
    <w:p>
      <w:pPr>
        <w:jc w:val="center"/>
        <w:rPr>
          <w:sz w:val="32"/>
          <w:szCs w:val="32"/>
        </w:rPr>
      </w:pPr>
    </w:p>
    <w:p>
      <w:pPr>
        <w:pStyle w:val="2"/>
        <w:ind w:left="0"/>
        <w:jc w:val="center"/>
        <w:rPr>
          <w:sz w:val="32"/>
          <w:szCs w:val="32"/>
        </w:rPr>
      </w:pPr>
      <w:bookmarkStart w:id="49" w:name="_Toc14249"/>
      <w:r>
        <w:rPr>
          <w:sz w:val="32"/>
          <w:szCs w:val="32"/>
        </w:rPr>
        <w:t>投 标 文 件</w:t>
      </w:r>
      <w:bookmarkEnd w:id="49"/>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r>
        <w:rPr>
          <w:sz w:val="32"/>
          <w:szCs w:val="32"/>
        </w:rPr>
        <w:t>投标人：</w:t>
      </w:r>
      <w:r>
        <w:rPr>
          <w:sz w:val="32"/>
          <w:szCs w:val="32"/>
          <w:u w:val="single"/>
        </w:rPr>
        <w:tab/>
      </w:r>
      <w:r>
        <w:rPr>
          <w:rFonts w:hint="eastAsia"/>
          <w:sz w:val="32"/>
          <w:szCs w:val="32"/>
          <w:u w:val="single"/>
        </w:rPr>
        <w:t xml:space="preserve">         </w:t>
      </w:r>
      <w:r>
        <w:rPr>
          <w:sz w:val="32"/>
          <w:szCs w:val="32"/>
          <w:u w:val="single"/>
        </w:rPr>
        <w:tab/>
      </w:r>
      <w:r>
        <w:rPr>
          <w:sz w:val="32"/>
          <w:szCs w:val="32"/>
        </w:rPr>
        <w:t>（盖单位章）</w:t>
      </w:r>
    </w:p>
    <w:p>
      <w:pPr>
        <w:jc w:val="center"/>
        <w:rPr>
          <w:sz w:val="32"/>
          <w:szCs w:val="32"/>
        </w:rPr>
      </w:pPr>
      <w:r>
        <w:rPr>
          <w:rFonts w:hint="eastAsia"/>
          <w:sz w:val="32"/>
          <w:szCs w:val="32"/>
        </w:rPr>
        <w:t>法定代表人或其委托代理人：</w:t>
      </w:r>
      <w:r>
        <w:rPr>
          <w:rFonts w:hint="eastAsia"/>
          <w:sz w:val="32"/>
          <w:szCs w:val="32"/>
          <w:u w:val="single"/>
        </w:rPr>
        <w:tab/>
      </w:r>
      <w:r>
        <w:rPr>
          <w:rFonts w:hint="eastAsia"/>
          <w:sz w:val="32"/>
          <w:szCs w:val="32"/>
          <w:u w:val="single"/>
        </w:rPr>
        <w:t xml:space="preserve">           </w:t>
      </w:r>
      <w:r>
        <w:rPr>
          <w:rFonts w:hint="eastAsia"/>
          <w:sz w:val="32"/>
          <w:szCs w:val="32"/>
        </w:rPr>
        <w:t>（签字）</w:t>
      </w:r>
    </w:p>
    <w:p>
      <w:pPr>
        <w:jc w:val="center"/>
        <w:rPr>
          <w:sz w:val="32"/>
          <w:szCs w:val="32"/>
        </w:rPr>
      </w:pPr>
      <w:r>
        <w:rPr>
          <w:rFonts w:hint="eastAsia"/>
          <w:sz w:val="32"/>
          <w:szCs w:val="32"/>
          <w:u w:val="single"/>
        </w:rPr>
        <w:t xml:space="preserve">         </w:t>
      </w:r>
      <w:r>
        <w:rPr>
          <w:rFonts w:hint="eastAsia"/>
          <w:sz w:val="32"/>
          <w:szCs w:val="32"/>
        </w:rPr>
        <w:t>年</w:t>
      </w:r>
      <w:r>
        <w:rPr>
          <w:rFonts w:hint="eastAsia"/>
          <w:sz w:val="32"/>
          <w:szCs w:val="32"/>
          <w:u w:val="single"/>
        </w:rPr>
        <w:tab/>
      </w:r>
      <w:r>
        <w:rPr>
          <w:rFonts w:hint="eastAsia"/>
          <w:sz w:val="32"/>
          <w:szCs w:val="32"/>
          <w:u w:val="single"/>
        </w:rPr>
        <w:t xml:space="preserve">       </w:t>
      </w:r>
      <w:r>
        <w:rPr>
          <w:rFonts w:hint="eastAsia"/>
          <w:sz w:val="32"/>
          <w:szCs w:val="32"/>
        </w:rPr>
        <w:t>月</w:t>
      </w:r>
      <w:r>
        <w:rPr>
          <w:rFonts w:hint="eastAsia"/>
          <w:sz w:val="32"/>
          <w:szCs w:val="32"/>
          <w:u w:val="single"/>
        </w:rPr>
        <w:t xml:space="preserve">      </w:t>
      </w:r>
      <w:r>
        <w:rPr>
          <w:rFonts w:hint="eastAsia"/>
          <w:sz w:val="32"/>
          <w:szCs w:val="32"/>
          <w:u w:val="single"/>
        </w:rPr>
        <w:tab/>
      </w:r>
      <w:r>
        <w:rPr>
          <w:rFonts w:hint="eastAsia"/>
          <w:sz w:val="32"/>
          <w:szCs w:val="32"/>
        </w:rPr>
        <w:t>日</w:t>
      </w:r>
    </w:p>
    <w:p>
      <w:pPr>
        <w:jc w:val="center"/>
        <w:rPr>
          <w:sz w:val="32"/>
          <w:szCs w:val="32"/>
        </w:rPr>
      </w:pPr>
    </w:p>
    <w:p>
      <w:pPr>
        <w:jc w:val="center"/>
        <w:rPr>
          <w:sz w:val="32"/>
          <w:szCs w:val="32"/>
        </w:rPr>
      </w:pPr>
      <w:r>
        <w:rPr>
          <w:sz w:val="32"/>
          <w:szCs w:val="32"/>
        </w:rPr>
        <w:br w:type="page"/>
      </w:r>
    </w:p>
    <w:p>
      <w:pPr>
        <w:pStyle w:val="2"/>
        <w:jc w:val="center"/>
        <w:rPr>
          <w:b/>
          <w:bCs/>
          <w:sz w:val="32"/>
          <w:szCs w:val="28"/>
        </w:rPr>
      </w:pPr>
      <w:r>
        <w:rPr>
          <w:rFonts w:hint="eastAsia"/>
          <w:b/>
          <w:bCs/>
          <w:sz w:val="32"/>
          <w:szCs w:val="28"/>
        </w:rPr>
        <w:t>目     录</w:t>
      </w:r>
    </w:p>
    <w:p>
      <w:pPr>
        <w:pStyle w:val="2"/>
      </w:pPr>
    </w:p>
    <w:p>
      <w:pPr>
        <w:pStyle w:val="2"/>
      </w:pPr>
      <w:r>
        <w:rPr>
          <w:rFonts w:hint="eastAsia"/>
        </w:rPr>
        <w:t>一、投标函及其投标函声明</w:t>
      </w:r>
    </w:p>
    <w:p>
      <w:pPr>
        <w:pStyle w:val="2"/>
      </w:pPr>
      <w:r>
        <w:rPr>
          <w:rFonts w:hint="eastAsia"/>
        </w:rPr>
        <w:t>二、法定代表人身份证明（适用于无委托代理人的情况）</w:t>
      </w:r>
    </w:p>
    <w:p>
      <w:pPr>
        <w:pStyle w:val="2"/>
      </w:pPr>
      <w:r>
        <w:rPr>
          <w:rFonts w:hint="eastAsia"/>
        </w:rPr>
        <w:t>三、授权委托书（适用于有委托代理人的情况）</w:t>
      </w:r>
    </w:p>
    <w:p>
      <w:pPr>
        <w:pStyle w:val="2"/>
      </w:pPr>
      <w:r>
        <w:rPr>
          <w:rFonts w:hint="eastAsia"/>
        </w:rPr>
        <w:t>四、□联合体协议书</w:t>
      </w:r>
    </w:p>
    <w:p>
      <w:pPr>
        <w:pStyle w:val="2"/>
      </w:pPr>
      <w:r>
        <w:rPr>
          <w:rFonts w:hint="eastAsia"/>
        </w:rPr>
        <w:t>五、资格审查资料</w:t>
      </w:r>
    </w:p>
    <w:p>
      <w:pPr>
        <w:pStyle w:val="2"/>
      </w:pPr>
      <w:r>
        <w:rPr>
          <w:rFonts w:hint="eastAsia"/>
        </w:rPr>
        <w:t>六、□投标人质量保证体系和质量承诺</w:t>
      </w:r>
    </w:p>
    <w:p>
      <w:pPr>
        <w:pStyle w:val="2"/>
      </w:pPr>
      <w:r>
        <w:rPr>
          <w:rFonts w:hint="eastAsia"/>
        </w:rPr>
        <w:t>七、□供货实施方案及保障措施</w:t>
      </w:r>
    </w:p>
    <w:p>
      <w:pPr>
        <w:pStyle w:val="2"/>
      </w:pPr>
      <w:r>
        <w:rPr>
          <w:rFonts w:hint="eastAsia"/>
        </w:rPr>
        <w:t>八、□投标报价</w:t>
      </w:r>
    </w:p>
    <w:p>
      <w:pPr>
        <w:pStyle w:val="2"/>
      </w:pPr>
      <w:r>
        <w:rPr>
          <w:rFonts w:hint="eastAsia"/>
        </w:rPr>
        <w:t>九、□其他资料</w:t>
      </w:r>
    </w:p>
    <w:p/>
    <w:p/>
    <w:p/>
    <w:p/>
    <w:p>
      <w:pPr>
        <w:pStyle w:val="2"/>
      </w:pPr>
      <w:r>
        <w:rPr>
          <w:rFonts w:hint="eastAsia"/>
        </w:rPr>
        <w:t>注：1、上述目录供投标人参考，投标人根据情况可自行对投标文件进行分册，目录可按照具体内</w:t>
      </w:r>
    </w:p>
    <w:p>
      <w:pPr>
        <w:pStyle w:val="2"/>
        <w:ind w:left="0"/>
      </w:pPr>
      <w:r>
        <w:rPr>
          <w:rFonts w:hint="eastAsia"/>
        </w:rPr>
        <w:t>容自动生成。</w:t>
      </w:r>
    </w:p>
    <w:p>
      <w:pPr>
        <w:pStyle w:val="2"/>
        <w:numPr>
          <w:ilvl w:val="0"/>
          <w:numId w:val="9"/>
        </w:numPr>
      </w:pPr>
      <w:r>
        <w:rPr>
          <w:rFonts w:hint="eastAsia"/>
        </w:rPr>
        <w:t>投标文件中的“注”仅为更好的为投标人解释投标文件格式，各投标人在编制投标文件时，可</w:t>
      </w:r>
    </w:p>
    <w:p>
      <w:pPr>
        <w:pStyle w:val="2"/>
        <w:ind w:left="0"/>
      </w:pPr>
      <w:r>
        <w:rPr>
          <w:rFonts w:hint="eastAsia"/>
        </w:rPr>
        <w:t>自行删除“注”的内容</w:t>
      </w:r>
      <w:r>
        <w:rPr>
          <w:rFonts w:hint="eastAsia"/>
        </w:rPr>
        <w:br w:type="page"/>
      </w:r>
    </w:p>
    <w:p>
      <w:pPr>
        <w:pStyle w:val="5"/>
      </w:pPr>
      <w:r>
        <w:rPr>
          <w:rFonts w:hint="eastAsia"/>
        </w:rPr>
        <w:t>一、投标函及投标函附录</w:t>
      </w:r>
    </w:p>
    <w:p>
      <w:pPr>
        <w:pStyle w:val="6"/>
        <w:numPr>
          <w:ilvl w:val="0"/>
          <w:numId w:val="10"/>
        </w:numPr>
        <w:jc w:val="center"/>
        <w:rPr>
          <w:b/>
          <w:bCs/>
        </w:rPr>
      </w:pPr>
      <w:r>
        <w:rPr>
          <w:rFonts w:hint="eastAsia"/>
          <w:b/>
          <w:bCs/>
        </w:rPr>
        <w:t>投标函</w:t>
      </w:r>
    </w:p>
    <w:p/>
    <w:p>
      <w:pPr>
        <w:pStyle w:val="2"/>
      </w:pPr>
      <w:r>
        <w:rPr>
          <w:rFonts w:hint="eastAsia"/>
          <w:u w:val="single"/>
        </w:rPr>
        <w:t xml:space="preserve">                     </w:t>
      </w:r>
      <w:r>
        <w:rPr>
          <w:rFonts w:hint="eastAsia"/>
        </w:rPr>
        <w:t>（招标人名称）:</w:t>
      </w:r>
    </w:p>
    <w:p>
      <w:pPr>
        <w:pStyle w:val="2"/>
        <w:numPr>
          <w:ilvl w:val="0"/>
          <w:numId w:val="11"/>
        </w:numPr>
      </w:pPr>
      <w:r>
        <w:t>我方已仔细研究</w:t>
      </w:r>
      <w:r>
        <w:rPr>
          <w:rFonts w:hint="eastAsia"/>
          <w:u w:val="single"/>
        </w:rPr>
        <w:t xml:space="preserve">          </w:t>
      </w:r>
      <w:r>
        <w:rPr>
          <w:rFonts w:hint="eastAsia"/>
        </w:rPr>
        <w:t>（项目名称）采购</w:t>
      </w:r>
      <w:r>
        <w:t>____</w:t>
      </w:r>
      <w:r>
        <w:rPr>
          <w:rFonts w:hint="eastAsia"/>
        </w:rPr>
        <w:t>标段招标文件的全部内容</w:t>
      </w:r>
      <w:r>
        <w:t>，</w:t>
      </w:r>
      <w:r>
        <w:rPr>
          <w:rFonts w:hint="eastAsia"/>
        </w:rPr>
        <w:t>遵照《中华人民</w:t>
      </w:r>
    </w:p>
    <w:p>
      <w:pPr>
        <w:pStyle w:val="2"/>
        <w:ind w:left="0"/>
      </w:pPr>
      <w:r>
        <w:rPr>
          <w:rFonts w:hint="eastAsia"/>
        </w:rPr>
        <w:t>共和国招标投标法》等有关规定，</w:t>
      </w:r>
      <w:r>
        <w:t>经踏勘项目现场和研究上述工程招标文件、</w:t>
      </w:r>
      <w:r>
        <w:rPr>
          <w:rFonts w:hint="eastAsia"/>
        </w:rPr>
        <w:t>技术标准及要求、</w:t>
      </w:r>
      <w:r>
        <w:t>其他有关文件后，我方愿按上述招标文件、合同条款、</w:t>
      </w:r>
      <w:r>
        <w:rPr>
          <w:rFonts w:hint="eastAsia"/>
        </w:rPr>
        <w:t>技术标准及要求</w:t>
      </w:r>
      <w:r>
        <w:t>的条件要求</w:t>
      </w:r>
      <w:r>
        <w:rPr>
          <w:rFonts w:hint="eastAsia"/>
        </w:rPr>
        <w:t>，</w:t>
      </w:r>
      <w:r>
        <w:t>承包</w:t>
      </w:r>
      <w:r>
        <w:rPr>
          <w:rFonts w:hint="eastAsia"/>
        </w:rPr>
        <w:t>本标段的全部工作范围，并承担质量缺陷保修责任。我方</w:t>
      </w:r>
      <w:r>
        <w:t>愿意以人民币</w:t>
      </w:r>
      <w:r>
        <w:rPr>
          <w:rFonts w:hint="eastAsia"/>
        </w:rPr>
        <w:t>（大写）</w:t>
      </w:r>
      <w:r>
        <w:rPr>
          <w:rFonts w:hint="eastAsia"/>
          <w:u w:val="single"/>
        </w:rPr>
        <w:t xml:space="preserve">     </w:t>
      </w:r>
      <w:r>
        <w:rPr>
          <w:u w:val="single"/>
        </w:rPr>
        <w:t xml:space="preserve">  </w:t>
      </w:r>
      <w:r>
        <w:rPr>
          <w:rFonts w:hint="eastAsia"/>
          <w:u w:val="single"/>
        </w:rPr>
        <w:t xml:space="preserve">  </w:t>
      </w:r>
      <w:r>
        <w:rPr>
          <w:rFonts w:hint="eastAsia"/>
        </w:rPr>
        <w:t>（￥</w:t>
      </w:r>
      <w:r>
        <w:rPr>
          <w:rFonts w:hint="eastAsia"/>
          <w:u w:val="single"/>
        </w:rPr>
        <w:t xml:space="preserve">  </w:t>
      </w:r>
      <w:r>
        <w:rPr>
          <w:u w:val="single"/>
        </w:rPr>
        <w:t xml:space="preserve">  </w:t>
      </w:r>
      <w:r>
        <w:rPr>
          <w:rFonts w:hint="eastAsia"/>
          <w:u w:val="single"/>
        </w:rPr>
        <w:t xml:space="preserve">   </w:t>
      </w:r>
      <w:r>
        <w:rPr>
          <w:rFonts w:hint="eastAsia"/>
        </w:rPr>
        <w:t>）</w:t>
      </w:r>
      <w:r>
        <w:t>的投标总报价，</w:t>
      </w:r>
      <w:r>
        <w:rPr>
          <w:rFonts w:hint="eastAsia"/>
        </w:rPr>
        <w:t>供货期</w:t>
      </w:r>
      <w:r>
        <w:rPr>
          <w:rFonts w:hint="eastAsia"/>
          <w:u w:val="single"/>
        </w:rPr>
        <w:t xml:space="preserve">    </w:t>
      </w:r>
      <w:r>
        <w:rPr>
          <w:rFonts w:hint="eastAsia"/>
        </w:rPr>
        <w:t>日历天，质量标准</w:t>
      </w:r>
      <w:r>
        <w:rPr>
          <w:rFonts w:hint="eastAsia"/>
          <w:u w:val="single"/>
        </w:rPr>
        <w:t xml:space="preserve">           </w:t>
      </w:r>
      <w:r>
        <w:rPr>
          <w:rFonts w:hint="eastAsia"/>
        </w:rPr>
        <w:t>。</w:t>
      </w:r>
      <w:r>
        <w:t>按招标文件规定的条件和要求，完成合同规定</w:t>
      </w:r>
      <w:r>
        <w:rPr>
          <w:rFonts w:hint="eastAsia"/>
        </w:rPr>
        <w:t>的</w:t>
      </w:r>
      <w:r>
        <w:t>全部工作</w:t>
      </w:r>
      <w:r>
        <w:rPr>
          <w:rFonts w:hint="eastAsia"/>
        </w:rPr>
        <w:t>内容</w:t>
      </w:r>
      <w:r>
        <w:t>，并承担相关的责任及风险。</w:t>
      </w:r>
    </w:p>
    <w:p>
      <w:pPr>
        <w:pStyle w:val="2"/>
      </w:pPr>
      <w:r>
        <w:rPr>
          <w:rFonts w:hint="eastAsia"/>
        </w:rPr>
        <w:t>2．我方承诺在投标有效期内不修改、撤销投标文件。</w:t>
      </w:r>
    </w:p>
    <w:p>
      <w:pPr>
        <w:pStyle w:val="2"/>
      </w:pPr>
      <w:r>
        <w:rPr>
          <w:rFonts w:hint="eastAsia"/>
        </w:rPr>
        <w:t>3．如我方中标：</w:t>
      </w:r>
    </w:p>
    <w:p>
      <w:pPr>
        <w:pStyle w:val="2"/>
      </w:pPr>
      <w:r>
        <w:rPr>
          <w:rFonts w:hint="eastAsia"/>
        </w:rPr>
        <w:t>（</w:t>
      </w:r>
      <w:r>
        <w:t>l）我方承诺在收到中标通知书后，在中标通知书规定的期限内与你方签订合同。</w:t>
      </w:r>
    </w:p>
    <w:p>
      <w:pPr>
        <w:pStyle w:val="2"/>
      </w:pPr>
      <w:r>
        <w:rPr>
          <w:rFonts w:hint="eastAsia"/>
        </w:rPr>
        <w:t>（</w:t>
      </w:r>
      <w:r>
        <w:t>2）我方承诺按照招标文件规定向你方递交履约担保</w:t>
      </w:r>
      <w:r>
        <w:rPr>
          <w:rFonts w:hint="eastAsia"/>
        </w:rPr>
        <w:t>（如有）</w:t>
      </w:r>
      <w:r>
        <w:t>。</w:t>
      </w:r>
    </w:p>
    <w:p>
      <w:pPr>
        <w:pStyle w:val="2"/>
      </w:pPr>
      <w:r>
        <w:rPr>
          <w:rFonts w:hint="eastAsia"/>
        </w:rPr>
        <w:t>（</w:t>
      </w:r>
      <w:r>
        <w:t>3）我方承诺在合同约定的期限内完成并移交全部合同工程。</w:t>
      </w:r>
    </w:p>
    <w:p>
      <w:pPr>
        <w:pStyle w:val="2"/>
      </w:pPr>
      <w:r>
        <w:rPr>
          <w:rFonts w:hint="eastAsia"/>
        </w:rPr>
        <w:t>（</w:t>
      </w:r>
      <w:r>
        <w:t>4）我方在此声明：我方未处于财产被接管、冻结、破产状态，未处于四川省行政区域内有关行</w:t>
      </w:r>
    </w:p>
    <w:p>
      <w:pPr>
        <w:pStyle w:val="2"/>
      </w:pPr>
      <w:r>
        <w:t>政处罚期间。</w:t>
      </w:r>
    </w:p>
    <w:p>
      <w:pPr>
        <w:pStyle w:val="2"/>
      </w:pPr>
      <w:r>
        <w:t>（5）我方在此承诺：我方拟派往本项目的项目班子成员均为我单位人员（如为联合体，则拟派人员均为联合体各成员单位人员）。</w:t>
      </w:r>
    </w:p>
    <w:p>
      <w:pPr>
        <w:pStyle w:val="2"/>
      </w:pPr>
      <w:r>
        <w:rPr>
          <w:rFonts w:hint="eastAsia"/>
        </w:rPr>
        <w:t>4</w:t>
      </w:r>
      <w:r>
        <w:t>.</w:t>
      </w:r>
      <w:r>
        <w:rPr>
          <w:rFonts w:hint="eastAsia"/>
          <w:u w:val="single"/>
        </w:rPr>
        <w:t xml:space="preserve">                      </w:t>
      </w:r>
      <w:r>
        <w:rPr>
          <w:rFonts w:hint="eastAsia"/>
        </w:rPr>
        <w:t>（其他补充说明）</w:t>
      </w:r>
      <w:r>
        <w:t>。</w:t>
      </w:r>
    </w:p>
    <w:p>
      <w:pPr>
        <w:pStyle w:val="2"/>
      </w:pP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 标 人</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pacing w:val="-3"/>
          <w:szCs w:val="22"/>
          <w:u w:val="single"/>
        </w:rPr>
        <w:t xml:space="preserve">                            </w:t>
      </w:r>
      <w:r>
        <w:rPr>
          <w:rFonts w:hint="eastAsia" w:asciiTheme="minorEastAsia" w:hAnsiTheme="minorEastAsia" w:eastAsiaTheme="minorEastAsia" w:cstheme="minorEastAsia"/>
          <w:szCs w:val="22"/>
        </w:rPr>
        <w:t>（盖</w:t>
      </w:r>
      <w:r>
        <w:rPr>
          <w:rFonts w:hint="eastAsia" w:asciiTheme="minorEastAsia" w:hAnsiTheme="minorEastAsia" w:eastAsiaTheme="minorEastAsia" w:cstheme="minorEastAsia"/>
          <w:spacing w:val="-3"/>
          <w:szCs w:val="22"/>
        </w:rPr>
        <w:t>单</w:t>
      </w:r>
      <w:r>
        <w:rPr>
          <w:rFonts w:hint="eastAsia" w:asciiTheme="minorEastAsia" w:hAnsiTheme="minorEastAsia" w:eastAsiaTheme="minorEastAsia" w:cstheme="minorEastAsia"/>
          <w:szCs w:val="22"/>
        </w:rPr>
        <w:t>位</w:t>
      </w:r>
      <w:r>
        <w:rPr>
          <w:rFonts w:hint="eastAsia" w:asciiTheme="minorEastAsia" w:hAnsiTheme="minorEastAsia" w:eastAsiaTheme="minorEastAsia" w:cstheme="minorEastAsia"/>
          <w:spacing w:val="-3"/>
          <w:szCs w:val="22"/>
        </w:rPr>
        <w:t>章</w:t>
      </w:r>
      <w:r>
        <w:rPr>
          <w:rFonts w:hint="eastAsia" w:asciiTheme="minorEastAsia" w:hAnsiTheme="minorEastAsia" w:eastAsiaTheme="minorEastAsia" w:cstheme="minorEastAsia"/>
          <w:szCs w:val="22"/>
        </w:rPr>
        <w:t>）</w:t>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法</w:t>
      </w:r>
      <w:r>
        <w:rPr>
          <w:rFonts w:hint="eastAsia" w:asciiTheme="minorEastAsia" w:hAnsiTheme="minorEastAsia" w:eastAsiaTheme="minorEastAsia" w:cstheme="minorEastAsia"/>
          <w:spacing w:val="-3"/>
          <w:szCs w:val="22"/>
        </w:rPr>
        <w:t>定</w:t>
      </w:r>
      <w:r>
        <w:rPr>
          <w:rFonts w:hint="eastAsia" w:asciiTheme="minorEastAsia" w:hAnsiTheme="minorEastAsia" w:eastAsiaTheme="minorEastAsia" w:cstheme="minorEastAsia"/>
          <w:szCs w:val="22"/>
        </w:rPr>
        <w:t>代</w:t>
      </w:r>
      <w:r>
        <w:rPr>
          <w:rFonts w:hint="eastAsia" w:asciiTheme="minorEastAsia" w:hAnsiTheme="minorEastAsia" w:eastAsiaTheme="minorEastAsia" w:cstheme="minorEastAsia"/>
          <w:spacing w:val="-3"/>
          <w:szCs w:val="22"/>
        </w:rPr>
        <w:t>表</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pacing w:val="-3"/>
          <w:szCs w:val="22"/>
        </w:rPr>
        <w:t>或</w:t>
      </w:r>
      <w:r>
        <w:rPr>
          <w:rFonts w:hint="eastAsia" w:asciiTheme="minorEastAsia" w:hAnsiTheme="minorEastAsia" w:eastAsiaTheme="minorEastAsia" w:cstheme="minorEastAsia"/>
          <w:szCs w:val="22"/>
        </w:rPr>
        <w:t>其</w:t>
      </w:r>
      <w:r>
        <w:rPr>
          <w:rFonts w:hint="eastAsia" w:asciiTheme="minorEastAsia" w:hAnsiTheme="minorEastAsia" w:eastAsiaTheme="minorEastAsia" w:cstheme="minorEastAsia"/>
          <w:spacing w:val="-3"/>
          <w:szCs w:val="22"/>
        </w:rPr>
        <w:t>委</w:t>
      </w:r>
      <w:r>
        <w:rPr>
          <w:rFonts w:hint="eastAsia" w:asciiTheme="minorEastAsia" w:hAnsiTheme="minorEastAsia" w:eastAsiaTheme="minorEastAsia" w:cstheme="minorEastAsia"/>
          <w:szCs w:val="22"/>
        </w:rPr>
        <w:t>托</w:t>
      </w:r>
      <w:r>
        <w:rPr>
          <w:rFonts w:hint="eastAsia" w:asciiTheme="minorEastAsia" w:hAnsiTheme="minorEastAsia" w:eastAsiaTheme="minorEastAsia" w:cstheme="minorEastAsia"/>
          <w:spacing w:val="-3"/>
          <w:szCs w:val="22"/>
        </w:rPr>
        <w:t>代理</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（签</w:t>
      </w:r>
      <w:r>
        <w:rPr>
          <w:rFonts w:hint="eastAsia" w:asciiTheme="minorEastAsia" w:hAnsiTheme="minorEastAsia" w:eastAsiaTheme="minorEastAsia" w:cstheme="minorEastAsia"/>
          <w:spacing w:val="-3"/>
          <w:szCs w:val="22"/>
        </w:rPr>
        <w:t>字</w:t>
      </w:r>
      <w:r>
        <w:rPr>
          <w:rFonts w:hint="eastAsia" w:asciiTheme="minorEastAsia" w:hAnsiTheme="minorEastAsia" w:eastAsiaTheme="minorEastAsia" w:cstheme="minorEastAsia"/>
          <w:szCs w:val="22"/>
        </w:rPr>
        <w:t>）</w:t>
      </w:r>
    </w:p>
    <w:p>
      <w:pPr>
        <w:ind w:firstLine="4609" w:firstLineChars="2095"/>
        <w:jc w:val="both"/>
        <w:rPr>
          <w:rFonts w:asciiTheme="minorEastAsia" w:hAnsiTheme="minorEastAsia" w:eastAsiaTheme="minorEastAsia" w:cstheme="minorEastAsia"/>
          <w:szCs w:val="22"/>
          <w:u w:val="single"/>
        </w:rPr>
      </w:pPr>
      <w:r>
        <w:rPr>
          <w:rFonts w:hint="eastAsia" w:asciiTheme="minorEastAsia" w:hAnsiTheme="minorEastAsia" w:eastAsiaTheme="minorEastAsia" w:cstheme="minorEastAsia"/>
          <w:szCs w:val="22"/>
        </w:rPr>
        <w:t>地址</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u w:val="single"/>
        </w:rPr>
        <w:t xml:space="preserve">                                         </w:t>
      </w:r>
    </w:p>
    <w:p>
      <w:pPr>
        <w:ind w:firstLine="4609" w:firstLineChars="2095"/>
        <w:jc w:val="both"/>
      </w:pPr>
      <w:r>
        <w:rPr>
          <w:rFonts w:hint="eastAsia" w:asciiTheme="minorEastAsia" w:hAnsiTheme="minorEastAsia" w:eastAsiaTheme="minorEastAsia" w:cstheme="minorEastAsia"/>
          <w:szCs w:val="22"/>
        </w:rPr>
        <w:t>电话</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u w:val="single"/>
        </w:rPr>
        <w:t xml:space="preserve">                                         </w:t>
      </w:r>
    </w:p>
    <w:p>
      <w:pPr>
        <w:ind w:firstLine="4609" w:firstLineChars="2095"/>
        <w:jc w:val="both"/>
        <w:rPr>
          <w:rFonts w:asciiTheme="minorEastAsia" w:hAnsiTheme="minorEastAsia" w:eastAsiaTheme="minorEastAsia" w:cstheme="minorEastAsia"/>
          <w:szCs w:val="22"/>
        </w:rPr>
      </w:pPr>
      <w:bookmarkStart w:id="50" w:name="_Toc22091_WPSOffice_Level2"/>
      <w:bookmarkStart w:id="51" w:name="_Hlk45804553"/>
      <w:r>
        <w:rPr>
          <w:rFonts w:hint="eastAsia" w:asciiTheme="minorEastAsia" w:hAnsiTheme="minorEastAsia" w:eastAsiaTheme="minorEastAsia" w:cstheme="minorEastAsia"/>
          <w:szCs w:val="22"/>
        </w:rPr>
        <w:t>邮政编码：</w:t>
      </w:r>
      <w:bookmarkEnd w:id="50"/>
      <w:r>
        <w:rPr>
          <w:rFonts w:hint="eastAsia" w:asciiTheme="minorEastAsia" w:hAnsiTheme="minorEastAsia" w:eastAsiaTheme="minorEastAsia" w:cstheme="minorEastAsia"/>
          <w:szCs w:val="22"/>
          <w:u w:val="single"/>
        </w:rPr>
        <w:t xml:space="preserve">                                     </w:t>
      </w:r>
    </w:p>
    <w:bookmarkEnd w:id="51"/>
    <w:p>
      <w:pPr>
        <w:pStyle w:val="2"/>
        <w:ind w:left="0"/>
        <w:jc w:val="right"/>
      </w:pPr>
      <w:r>
        <w:rPr>
          <w:u w:val="single"/>
        </w:rPr>
        <w:t xml:space="preserve"> </w:t>
      </w:r>
      <w:r>
        <w:rPr>
          <w:rFonts w:hint="eastAsia"/>
          <w:u w:val="single"/>
        </w:rPr>
        <w:t xml:space="preserve">             </w:t>
      </w:r>
      <w:r>
        <w:rPr>
          <w:u w:val="single"/>
        </w:rPr>
        <w:tab/>
      </w:r>
      <w:r>
        <w:t>年</w:t>
      </w:r>
      <w:r>
        <w:rPr>
          <w:rFonts w:hint="eastAsia"/>
          <w:u w:val="single"/>
        </w:rPr>
        <w:t xml:space="preserve">        </w:t>
      </w:r>
      <w:r>
        <w:rPr>
          <w:u w:val="single"/>
        </w:rPr>
        <w:tab/>
      </w:r>
      <w:r>
        <w:t>月</w:t>
      </w:r>
      <w:r>
        <w:rPr>
          <w:rFonts w:hint="eastAsia"/>
          <w:u w:val="single"/>
        </w:rPr>
        <w:t xml:space="preserve">         </w:t>
      </w:r>
      <w:r>
        <w:rPr>
          <w:rFonts w:hint="eastAsia"/>
        </w:rPr>
        <w:t xml:space="preserve"> </w:t>
      </w:r>
      <w:r>
        <w:t>日</w:t>
      </w:r>
    </w:p>
    <w:p>
      <w:pPr>
        <w:pStyle w:val="2"/>
        <w:rPr>
          <w:rFonts w:asciiTheme="minorEastAsia" w:hAnsiTheme="minorEastAsia" w:eastAsiaTheme="minorEastAsia" w:cstheme="minorEastAsia"/>
          <w:szCs w:val="22"/>
        </w:rPr>
      </w:pPr>
    </w:p>
    <w:p>
      <w:pPr>
        <w:pStyle w:val="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注：投标报价的单位应与公布的招标控制价一致（即以___为单位），小数点后保留__位数。</w:t>
      </w:r>
    </w:p>
    <w:p>
      <w:pPr>
        <w:widowControl/>
        <w:spacing w:line="240" w:lineRule="auto"/>
        <w:rPr>
          <w:rFonts w:asciiTheme="minorEastAsia" w:hAnsiTheme="minorEastAsia" w:eastAsiaTheme="minorEastAsia" w:cstheme="minorEastAsia"/>
          <w:szCs w:val="22"/>
        </w:rPr>
      </w:pPr>
      <w:r>
        <w:rPr>
          <w:rFonts w:asciiTheme="minorEastAsia" w:hAnsiTheme="minorEastAsia" w:eastAsiaTheme="minorEastAsia" w:cstheme="minorEastAsia"/>
          <w:szCs w:val="22"/>
        </w:rPr>
        <w:br w:type="page"/>
      </w:r>
    </w:p>
    <w:p>
      <w:pPr>
        <w:rPr>
          <w:rFonts w:asciiTheme="minorEastAsia" w:hAnsiTheme="minorEastAsia" w:eastAsiaTheme="minorEastAsia" w:cstheme="minorEastAsia"/>
          <w:szCs w:val="22"/>
        </w:rPr>
      </w:pPr>
    </w:p>
    <w:p>
      <w:pPr>
        <w:pStyle w:val="6"/>
        <w:numPr>
          <w:ilvl w:val="0"/>
          <w:numId w:val="10"/>
        </w:numPr>
        <w:jc w:val="center"/>
        <w:rPr>
          <w:b/>
          <w:bCs/>
        </w:rPr>
      </w:pPr>
      <w:r>
        <w:rPr>
          <w:rFonts w:hint="eastAsia"/>
          <w:b/>
          <w:bCs/>
        </w:rPr>
        <w:t>投标文件真实性和不存在限制投标情形的声明</w:t>
      </w:r>
    </w:p>
    <w:p>
      <w:pPr>
        <w:ind w:firstLine="424" w:firstLineChars="200"/>
        <w:jc w:val="both"/>
        <w:rPr>
          <w:rFonts w:ascii="宋体" w:hAnsi="宋体" w:cs="宋体"/>
          <w:spacing w:val="-4"/>
          <w:kern w:val="0"/>
          <w:szCs w:val="22"/>
        </w:rPr>
      </w:pPr>
    </w:p>
    <w:p>
      <w:pPr>
        <w:ind w:firstLine="424" w:firstLineChars="200"/>
        <w:jc w:val="both"/>
        <w:rPr>
          <w:rFonts w:ascii="宋体" w:hAnsi="宋体" w:cs="宋体"/>
          <w:spacing w:val="-4"/>
          <w:kern w:val="0"/>
          <w:szCs w:val="22"/>
        </w:rPr>
      </w:pPr>
      <w:r>
        <w:rPr>
          <w:rFonts w:hint="eastAsia" w:ascii="宋体" w:hAnsi="宋体" w:cs="宋体"/>
          <w:spacing w:val="-4"/>
          <w:kern w:val="0"/>
          <w:szCs w:val="22"/>
        </w:rPr>
        <w:t>_______（招标人名称）：</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我方在此声明，所递交的投标文件（包括有关资料、澄清）真实可信，不存在虚假（包括隐瞒）。</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经我方认真核查，本投标人不存在第二章“投标人须知”第1.4.3项规定的任何一种情形。</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我方承诺，如存在以上两种行为，我方自愿按第二章“投标人须知前附表”第10.8投标文件的真实性要求和其他有关规定承担责任。</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单位名称：_______（盖单位章）</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法定代表人或其委托代理人：_______（签字）</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_______年_______月_______日</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w:t>
      </w:r>
    </w:p>
    <w:p>
      <w:pPr>
        <w:ind w:firstLine="424" w:firstLineChars="200"/>
        <w:jc w:val="both"/>
        <w:rPr>
          <w:rFonts w:ascii="宋体" w:hAnsi="宋体" w:cs="宋体"/>
          <w:spacing w:val="-4"/>
          <w:kern w:val="0"/>
          <w:szCs w:val="22"/>
        </w:rPr>
      </w:pP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注：若为联合体投标，需提供所有联合体各方的投标文件真实性和不存在限制投标情形的声明。</w:t>
      </w:r>
    </w:p>
    <w:p>
      <w:r>
        <w:rPr>
          <w:rFonts w:hint="eastAsia"/>
          <w:bCs/>
        </w:rPr>
        <w:br w:type="page"/>
      </w:r>
    </w:p>
    <w:p>
      <w:pPr>
        <w:pStyle w:val="5"/>
        <w:numPr>
          <w:ilvl w:val="0"/>
          <w:numId w:val="12"/>
        </w:numPr>
        <w:jc w:val="center"/>
      </w:pPr>
      <w:r>
        <w:rPr>
          <w:rFonts w:hint="eastAsia"/>
        </w:rPr>
        <w:t>法定代表人身份证明</w:t>
      </w:r>
    </w:p>
    <w:p>
      <w:pPr>
        <w:rPr>
          <w:rFonts w:asciiTheme="minorEastAsia" w:hAnsiTheme="minorEastAsia" w:eastAsiaTheme="minorEastAsia" w:cstheme="minorEastAsia"/>
          <w:szCs w:val="22"/>
        </w:rPr>
      </w:pPr>
    </w:p>
    <w:p>
      <w:pPr>
        <w:pStyle w:val="2"/>
        <w:rPr>
          <w:u w:val="single"/>
        </w:rPr>
      </w:pPr>
      <w:r>
        <w:rPr>
          <w:rFonts w:hint="eastAsia"/>
        </w:rPr>
        <w:t>投标人名称：</w:t>
      </w:r>
      <w:r>
        <w:rPr>
          <w:rFonts w:hint="eastAsia"/>
          <w:u w:val="single"/>
        </w:rPr>
        <w:t xml:space="preserve">               </w:t>
      </w:r>
      <w:r>
        <w:rPr>
          <w:rFonts w:hint="eastAsia"/>
          <w:u w:val="single"/>
        </w:rPr>
        <w:tab/>
      </w:r>
    </w:p>
    <w:p>
      <w:pPr>
        <w:pStyle w:val="2"/>
        <w:rPr>
          <w:u w:val="single"/>
        </w:rPr>
      </w:pPr>
    </w:p>
    <w:p>
      <w:pPr>
        <w:pStyle w:val="2"/>
        <w:rPr>
          <w:u w:val="single"/>
        </w:rPr>
      </w:pPr>
      <w:r>
        <w:rPr>
          <w:rFonts w:hint="eastAsia"/>
        </w:rPr>
        <w:t>姓名：</w:t>
      </w:r>
      <w:r>
        <w:rPr>
          <w:rFonts w:hint="eastAsia"/>
          <w:u w:val="single"/>
        </w:rPr>
        <w:t xml:space="preserve">     </w:t>
      </w:r>
      <w:r>
        <w:rPr>
          <w:rFonts w:hint="eastAsia"/>
          <w:u w:val="single"/>
        </w:rPr>
        <w:tab/>
      </w:r>
      <w:r>
        <w:rPr>
          <w:rFonts w:hint="eastAsia"/>
          <w:u w:val="single"/>
        </w:rPr>
        <w:t xml:space="preserve">    </w:t>
      </w:r>
      <w:r>
        <w:rPr>
          <w:rFonts w:hint="eastAsia"/>
        </w:rPr>
        <w:t xml:space="preserve">    性别：</w:t>
      </w:r>
      <w:r>
        <w:rPr>
          <w:rFonts w:hint="eastAsia"/>
          <w:u w:val="single"/>
        </w:rPr>
        <w:tab/>
      </w:r>
      <w:r>
        <w:rPr>
          <w:rFonts w:hint="eastAsia"/>
          <w:u w:val="single"/>
        </w:rPr>
        <w:t xml:space="preserve">        </w:t>
      </w:r>
      <w:r>
        <w:rPr>
          <w:rFonts w:hint="eastAsia"/>
        </w:rPr>
        <w:t xml:space="preserve">    年龄：</w:t>
      </w:r>
      <w:r>
        <w:rPr>
          <w:rFonts w:hint="eastAsia"/>
          <w:u w:val="single"/>
        </w:rPr>
        <w:t xml:space="preserve">          </w:t>
      </w:r>
      <w:r>
        <w:rPr>
          <w:rFonts w:hint="eastAsia"/>
        </w:rPr>
        <w:t xml:space="preserve">  </w:t>
      </w:r>
      <w:r>
        <w:rPr>
          <w:rFonts w:hint="eastAsia"/>
        </w:rPr>
        <w:tab/>
      </w:r>
      <w:r>
        <w:rPr>
          <w:rFonts w:hint="eastAsia"/>
        </w:rPr>
        <w:t>职务：</w:t>
      </w:r>
      <w:r>
        <w:rPr>
          <w:rFonts w:hint="eastAsia"/>
          <w:u w:val="single"/>
        </w:rPr>
        <w:t xml:space="preserve">       </w:t>
      </w:r>
      <w:r>
        <w:rPr>
          <w:rFonts w:hint="eastAsia"/>
          <w:u w:val="single"/>
        </w:rPr>
        <w:tab/>
      </w:r>
    </w:p>
    <w:p>
      <w:pPr>
        <w:pStyle w:val="2"/>
      </w:pPr>
    </w:p>
    <w:p>
      <w:pPr>
        <w:pStyle w:val="2"/>
      </w:pPr>
      <w:r>
        <w:rPr>
          <w:rFonts w:hint="eastAsia"/>
        </w:rPr>
        <w:t>系</w:t>
      </w:r>
      <w:r>
        <w:rPr>
          <w:rFonts w:hint="eastAsia"/>
        </w:rPr>
        <w:tab/>
      </w:r>
      <w:r>
        <w:rPr>
          <w:rFonts w:hint="eastAsia"/>
          <w:u w:val="single"/>
        </w:rPr>
        <w:t xml:space="preserve">                               </w:t>
      </w:r>
      <w:r>
        <w:rPr>
          <w:rFonts w:hint="eastAsia"/>
        </w:rPr>
        <w:t xml:space="preserve"> （投标人名称）的法定代表人。</w:t>
      </w:r>
    </w:p>
    <w:p>
      <w:pPr>
        <w:pStyle w:val="2"/>
      </w:pPr>
    </w:p>
    <w:p>
      <w:pPr>
        <w:pStyle w:val="2"/>
        <w:ind w:firstLine="440" w:firstLineChars="200"/>
      </w:pPr>
      <w:r>
        <w:rPr>
          <w:rFonts w:hint="eastAsia"/>
        </w:rPr>
        <w:t>特此证明。</w:t>
      </w:r>
    </w:p>
    <w:p>
      <w:pPr>
        <w:pStyle w:val="2"/>
      </w:pPr>
    </w:p>
    <w:p>
      <w:pPr>
        <w:pStyle w:val="2"/>
      </w:pPr>
      <w:r>
        <w:rPr>
          <w:rFonts w:hint="eastAsia"/>
        </w:rPr>
        <w:t>附：法定代表人身份证扫描件。</w:t>
      </w:r>
    </w:p>
    <w:p>
      <w:pPr>
        <w:pStyle w:val="2"/>
      </w:pPr>
    </w:p>
    <w:p>
      <w:pPr>
        <w:pStyle w:val="2"/>
      </w:pPr>
    </w:p>
    <w:p>
      <w:pPr>
        <w:pStyle w:val="2"/>
      </w:pPr>
    </w:p>
    <w:p>
      <w:pPr>
        <w:pStyle w:val="2"/>
      </w:pPr>
    </w:p>
    <w:p>
      <w:pPr>
        <w:pStyle w:val="2"/>
      </w:pPr>
    </w:p>
    <w:p>
      <w:pPr>
        <w:pStyle w:val="2"/>
      </w:pPr>
    </w:p>
    <w:p>
      <w:pPr>
        <w:pStyle w:val="2"/>
        <w:jc w:val="right"/>
      </w:pPr>
      <w:r>
        <w:rPr>
          <w:rFonts w:hint="eastAsia"/>
        </w:rPr>
        <w:t>投标人：</w:t>
      </w:r>
      <w:r>
        <w:rPr>
          <w:rFonts w:hint="eastAsia"/>
          <w:u w:val="single"/>
        </w:rPr>
        <w:t xml:space="preserve">           </w:t>
      </w:r>
      <w:r>
        <w:rPr>
          <w:rFonts w:hint="eastAsia"/>
          <w:u w:val="single"/>
        </w:rPr>
        <w:tab/>
      </w:r>
      <w:r>
        <w:rPr>
          <w:rFonts w:hint="eastAsia"/>
        </w:rPr>
        <w:t>（盖单位章）</w:t>
      </w:r>
    </w:p>
    <w:p>
      <w:pPr>
        <w:pStyle w:val="2"/>
        <w:jc w:val="right"/>
      </w:pPr>
    </w:p>
    <w:p>
      <w:pPr>
        <w:pStyle w:val="2"/>
        <w:jc w:val="right"/>
      </w:pPr>
      <w:r>
        <w:rPr>
          <w:rFonts w:hint="eastAsia"/>
          <w:u w:val="single"/>
        </w:rPr>
        <w:t xml:space="preserve">    </w:t>
      </w:r>
      <w:r>
        <w:rPr>
          <w:rFonts w:hint="eastAsia"/>
          <w:u w:val="single"/>
        </w:rPr>
        <w:tab/>
      </w:r>
      <w:r>
        <w:rPr>
          <w:rFonts w:hint="eastAsia"/>
        </w:rPr>
        <w:t>年</w:t>
      </w:r>
      <w:r>
        <w:rPr>
          <w:rFonts w:hint="eastAsia"/>
          <w:u w:val="single"/>
        </w:rPr>
        <w:t xml:space="preserve">         </w:t>
      </w:r>
      <w:r>
        <w:rPr>
          <w:rFonts w:hint="eastAsia"/>
          <w:u w:val="single"/>
        </w:rPr>
        <w:tab/>
      </w:r>
      <w:r>
        <w:rPr>
          <w:rFonts w:hint="eastAsia"/>
        </w:rPr>
        <w:t>月</w:t>
      </w:r>
      <w:r>
        <w:rPr>
          <w:rFonts w:hint="eastAsia"/>
          <w:u w:val="single"/>
        </w:rPr>
        <w:t xml:space="preserve">      </w:t>
      </w:r>
      <w:r>
        <w:rPr>
          <w:rFonts w:hint="eastAsia"/>
          <w:u w:val="single"/>
        </w:rPr>
        <w:tab/>
      </w:r>
      <w:r>
        <w:rPr>
          <w:rFonts w:hint="eastAsia"/>
        </w:rPr>
        <w:t>日</w:t>
      </w:r>
    </w:p>
    <w:p>
      <w:pPr>
        <w:pStyle w:val="2"/>
      </w:pPr>
    </w:p>
    <w:p>
      <w:pPr>
        <w:pStyle w:val="2"/>
      </w:pPr>
    </w:p>
    <w:p>
      <w:pPr>
        <w:pStyle w:val="2"/>
      </w:pPr>
    </w:p>
    <w:p>
      <w:pPr>
        <w:pStyle w:val="2"/>
      </w:pPr>
    </w:p>
    <w:p>
      <w:pPr>
        <w:pStyle w:val="2"/>
      </w:pPr>
      <w:r>
        <w:rPr>
          <w:rFonts w:hint="eastAsia"/>
        </w:rPr>
        <w:t>注：（1）法定代表人亲自投标而不委托代理人投标适用；（2）若为联合体投标，需提供所有联合体各方的法定代表人身份证明书。</w:t>
      </w:r>
      <w:r>
        <w:rPr>
          <w:rFonts w:hint="eastAsia"/>
        </w:rPr>
        <w:br w:type="page"/>
      </w:r>
    </w:p>
    <w:p>
      <w:pPr>
        <w:pStyle w:val="5"/>
        <w:numPr>
          <w:ilvl w:val="0"/>
          <w:numId w:val="12"/>
        </w:numPr>
        <w:jc w:val="center"/>
      </w:pPr>
      <w:r>
        <w:rPr>
          <w:rFonts w:hint="eastAsia"/>
        </w:rPr>
        <w:t>授权委托书</w:t>
      </w:r>
    </w:p>
    <w:p>
      <w:pPr>
        <w:ind w:firstLine="440" w:firstLineChars="200"/>
        <w:jc w:val="both"/>
        <w:rPr>
          <w:rFonts w:asciiTheme="minorEastAsia" w:hAnsiTheme="minorEastAsia" w:eastAsiaTheme="minorEastAsia" w:cstheme="minorEastAsia"/>
          <w:kern w:val="0"/>
          <w:szCs w:val="22"/>
        </w:rPr>
      </w:pP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本人_______（姓名）系__________________________________（投标 人名称）的法定代表人，现委托本单位人员_______（姓名）为我方代理人。代理人根据授权，以我方名义签署、澄清、说明、补正、递交、撤回、修改_____________________（项目名称）采购投标文件、签订合同和处理有关事宜</w:t>
      </w:r>
      <w:bookmarkStart w:id="52" w:name="_Hlk45804906"/>
      <w:r>
        <w:rPr>
          <w:rFonts w:hint="eastAsia" w:asciiTheme="minorEastAsia" w:hAnsiTheme="minorEastAsia" w:eastAsiaTheme="minorEastAsia" w:cstheme="minorEastAsia"/>
          <w:kern w:val="0"/>
          <w:szCs w:val="22"/>
        </w:rPr>
        <w:t>（向有关行政监督部门投诉另行授权）</w:t>
      </w:r>
      <w:bookmarkEnd w:id="52"/>
      <w:r>
        <w:rPr>
          <w:rFonts w:hint="eastAsia" w:asciiTheme="minorEastAsia" w:hAnsiTheme="minorEastAsia" w:eastAsiaTheme="minorEastAsia" w:cstheme="minorEastAsia"/>
          <w:kern w:val="0"/>
          <w:szCs w:val="22"/>
        </w:rPr>
        <w:t>，其法律后果由我方承担。</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委托期限：自本授权委托书签署之日起至第二章“投标人须知”前附表3.3.1规定的“投标有效期”结束为止。</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代理人无转委托权。</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附：（1）法定代表人身份证明</w:t>
      </w:r>
    </w:p>
    <w:p>
      <w:pPr>
        <w:ind w:firstLine="880" w:firstLineChars="4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（2）委托代理人身份证扫描件（或复印件）、</w:t>
      </w:r>
      <w:r>
        <w:rPr>
          <w:rFonts w:hint="eastAsia" w:ascii="宋体" w:hAnsi="宋体"/>
          <w:sz w:val="21"/>
          <w:szCs w:val="21"/>
        </w:rPr>
        <w:t>□</w:t>
      </w:r>
      <w:r>
        <w:rPr>
          <w:rFonts w:hint="eastAsia" w:asciiTheme="minorEastAsia" w:hAnsiTheme="minorEastAsia" w:eastAsiaTheme="minorEastAsia" w:cstheme="minorEastAsia"/>
          <w:kern w:val="0"/>
          <w:szCs w:val="22"/>
        </w:rPr>
        <w:t>投标人为其缴纳的养老保险（提供最近6个月连续缴费证明）扫描件（或复印件）</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 xml:space="preserve">  </w:t>
      </w:r>
    </w:p>
    <w:p>
      <w:pPr>
        <w:ind w:firstLine="4510" w:firstLineChars="20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投</w:t>
      </w:r>
      <w:r>
        <w:rPr>
          <w:rFonts w:hint="eastAsia" w:asciiTheme="minorEastAsia" w:hAnsiTheme="minorEastAsia" w:eastAsiaTheme="minorEastAsia" w:cstheme="minorEastAsia"/>
          <w:kern w:val="0"/>
          <w:szCs w:val="22"/>
        </w:rPr>
        <w:tab/>
      </w:r>
      <w:r>
        <w:rPr>
          <w:rFonts w:hint="eastAsia" w:asciiTheme="minorEastAsia" w:hAnsiTheme="minorEastAsia" w:eastAsiaTheme="minorEastAsia" w:cstheme="minorEastAsia"/>
          <w:kern w:val="0"/>
          <w:szCs w:val="22"/>
        </w:rPr>
        <w:t>标</w:t>
      </w:r>
      <w:r>
        <w:rPr>
          <w:rFonts w:hint="eastAsia" w:asciiTheme="minorEastAsia" w:hAnsiTheme="minorEastAsia" w:eastAsiaTheme="minorEastAsia" w:cstheme="minorEastAsia"/>
          <w:kern w:val="0"/>
          <w:szCs w:val="22"/>
        </w:rPr>
        <w:tab/>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（盖</w:t>
      </w:r>
      <w:r>
        <w:rPr>
          <w:rFonts w:hint="eastAsia" w:asciiTheme="minorEastAsia" w:hAnsiTheme="minorEastAsia" w:eastAsiaTheme="minorEastAsia" w:cstheme="minorEastAsia"/>
          <w:spacing w:val="-3"/>
          <w:kern w:val="0"/>
          <w:szCs w:val="22"/>
        </w:rPr>
        <w:t>单</w:t>
      </w:r>
      <w:r>
        <w:rPr>
          <w:rFonts w:hint="eastAsia" w:asciiTheme="minorEastAsia" w:hAnsiTheme="minorEastAsia" w:eastAsiaTheme="minorEastAsia" w:cstheme="minorEastAsia"/>
          <w:kern w:val="0"/>
          <w:szCs w:val="22"/>
        </w:rPr>
        <w:t>位</w:t>
      </w:r>
      <w:r>
        <w:rPr>
          <w:rFonts w:hint="eastAsia" w:asciiTheme="minorEastAsia" w:hAnsiTheme="minorEastAsia" w:eastAsiaTheme="minorEastAsia" w:cstheme="minorEastAsia"/>
          <w:spacing w:val="-3"/>
          <w:kern w:val="0"/>
          <w:szCs w:val="22"/>
        </w:rPr>
        <w:t>章</w:t>
      </w:r>
      <w:r>
        <w:rPr>
          <w:rFonts w:hint="eastAsia" w:asciiTheme="minorEastAsia" w:hAnsiTheme="minorEastAsia" w:eastAsiaTheme="minorEastAsia" w:cstheme="minorEastAsia"/>
          <w:kern w:val="0"/>
          <w:szCs w:val="22"/>
        </w:rPr>
        <w:t>）</w:t>
      </w:r>
    </w:p>
    <w:p>
      <w:pPr>
        <w:ind w:firstLine="4510" w:firstLineChars="20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法定</w:t>
      </w:r>
      <w:r>
        <w:rPr>
          <w:rFonts w:hint="eastAsia" w:asciiTheme="minorEastAsia" w:hAnsiTheme="minorEastAsia" w:eastAsiaTheme="minorEastAsia" w:cstheme="minorEastAsia"/>
          <w:spacing w:val="-3"/>
          <w:kern w:val="0"/>
          <w:szCs w:val="22"/>
        </w:rPr>
        <w:t>代</w:t>
      </w:r>
      <w:r>
        <w:rPr>
          <w:rFonts w:hint="eastAsia" w:asciiTheme="minorEastAsia" w:hAnsiTheme="minorEastAsia" w:eastAsiaTheme="minorEastAsia" w:cstheme="minorEastAsia"/>
          <w:kern w:val="0"/>
          <w:szCs w:val="22"/>
        </w:rPr>
        <w:t>表</w:t>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（签</w:t>
      </w:r>
      <w:r>
        <w:rPr>
          <w:rFonts w:hint="eastAsia" w:asciiTheme="minorEastAsia" w:hAnsiTheme="minorEastAsia" w:eastAsiaTheme="minorEastAsia" w:cstheme="minorEastAsia"/>
          <w:spacing w:val="-3"/>
          <w:kern w:val="0"/>
          <w:szCs w:val="22"/>
        </w:rPr>
        <w:t>字</w:t>
      </w:r>
      <w:r>
        <w:rPr>
          <w:rFonts w:hint="eastAsia" w:asciiTheme="minorEastAsia" w:hAnsiTheme="minorEastAsia" w:eastAsiaTheme="minorEastAsia" w:cstheme="minorEastAsia"/>
          <w:kern w:val="0"/>
          <w:szCs w:val="22"/>
        </w:rPr>
        <w:t>）</w:t>
      </w:r>
    </w:p>
    <w:p>
      <w:pPr>
        <w:ind w:firstLine="4510" w:firstLineChars="20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身份</w:t>
      </w:r>
      <w:r>
        <w:rPr>
          <w:rFonts w:hint="eastAsia" w:asciiTheme="minorEastAsia" w:hAnsiTheme="minorEastAsia" w:eastAsiaTheme="minorEastAsia" w:cstheme="minorEastAsia"/>
          <w:spacing w:val="-3"/>
          <w:kern w:val="0"/>
          <w:szCs w:val="22"/>
        </w:rPr>
        <w:t>证</w:t>
      </w:r>
      <w:r>
        <w:rPr>
          <w:rFonts w:hint="eastAsia" w:asciiTheme="minorEastAsia" w:hAnsiTheme="minorEastAsia" w:eastAsiaTheme="minorEastAsia" w:cstheme="minorEastAsia"/>
          <w:kern w:val="0"/>
          <w:szCs w:val="22"/>
        </w:rPr>
        <w:t>号</w:t>
      </w:r>
      <w:r>
        <w:rPr>
          <w:rFonts w:hint="eastAsia" w:asciiTheme="minorEastAsia" w:hAnsiTheme="minorEastAsia" w:eastAsiaTheme="minorEastAsia" w:cstheme="minorEastAsia"/>
          <w:spacing w:val="-3"/>
          <w:kern w:val="0"/>
          <w:szCs w:val="22"/>
        </w:rPr>
        <w:t>码：</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p>
    <w:p>
      <w:pPr>
        <w:ind w:firstLine="4510" w:firstLineChars="20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委托</w:t>
      </w:r>
      <w:r>
        <w:rPr>
          <w:rFonts w:hint="eastAsia" w:asciiTheme="minorEastAsia" w:hAnsiTheme="minorEastAsia" w:eastAsiaTheme="minorEastAsia" w:cstheme="minorEastAsia"/>
          <w:spacing w:val="-3"/>
          <w:kern w:val="0"/>
          <w:szCs w:val="22"/>
        </w:rPr>
        <w:t>代</w:t>
      </w:r>
      <w:r>
        <w:rPr>
          <w:rFonts w:hint="eastAsia" w:asciiTheme="minorEastAsia" w:hAnsiTheme="minorEastAsia" w:eastAsiaTheme="minorEastAsia" w:cstheme="minorEastAsia"/>
          <w:kern w:val="0"/>
          <w:szCs w:val="22"/>
        </w:rPr>
        <w:t>理</w:t>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（签</w:t>
      </w:r>
      <w:r>
        <w:rPr>
          <w:rFonts w:hint="eastAsia" w:asciiTheme="minorEastAsia" w:hAnsiTheme="minorEastAsia" w:eastAsiaTheme="minorEastAsia" w:cstheme="minorEastAsia"/>
          <w:spacing w:val="-3"/>
          <w:kern w:val="0"/>
          <w:szCs w:val="22"/>
        </w:rPr>
        <w:t>字</w:t>
      </w:r>
      <w:r>
        <w:rPr>
          <w:rFonts w:hint="eastAsia" w:asciiTheme="minorEastAsia" w:hAnsiTheme="minorEastAsia" w:eastAsiaTheme="minorEastAsia" w:cstheme="minorEastAsia"/>
          <w:kern w:val="0"/>
          <w:szCs w:val="22"/>
        </w:rPr>
        <w:t>）</w:t>
      </w:r>
    </w:p>
    <w:p>
      <w:pPr>
        <w:ind w:firstLine="4510" w:firstLineChars="20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身份</w:t>
      </w:r>
      <w:r>
        <w:rPr>
          <w:rFonts w:hint="eastAsia" w:asciiTheme="minorEastAsia" w:hAnsiTheme="minorEastAsia" w:eastAsiaTheme="minorEastAsia" w:cstheme="minorEastAsia"/>
          <w:spacing w:val="-3"/>
          <w:kern w:val="0"/>
          <w:szCs w:val="22"/>
        </w:rPr>
        <w:t>证</w:t>
      </w:r>
      <w:r>
        <w:rPr>
          <w:rFonts w:hint="eastAsia" w:asciiTheme="minorEastAsia" w:hAnsiTheme="minorEastAsia" w:eastAsiaTheme="minorEastAsia" w:cstheme="minorEastAsia"/>
          <w:kern w:val="0"/>
          <w:szCs w:val="22"/>
        </w:rPr>
        <w:t>号</w:t>
      </w:r>
      <w:r>
        <w:rPr>
          <w:rFonts w:hint="eastAsia" w:asciiTheme="minorEastAsia" w:hAnsiTheme="minorEastAsia" w:eastAsiaTheme="minorEastAsia" w:cstheme="minorEastAsia"/>
          <w:spacing w:val="-3"/>
          <w:kern w:val="0"/>
          <w:szCs w:val="22"/>
        </w:rPr>
        <w:t>码：</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p>
    <w:p>
      <w:pPr>
        <w:ind w:firstLine="4400" w:firstLineChars="2000"/>
        <w:jc w:val="both"/>
        <w:rPr>
          <w:rFonts w:asciiTheme="minorEastAsia" w:hAnsiTheme="minorEastAsia" w:eastAsiaTheme="minorEastAsia" w:cstheme="minorEastAsia"/>
          <w:kern w:val="0"/>
          <w:szCs w:val="22"/>
          <w:u w:val="single"/>
        </w:rPr>
      </w:pPr>
    </w:p>
    <w:p>
      <w:pPr>
        <w:ind w:firstLine="5500" w:firstLineChars="25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rPr>
        <w:t>年</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spacing w:val="-3"/>
          <w:kern w:val="0"/>
          <w:szCs w:val="22"/>
        </w:rPr>
        <w:t>月</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日</w:t>
      </w:r>
    </w:p>
    <w:p>
      <w:pPr>
        <w:spacing w:after="120" w:afterLines="50"/>
        <w:ind w:firstLine="2310" w:firstLineChars="1050"/>
        <w:jc w:val="both"/>
        <w:rPr>
          <w:rFonts w:asciiTheme="minorEastAsia" w:hAnsiTheme="minorEastAsia" w:eastAsiaTheme="minorEastAsia" w:cstheme="minorEastAsia"/>
          <w:kern w:val="0"/>
          <w:szCs w:val="22"/>
        </w:rPr>
      </w:pP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注： （1）法定代表人不亲自投标而委托代理人投标适用。</w:t>
      </w:r>
    </w:p>
    <w:p>
      <w:pPr>
        <w:ind w:firstLine="952" w:firstLineChars="433"/>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（2）法定代表人委托他人投标的，委托代理人应是投标人本单位的人员。</w:t>
      </w:r>
    </w:p>
    <w:p>
      <w:pPr>
        <w:ind w:firstLine="909" w:firstLineChars="433"/>
        <w:rPr>
          <w:rFonts w:asciiTheme="minorEastAsia" w:hAnsiTheme="minorEastAsia" w:eastAsiaTheme="minorEastAsia" w:cstheme="minorEastAsia"/>
          <w:kern w:val="0"/>
          <w:szCs w:val="22"/>
        </w:rPr>
      </w:pPr>
      <w:r>
        <w:rPr>
          <w:rFonts w:hint="eastAsia" w:ascii="宋体" w:hAnsi="宋体"/>
          <w:sz w:val="21"/>
          <w:szCs w:val="21"/>
        </w:rPr>
        <w:t>□</w:t>
      </w:r>
      <w:r>
        <w:rPr>
          <w:rFonts w:hint="eastAsia" w:asciiTheme="minorEastAsia" w:hAnsiTheme="minorEastAsia" w:eastAsiaTheme="minorEastAsia" w:cstheme="minorEastAsia"/>
          <w:kern w:val="0"/>
          <w:szCs w:val="22"/>
        </w:rPr>
        <w:t>（3）最近6个月（企业设立不足6个月，从设立时起，下同）连续缴费的养老保险是指从购</w:t>
      </w:r>
    </w:p>
    <w:p>
      <w:pPr>
        <w:ind w:firstLine="952" w:firstLineChars="433"/>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买招标文件时间的上一个月或上上个月起算，往前推6个月的连续、不间断，每个月都缴纳了</w:t>
      </w:r>
    </w:p>
    <w:p>
      <w:pPr>
        <w:ind w:firstLine="952" w:firstLineChars="433"/>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养老保险费。</w:t>
      </w:r>
    </w:p>
    <w:p>
      <w:r>
        <w:br w:type="page"/>
      </w:r>
    </w:p>
    <w:p>
      <w:pPr>
        <w:pStyle w:val="5"/>
        <w:jc w:val="center"/>
      </w:pPr>
      <w:bookmarkStart w:id="53" w:name="_Toc3113"/>
      <w:r>
        <w:rPr>
          <w:rFonts w:hint="eastAsia"/>
        </w:rPr>
        <w:t>三、授权委托书</w:t>
      </w:r>
      <w:bookmarkEnd w:id="53"/>
    </w:p>
    <w:p>
      <w:pPr>
        <w:pStyle w:val="2"/>
      </w:pPr>
      <w:r>
        <w:rPr>
          <w:rFonts w:hint="eastAsia"/>
        </w:rPr>
        <w:t>本授权委托书声明：我</w:t>
      </w:r>
      <w:r>
        <w:rPr>
          <w:u w:val="single"/>
        </w:rPr>
        <w:t xml:space="preserve">  </w:t>
      </w:r>
      <w:r>
        <w:rPr>
          <w:rFonts w:hint="eastAsia"/>
          <w:u w:val="single"/>
        </w:rPr>
        <w:t xml:space="preserve">   </w:t>
      </w:r>
      <w:r>
        <w:rPr>
          <w:u w:val="single"/>
        </w:rPr>
        <w:t xml:space="preserve"> </w:t>
      </w:r>
      <w:r>
        <w:rPr>
          <w:rFonts w:hint="eastAsia"/>
        </w:rPr>
        <w:t>（姓名）系</w:t>
      </w:r>
      <w:r>
        <w:rPr>
          <w:u w:val="single"/>
        </w:rPr>
        <w:t xml:space="preserve">   </w:t>
      </w:r>
      <w:r>
        <w:rPr>
          <w:rFonts w:hint="eastAsia"/>
          <w:u w:val="single"/>
        </w:rPr>
        <w:t xml:space="preserve">            </w:t>
      </w:r>
      <w:r>
        <w:rPr>
          <w:u w:val="single"/>
        </w:rPr>
        <w:t xml:space="preserve"> </w:t>
      </w:r>
      <w:r>
        <w:rPr>
          <w:rFonts w:hint="eastAsia"/>
        </w:rPr>
        <w:t>(联合体牵头人)的法定代表人，我</w:t>
      </w:r>
      <w:r>
        <w:t xml:space="preserve"> </w:t>
      </w:r>
      <w:r>
        <w:rPr>
          <w:rFonts w:hint="eastAsia"/>
        </w:rPr>
        <w:t xml:space="preserve">   </w:t>
      </w:r>
      <w:r>
        <w:t xml:space="preserve"> </w:t>
      </w:r>
      <w:r>
        <w:rPr>
          <w:rFonts w:hint="eastAsia"/>
        </w:rPr>
        <w:t xml:space="preserve"> </w:t>
      </w:r>
      <w:r>
        <w:t xml:space="preserve"> </w:t>
      </w:r>
    </w:p>
    <w:p>
      <w:pPr>
        <w:pStyle w:val="2"/>
        <w:ind w:left="0"/>
      </w:pPr>
      <w:r>
        <w:rPr>
          <w:rFonts w:hint="eastAsia"/>
        </w:rPr>
        <w:t>（姓名）系</w:t>
      </w:r>
      <w:r>
        <w:rPr>
          <w:rFonts w:hint="eastAsia"/>
          <w:u w:val="single"/>
        </w:rPr>
        <w:t xml:space="preserve">               </w:t>
      </w:r>
      <w:r>
        <w:rPr>
          <w:rFonts w:hint="eastAsia"/>
        </w:rPr>
        <w:t>（联合体其他成员一名称)的法定代表人，我</w:t>
      </w:r>
      <w:r>
        <w:rPr>
          <w:u w:val="single"/>
        </w:rPr>
        <w:t xml:space="preserve"> </w:t>
      </w:r>
      <w:r>
        <w:rPr>
          <w:rFonts w:hint="eastAsia"/>
          <w:u w:val="single"/>
        </w:rPr>
        <w:t xml:space="preserve">     </w:t>
      </w:r>
      <w:r>
        <w:rPr>
          <w:u w:val="single"/>
        </w:rPr>
        <w:t xml:space="preserve"> </w:t>
      </w:r>
      <w:r>
        <w:rPr>
          <w:rFonts w:hint="eastAsia"/>
        </w:rPr>
        <w:t>（姓名）系</w:t>
      </w:r>
      <w:r>
        <w:rPr>
          <w:rFonts w:hint="eastAsia"/>
          <w:u w:val="single"/>
        </w:rPr>
        <w:t xml:space="preserve">  </w:t>
      </w:r>
      <w:r>
        <w:rPr>
          <w:u w:val="single"/>
        </w:rPr>
        <w:t xml:space="preserve">  </w:t>
      </w:r>
      <w:r>
        <w:rPr>
          <w:rFonts w:hint="eastAsia"/>
          <w:u w:val="single"/>
        </w:rPr>
        <w:t xml:space="preserve">       </w:t>
      </w:r>
      <w:r>
        <w:rPr>
          <w:rFonts w:hint="eastAsia"/>
        </w:rPr>
        <w:t>(联合体其他成员二名称)的法定代表人，现共同授权委托</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(联合体牵头人)的</w:t>
      </w:r>
      <w:r>
        <w:rPr>
          <w:u w:val="single"/>
        </w:rPr>
        <w:t xml:space="preserve"> </w:t>
      </w:r>
      <w:r>
        <w:rPr>
          <w:rFonts w:hint="eastAsia"/>
          <w:u w:val="single"/>
        </w:rPr>
        <w:t xml:space="preserve">      </w:t>
      </w:r>
      <w:r>
        <w:rPr>
          <w:rFonts w:hint="eastAsia"/>
        </w:rPr>
        <w:t>(委托代理人)为我们所组成投标联合体参加</w:t>
      </w:r>
      <w:r>
        <w:rPr>
          <w:rFonts w:hint="eastAsia"/>
          <w:u w:val="single"/>
        </w:rPr>
        <w:t xml:space="preserve">     </w:t>
      </w:r>
      <w:r>
        <w:rPr>
          <w:rFonts w:hint="eastAsia"/>
        </w:rPr>
        <w:t>(项目名称)</w:t>
      </w:r>
      <w:r>
        <w:rPr>
          <w:rFonts w:hint="eastAsia"/>
          <w:u w:val="single"/>
        </w:rPr>
        <w:t xml:space="preserve">   </w:t>
      </w:r>
      <w:r>
        <w:rPr>
          <w:rFonts w:hint="eastAsia"/>
        </w:rPr>
        <w:t>投标的委托代理人。委托代理人在本项目招标、投标、评标、合同签署等活动过程中所签署的一切文件和处理与之有关的一切事务（向有关行政监督部门投诉另行授权），均为代表本联合体的行为，本联合体将承担委托代理人行为的一切法律责任和后果。</w:t>
      </w:r>
    </w:p>
    <w:p>
      <w:pPr>
        <w:pStyle w:val="2"/>
      </w:pPr>
      <w:r>
        <w:rPr>
          <w:rFonts w:hint="eastAsia"/>
        </w:rPr>
        <w:t>委托期限：自本授权委托书签署之日起至招标文件约定的“投标有效期”结束为止。</w:t>
      </w:r>
    </w:p>
    <w:p>
      <w:pPr>
        <w:pStyle w:val="2"/>
      </w:pPr>
      <w:r>
        <w:rPr>
          <w:rFonts w:hint="eastAsia"/>
        </w:rPr>
        <w:t>委托代理人无转委托权。</w:t>
      </w:r>
    </w:p>
    <w:p>
      <w:pPr>
        <w:pStyle w:val="2"/>
      </w:pPr>
      <w:r>
        <w:rPr>
          <w:rFonts w:hint="eastAsia"/>
        </w:rPr>
        <w:t>附：委托代理人身份证（正反面）复印件或扫描件。</w:t>
      </w:r>
    </w:p>
    <w:p>
      <w:pPr>
        <w:pStyle w:val="2"/>
      </w:pPr>
    </w:p>
    <w:p>
      <w:pPr>
        <w:pStyle w:val="2"/>
        <w:ind w:left="4400" w:leftChars="2000"/>
      </w:pPr>
      <w:r>
        <w:rPr>
          <w:rFonts w:hint="eastAsia"/>
        </w:rPr>
        <w:t>委托代理人姓名：</w:t>
      </w:r>
      <w:r>
        <w:rPr>
          <w:u w:val="single"/>
        </w:rPr>
        <w:t xml:space="preserve">     </w:t>
      </w:r>
      <w:r>
        <w:rPr>
          <w:rFonts w:hint="eastAsia"/>
          <w:u w:val="single"/>
        </w:rPr>
        <w:t xml:space="preserve">                  </w:t>
      </w:r>
      <w:r>
        <w:rPr>
          <w:rFonts w:hint="eastAsia"/>
        </w:rPr>
        <w:t xml:space="preserve">   </w:t>
      </w:r>
      <w:r>
        <w:t xml:space="preserve">   </w:t>
      </w:r>
    </w:p>
    <w:p>
      <w:pPr>
        <w:pStyle w:val="2"/>
        <w:ind w:left="4400" w:leftChars="2000"/>
      </w:pPr>
      <w:r>
        <w:rPr>
          <w:rFonts w:hint="eastAsia"/>
        </w:rPr>
        <w:t>委托代理人：</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(签字)</w:t>
      </w:r>
    </w:p>
    <w:p>
      <w:pPr>
        <w:pStyle w:val="2"/>
        <w:ind w:left="4400" w:leftChars="2000"/>
      </w:pPr>
      <w:r>
        <w:rPr>
          <w:rFonts w:hint="eastAsia"/>
        </w:rPr>
        <w:t>联合体牵头人：</w:t>
      </w:r>
      <w:r>
        <w:rPr>
          <w:u w:val="single"/>
        </w:rPr>
        <w:t xml:space="preserve">   </w:t>
      </w:r>
      <w:r>
        <w:rPr>
          <w:rFonts w:hint="eastAsia"/>
          <w:u w:val="single"/>
        </w:rPr>
        <w:t xml:space="preserve">                  </w:t>
      </w:r>
      <w:r>
        <w:rPr>
          <w:rFonts w:hint="eastAsia"/>
        </w:rPr>
        <w:t>(盖单位章)</w:t>
      </w:r>
    </w:p>
    <w:p>
      <w:pPr>
        <w:pStyle w:val="2"/>
        <w:ind w:left="4400" w:leftChars="2000"/>
      </w:pPr>
      <w:r>
        <w:rPr>
          <w:rFonts w:hint="eastAsia"/>
        </w:rPr>
        <w:t>法定代表人：</w:t>
      </w:r>
      <w:r>
        <w:rPr>
          <w:u w:val="single"/>
        </w:rPr>
        <w:t xml:space="preserve">           </w:t>
      </w:r>
      <w:r>
        <w:rPr>
          <w:rFonts w:hint="eastAsia"/>
          <w:u w:val="single"/>
        </w:rPr>
        <w:t xml:space="preserve">       </w:t>
      </w:r>
      <w:r>
        <w:rPr>
          <w:u w:val="single"/>
        </w:rPr>
        <w:t xml:space="preserve">   </w:t>
      </w:r>
      <w:r>
        <w:rPr>
          <w:rFonts w:hint="eastAsia"/>
        </w:rPr>
        <w:t>(签字或盖章)</w:t>
      </w:r>
    </w:p>
    <w:p>
      <w:pPr>
        <w:pStyle w:val="2"/>
        <w:ind w:left="4400" w:leftChars="2000"/>
      </w:pPr>
      <w:r>
        <w:rPr>
          <w:rFonts w:hint="eastAsia"/>
        </w:rPr>
        <w:t>联合体其他成员单位一名称：</w:t>
      </w:r>
      <w:r>
        <w:rPr>
          <w:rFonts w:hint="eastAsia"/>
          <w:u w:val="single"/>
        </w:rPr>
        <w:t xml:space="preserve">         </w:t>
      </w:r>
      <w:r>
        <w:rPr>
          <w:rFonts w:hint="eastAsia"/>
        </w:rPr>
        <w:t>(盖单位章)</w:t>
      </w:r>
    </w:p>
    <w:p>
      <w:pPr>
        <w:pStyle w:val="2"/>
        <w:ind w:left="4400" w:leftChars="2000"/>
      </w:pPr>
      <w:r>
        <w:rPr>
          <w:rFonts w:hint="eastAsia"/>
        </w:rPr>
        <w:t>法定代表人：</w:t>
      </w:r>
      <w:r>
        <w:rPr>
          <w:u w:val="single"/>
        </w:rPr>
        <w:t xml:space="preserve"> </w:t>
      </w:r>
      <w:r>
        <w:rPr>
          <w:u w:val="single"/>
        </w:rPr>
        <w:tab/>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(签字或盖章)</w:t>
      </w:r>
    </w:p>
    <w:p>
      <w:pPr>
        <w:pStyle w:val="2"/>
        <w:ind w:left="4400" w:leftChars="2000"/>
      </w:pPr>
      <w:r>
        <w:rPr>
          <w:rFonts w:hint="eastAsia"/>
        </w:rPr>
        <w:t>联合体其他成员单位二名称：</w:t>
      </w:r>
      <w:r>
        <w:rPr>
          <w:rFonts w:hint="eastAsia"/>
          <w:u w:val="single"/>
        </w:rPr>
        <w:t xml:space="preserve">         </w:t>
      </w:r>
      <w:r>
        <w:rPr>
          <w:rFonts w:hint="eastAsia"/>
        </w:rPr>
        <w:t>(盖单位章)</w:t>
      </w:r>
    </w:p>
    <w:p>
      <w:pPr>
        <w:pStyle w:val="2"/>
        <w:ind w:left="4400" w:leftChars="2000"/>
      </w:pPr>
      <w:r>
        <w:rPr>
          <w:rFonts w:hint="eastAsia"/>
        </w:rPr>
        <w:t>法定代表人</w:t>
      </w:r>
      <w:r>
        <w:rPr>
          <w:rFonts w:hint="eastAsia"/>
          <w:u w:val="single"/>
        </w:rPr>
        <w:t>：</w:t>
      </w:r>
      <w:r>
        <w:rPr>
          <w:u w:val="single"/>
        </w:rPr>
        <w:t xml:space="preserve"> </w:t>
      </w:r>
      <w:r>
        <w:rPr>
          <w:u w:val="single"/>
        </w:rPr>
        <w:tab/>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(签字或盖章)</w:t>
      </w:r>
    </w:p>
    <w:p>
      <w:pPr>
        <w:pStyle w:val="2"/>
        <w:ind w:left="4400" w:leftChars="2000"/>
      </w:pPr>
      <w:r>
        <w:t>……</w:t>
      </w:r>
    </w:p>
    <w:p>
      <w:pPr>
        <w:pStyle w:val="2"/>
        <w:ind w:left="4400" w:leftChars="2000" w:firstLine="1320" w:firstLineChars="600"/>
      </w:pPr>
      <w:r>
        <w:rPr>
          <w:u w:val="single"/>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p>
      <w:pPr>
        <w:pStyle w:val="2"/>
      </w:pPr>
    </w:p>
    <w:p>
      <w:pPr>
        <w:pStyle w:val="2"/>
      </w:pPr>
    </w:p>
    <w:p>
      <w:pPr>
        <w:pStyle w:val="2"/>
      </w:pPr>
      <w:r>
        <w:rPr>
          <w:rFonts w:hint="eastAsia"/>
        </w:rPr>
        <w:t>注：（</w:t>
      </w:r>
      <w:r>
        <w:t>1</w:t>
      </w:r>
      <w:r>
        <w:rPr>
          <w:rFonts w:hint="eastAsia"/>
        </w:rPr>
        <w:t>）法定代表人不亲自投标而委托代理人投标的</w:t>
      </w:r>
      <w:r>
        <w:t>联合体投标人</w:t>
      </w:r>
      <w:r>
        <w:rPr>
          <w:rFonts w:hint="eastAsia"/>
        </w:rPr>
        <w:t>适用。其中涉及联合体成员数量</w:t>
      </w:r>
    </w:p>
    <w:p>
      <w:pPr>
        <w:pStyle w:val="2"/>
        <w:ind w:left="0"/>
      </w:pPr>
      <w:r>
        <w:rPr>
          <w:rFonts w:hint="eastAsia"/>
        </w:rPr>
        <w:t>的格式内容可根据实际情况可以修改。</w:t>
      </w:r>
    </w:p>
    <w:p>
      <w:pPr>
        <w:pStyle w:val="2"/>
      </w:pPr>
      <w:r>
        <w:rPr>
          <w:rFonts w:hint="eastAsia"/>
        </w:rPr>
        <w:t>（</w:t>
      </w:r>
      <w:r>
        <w:t>2</w:t>
      </w:r>
      <w:r>
        <w:rPr>
          <w:rFonts w:hint="eastAsia"/>
        </w:rPr>
        <w:t>）授权委托书格式由投标人根据自身情况自行选择，并删除不适用格式。</w:t>
      </w:r>
    </w:p>
    <w:p>
      <w:pPr>
        <w:pStyle w:val="2"/>
      </w:pPr>
    </w:p>
    <w:p>
      <w:r>
        <w:br w:type="page"/>
      </w:r>
    </w:p>
    <w:p>
      <w:pPr>
        <w:pStyle w:val="5"/>
        <w:numPr>
          <w:ilvl w:val="0"/>
          <w:numId w:val="12"/>
        </w:numPr>
        <w:jc w:val="center"/>
      </w:pPr>
      <w:r>
        <w:t>联合体协议书</w:t>
      </w:r>
    </w:p>
    <w:p>
      <w:pPr>
        <w:pStyle w:val="2"/>
      </w:pPr>
      <w:r>
        <w:rPr>
          <w:rFonts w:hint="eastAsia"/>
          <w:u w:val="single"/>
        </w:rPr>
        <w:t xml:space="preserve">                           </w:t>
      </w:r>
      <w:r>
        <w:rPr>
          <w:rFonts w:hint="eastAsia"/>
        </w:rPr>
        <w:t>（所有成员单位名称）自愿组成</w:t>
      </w:r>
      <w:r>
        <w:rPr>
          <w:rFonts w:hint="eastAsia"/>
          <w:u w:val="single"/>
        </w:rPr>
        <w:t xml:space="preserve">               </w:t>
      </w:r>
      <w:r>
        <w:rPr>
          <w:rFonts w:hint="eastAsia"/>
        </w:rPr>
        <w:t>（联合体名称）联</w:t>
      </w:r>
    </w:p>
    <w:p>
      <w:pPr>
        <w:pStyle w:val="2"/>
        <w:ind w:left="0"/>
      </w:pPr>
      <w:r>
        <w:rPr>
          <w:rFonts w:hint="eastAsia"/>
        </w:rPr>
        <w:t>合体，共同参加</w:t>
      </w:r>
      <w:r>
        <w:rPr>
          <w:rFonts w:hint="eastAsia"/>
          <w:u w:val="single"/>
        </w:rPr>
        <w:t xml:space="preserve">                           </w:t>
      </w:r>
      <w:r>
        <w:rPr>
          <w:rFonts w:hint="eastAsia"/>
        </w:rPr>
        <w:t>（项目名称</w:t>
      </w:r>
      <w:r>
        <w:t>）</w:t>
      </w:r>
      <w:r>
        <w:rPr>
          <w:rFonts w:hint="eastAsia"/>
        </w:rPr>
        <w:t>投标。现就联合体投标事宜订立如下协议：</w:t>
      </w:r>
    </w:p>
    <w:p>
      <w:pPr>
        <w:pStyle w:val="2"/>
      </w:pPr>
      <w:r>
        <w:rPr>
          <w:rFonts w:hint="eastAsia"/>
        </w:rPr>
        <w:t>1、</w:t>
      </w:r>
      <w:r>
        <w:rPr>
          <w:rFonts w:hint="eastAsia"/>
          <w:u w:val="single"/>
        </w:rPr>
        <w:t xml:space="preserve">               </w:t>
      </w:r>
      <w:r>
        <w:rPr>
          <w:rFonts w:hint="eastAsia"/>
        </w:rPr>
        <w:t>（某成员单位名称）为</w:t>
      </w:r>
      <w:r>
        <w:rPr>
          <w:rFonts w:hint="eastAsia"/>
          <w:u w:val="single"/>
        </w:rPr>
        <w:t xml:space="preserve">            </w:t>
      </w:r>
      <w:r>
        <w:rPr>
          <w:rFonts w:hint="eastAsia"/>
        </w:rPr>
        <w:t>（联合体名称）的牵头人。</w:t>
      </w:r>
    </w:p>
    <w:p>
      <w:pPr>
        <w:pStyle w:val="2"/>
      </w:pPr>
      <w:r>
        <w:rPr>
          <w:rFonts w:hint="eastAsia"/>
        </w:rPr>
        <w:t>2、联合体牵头人合法代表联合体各成员负责本招标项目投标文件编制和合同谈判活动，并代表联合体提交和接收相关的资料、信息及指示，并处理与之有关的一切事务，负责合同实施阶段的主办、</w:t>
      </w:r>
    </w:p>
    <w:p>
      <w:pPr>
        <w:pStyle w:val="2"/>
        <w:ind w:left="0"/>
      </w:pPr>
      <w:r>
        <w:rPr>
          <w:rFonts w:hint="eastAsia"/>
        </w:rPr>
        <w:t>组织和协调工作。</w:t>
      </w:r>
    </w:p>
    <w:p>
      <w:pPr>
        <w:pStyle w:val="2"/>
      </w:pPr>
      <w:r>
        <w:rPr>
          <w:rFonts w:hint="eastAsia"/>
        </w:rPr>
        <w:t>3、联合体将严格按照招标文件的各项要求，递交投标文件，履行合同，并对外承担连带责任。</w:t>
      </w:r>
    </w:p>
    <w:p>
      <w:pPr>
        <w:pStyle w:val="2"/>
      </w:pPr>
      <w:r>
        <w:rPr>
          <w:rFonts w:hint="eastAsia"/>
        </w:rPr>
        <w:t>4、联合体各成员单位内部的职责分工如下：</w:t>
      </w:r>
      <w:r>
        <w:rPr>
          <w:rFonts w:hint="eastAsia"/>
          <w:u w:val="single"/>
        </w:rPr>
        <w:t xml:space="preserve">                   </w:t>
      </w:r>
      <w:r>
        <w:rPr>
          <w:rFonts w:hint="eastAsia"/>
        </w:rPr>
        <w:t xml:space="preserve"> 。</w:t>
      </w:r>
    </w:p>
    <w:p>
      <w:pPr>
        <w:pStyle w:val="2"/>
      </w:pPr>
      <w:r>
        <w:rPr>
          <w:rFonts w:hint="eastAsia"/>
        </w:rPr>
        <w:t>5、本协议书自签署之日起生效，合同履行完毕后自动失效。</w:t>
      </w:r>
    </w:p>
    <w:p>
      <w:pPr>
        <w:pStyle w:val="2"/>
      </w:pPr>
      <w:r>
        <w:rPr>
          <w:rFonts w:hint="eastAsia"/>
        </w:rPr>
        <w:t>6、本协议书一式</w:t>
      </w:r>
      <w:r>
        <w:rPr>
          <w:rFonts w:hint="eastAsia"/>
          <w:u w:val="single"/>
        </w:rPr>
        <w:t xml:space="preserve">   </w:t>
      </w:r>
      <w:r>
        <w:rPr>
          <w:rFonts w:hint="eastAsia"/>
        </w:rPr>
        <w:t>份，联合体各成员和招标人各执一份。</w:t>
      </w:r>
    </w:p>
    <w:p>
      <w:pPr>
        <w:pStyle w:val="2"/>
      </w:pPr>
    </w:p>
    <w:p>
      <w:pPr>
        <w:pStyle w:val="2"/>
        <w:ind w:left="3300" w:leftChars="1500"/>
      </w:pPr>
      <w:r>
        <w:rPr>
          <w:rFonts w:hint="eastAsia"/>
        </w:rPr>
        <w:t>牵头人名称：</w:t>
      </w:r>
      <w:r>
        <w:rPr>
          <w:rFonts w:hint="eastAsia"/>
          <w:u w:val="single"/>
        </w:rPr>
        <w:t xml:space="preserve">                              </w:t>
      </w:r>
      <w:r>
        <w:rPr>
          <w:rFonts w:hint="eastAsia"/>
        </w:rPr>
        <w:t>(盖单位章)</w:t>
      </w:r>
    </w:p>
    <w:p>
      <w:pPr>
        <w:pStyle w:val="2"/>
        <w:ind w:left="3300" w:leftChars="1500"/>
      </w:pPr>
      <w:r>
        <w:rPr>
          <w:rFonts w:hint="eastAsia"/>
        </w:rPr>
        <w:t>法定代表人：</w:t>
      </w:r>
      <w:r>
        <w:rPr>
          <w:rFonts w:hint="eastAsia"/>
          <w:u w:val="single"/>
        </w:rPr>
        <w:t xml:space="preserve">                            </w:t>
      </w:r>
      <w:r>
        <w:rPr>
          <w:rFonts w:hint="eastAsia"/>
        </w:rPr>
        <w:t>(签字或盖章)</w:t>
      </w:r>
    </w:p>
    <w:p>
      <w:pPr>
        <w:pStyle w:val="2"/>
        <w:ind w:left="3300" w:leftChars="1500"/>
      </w:pPr>
      <w:r>
        <w:rPr>
          <w:rFonts w:hint="eastAsia"/>
        </w:rPr>
        <w:t>联合体其他成员单位一名称：</w:t>
      </w:r>
      <w:r>
        <w:rPr>
          <w:rFonts w:hint="eastAsia"/>
          <w:u w:val="single"/>
        </w:rPr>
        <w:t xml:space="preserve">                </w:t>
      </w:r>
      <w:r>
        <w:rPr>
          <w:rFonts w:hint="eastAsia"/>
        </w:rPr>
        <w:t>(盖单位章)</w:t>
      </w:r>
    </w:p>
    <w:p>
      <w:pPr>
        <w:pStyle w:val="2"/>
        <w:ind w:left="3300" w:leftChars="1500"/>
      </w:pPr>
      <w:r>
        <w:rPr>
          <w:rFonts w:hint="eastAsia"/>
        </w:rPr>
        <w:t>法定代表人：</w:t>
      </w:r>
      <w:r>
        <w:rPr>
          <w:rFonts w:hint="eastAsia"/>
          <w:u w:val="single"/>
        </w:rPr>
        <w:t xml:space="preserve">                            </w:t>
      </w:r>
      <w:r>
        <w:rPr>
          <w:rFonts w:hint="eastAsia"/>
        </w:rPr>
        <w:t>(签字或盖章)</w:t>
      </w:r>
    </w:p>
    <w:p>
      <w:pPr>
        <w:pStyle w:val="2"/>
        <w:ind w:left="3300" w:leftChars="1500"/>
      </w:pPr>
      <w:r>
        <w:rPr>
          <w:rFonts w:hint="eastAsia"/>
        </w:rPr>
        <w:t>联合体其他成员单位二名称：</w:t>
      </w:r>
      <w:r>
        <w:rPr>
          <w:rFonts w:hint="eastAsia"/>
          <w:u w:val="single"/>
        </w:rPr>
        <w:t xml:space="preserve">                </w:t>
      </w:r>
      <w:r>
        <w:rPr>
          <w:rFonts w:hint="eastAsia"/>
        </w:rPr>
        <w:t>(盖单位章)</w:t>
      </w:r>
    </w:p>
    <w:p>
      <w:pPr>
        <w:pStyle w:val="2"/>
        <w:ind w:left="3300" w:leftChars="1500"/>
      </w:pPr>
      <w:r>
        <w:rPr>
          <w:rFonts w:hint="eastAsia"/>
        </w:rPr>
        <w:t>法定代表人：</w:t>
      </w:r>
      <w:r>
        <w:rPr>
          <w:rFonts w:hint="eastAsia"/>
          <w:u w:val="single"/>
        </w:rPr>
        <w:t xml:space="preserve">                            </w:t>
      </w:r>
      <w:r>
        <w:rPr>
          <w:rFonts w:hint="eastAsia"/>
        </w:rPr>
        <w:t>(签字或盖章)</w:t>
      </w:r>
    </w:p>
    <w:p>
      <w:pPr>
        <w:pStyle w:val="2"/>
        <w:ind w:left="2860" w:leftChars="1300"/>
      </w:pPr>
      <w:r>
        <w:rPr>
          <w:rFonts w:hint="eastAsia"/>
        </w:rPr>
        <w:t xml:space="preserve">                           ... ...</w:t>
      </w:r>
    </w:p>
    <w:p>
      <w:pPr>
        <w:pStyle w:val="2"/>
        <w:ind w:left="3300" w:leftChars="1500"/>
        <w:sectPr>
          <w:footerReference r:id="rId10" w:type="default"/>
          <w:pgSz w:w="12240" w:h="15840"/>
          <w:pgMar w:top="1134" w:right="1134" w:bottom="1134" w:left="1134" w:header="0" w:footer="921" w:gutter="0"/>
          <w:cols w:space="720" w:num="1"/>
        </w:sectPr>
      </w:pPr>
      <w:r>
        <w:rPr>
          <w:rFonts w:hint="eastAsia"/>
        </w:rPr>
        <w:t xml:space="preserve">   </w:t>
      </w:r>
      <w:r>
        <w:t xml:space="preserve"> </w:t>
      </w: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p>
      <w:pPr>
        <w:pStyle w:val="5"/>
        <w:numPr>
          <w:ilvl w:val="0"/>
          <w:numId w:val="12"/>
        </w:numPr>
        <w:jc w:val="center"/>
      </w:pPr>
      <w:r>
        <w:t>资格审查资料</w:t>
      </w:r>
    </w:p>
    <w:p>
      <w:pPr>
        <w:pStyle w:val="6"/>
        <w:numPr>
          <w:ilvl w:val="0"/>
          <w:numId w:val="13"/>
        </w:numPr>
        <w:jc w:val="center"/>
      </w:pPr>
      <w:r>
        <w:rPr>
          <w:b/>
          <w:bCs/>
        </w:rPr>
        <w:t>基本情况表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92"/>
        <w:gridCol w:w="1130"/>
        <w:gridCol w:w="2850"/>
        <w:gridCol w:w="1395"/>
        <w:gridCol w:w="2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2" w:hRule="atLeast"/>
          <w:jc w:val="center"/>
        </w:trPr>
        <w:tc>
          <w:tcPr>
            <w:tcW w:w="1892" w:type="dxa"/>
            <w:vAlign w:val="center"/>
          </w:tcPr>
          <w:p>
            <w:pPr>
              <w:pStyle w:val="2"/>
              <w:ind w:left="0"/>
              <w:jc w:val="center"/>
            </w:pPr>
            <w:r>
              <w:rPr>
                <w:rFonts w:hint="eastAsia"/>
              </w:rPr>
              <w:t>单位</w:t>
            </w:r>
            <w:r>
              <w:t>名称</w:t>
            </w:r>
          </w:p>
        </w:tc>
        <w:tc>
          <w:tcPr>
            <w:tcW w:w="7724" w:type="dxa"/>
            <w:gridSpan w:val="4"/>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4" w:hRule="atLeast"/>
          <w:jc w:val="center"/>
        </w:trPr>
        <w:tc>
          <w:tcPr>
            <w:tcW w:w="1892" w:type="dxa"/>
            <w:vAlign w:val="center"/>
          </w:tcPr>
          <w:p>
            <w:pPr>
              <w:pStyle w:val="2"/>
              <w:ind w:left="0"/>
              <w:jc w:val="center"/>
            </w:pPr>
            <w:r>
              <w:t>注册地址</w:t>
            </w:r>
          </w:p>
        </w:tc>
        <w:tc>
          <w:tcPr>
            <w:tcW w:w="3980" w:type="dxa"/>
            <w:gridSpan w:val="2"/>
            <w:vAlign w:val="center"/>
          </w:tcPr>
          <w:p>
            <w:pPr>
              <w:pStyle w:val="2"/>
              <w:ind w:left="0"/>
            </w:pPr>
          </w:p>
        </w:tc>
        <w:tc>
          <w:tcPr>
            <w:tcW w:w="1395" w:type="dxa"/>
            <w:vAlign w:val="center"/>
          </w:tcPr>
          <w:p>
            <w:pPr>
              <w:pStyle w:val="2"/>
              <w:ind w:left="0"/>
              <w:jc w:val="center"/>
            </w:pPr>
            <w:r>
              <w:t>邮政编码</w:t>
            </w:r>
          </w:p>
        </w:tc>
        <w:tc>
          <w:tcPr>
            <w:tcW w:w="2349"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1" w:hRule="atLeast"/>
          <w:jc w:val="center"/>
        </w:trPr>
        <w:tc>
          <w:tcPr>
            <w:tcW w:w="1892" w:type="dxa"/>
            <w:vMerge w:val="restart"/>
            <w:vAlign w:val="center"/>
          </w:tcPr>
          <w:p>
            <w:pPr>
              <w:pStyle w:val="2"/>
              <w:ind w:left="0"/>
              <w:jc w:val="center"/>
            </w:pPr>
            <w:r>
              <w:t>联系方式</w:t>
            </w:r>
          </w:p>
        </w:tc>
        <w:tc>
          <w:tcPr>
            <w:tcW w:w="1130" w:type="dxa"/>
            <w:vAlign w:val="center"/>
          </w:tcPr>
          <w:p>
            <w:pPr>
              <w:pStyle w:val="2"/>
              <w:ind w:left="0"/>
              <w:jc w:val="center"/>
            </w:pPr>
            <w:r>
              <w:t>联系人</w:t>
            </w:r>
          </w:p>
        </w:tc>
        <w:tc>
          <w:tcPr>
            <w:tcW w:w="2850" w:type="dxa"/>
            <w:vAlign w:val="center"/>
          </w:tcPr>
          <w:p>
            <w:pPr>
              <w:pStyle w:val="2"/>
              <w:ind w:left="0"/>
            </w:pPr>
          </w:p>
        </w:tc>
        <w:tc>
          <w:tcPr>
            <w:tcW w:w="1395" w:type="dxa"/>
            <w:vAlign w:val="center"/>
          </w:tcPr>
          <w:p>
            <w:pPr>
              <w:pStyle w:val="2"/>
              <w:ind w:left="0"/>
              <w:jc w:val="center"/>
            </w:pPr>
            <w:r>
              <w:t>电话</w:t>
            </w:r>
          </w:p>
        </w:tc>
        <w:tc>
          <w:tcPr>
            <w:tcW w:w="2349"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5" w:hRule="atLeast"/>
          <w:jc w:val="center"/>
        </w:trPr>
        <w:tc>
          <w:tcPr>
            <w:tcW w:w="1892" w:type="dxa"/>
            <w:vMerge w:val="continue"/>
            <w:vAlign w:val="center"/>
          </w:tcPr>
          <w:p>
            <w:pPr>
              <w:pStyle w:val="2"/>
              <w:ind w:left="0"/>
              <w:jc w:val="center"/>
            </w:pPr>
          </w:p>
        </w:tc>
        <w:tc>
          <w:tcPr>
            <w:tcW w:w="1130" w:type="dxa"/>
            <w:vAlign w:val="center"/>
          </w:tcPr>
          <w:p>
            <w:pPr>
              <w:pStyle w:val="2"/>
              <w:ind w:left="0"/>
              <w:jc w:val="center"/>
            </w:pPr>
            <w:r>
              <w:t>传真</w:t>
            </w:r>
          </w:p>
        </w:tc>
        <w:tc>
          <w:tcPr>
            <w:tcW w:w="2850" w:type="dxa"/>
            <w:vAlign w:val="center"/>
          </w:tcPr>
          <w:p>
            <w:pPr>
              <w:pStyle w:val="2"/>
              <w:ind w:left="0"/>
            </w:pPr>
          </w:p>
        </w:tc>
        <w:tc>
          <w:tcPr>
            <w:tcW w:w="1395" w:type="dxa"/>
            <w:vAlign w:val="center"/>
          </w:tcPr>
          <w:p>
            <w:pPr>
              <w:pStyle w:val="2"/>
              <w:ind w:left="0"/>
              <w:jc w:val="center"/>
            </w:pPr>
            <w:r>
              <w:rPr>
                <w:rFonts w:hint="eastAsia"/>
              </w:rPr>
              <w:t>邮箱</w:t>
            </w:r>
          </w:p>
        </w:tc>
        <w:tc>
          <w:tcPr>
            <w:tcW w:w="2349"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2" w:hRule="atLeast"/>
          <w:jc w:val="center"/>
        </w:trPr>
        <w:tc>
          <w:tcPr>
            <w:tcW w:w="1892" w:type="dxa"/>
            <w:vAlign w:val="center"/>
          </w:tcPr>
          <w:p>
            <w:pPr>
              <w:pStyle w:val="2"/>
              <w:ind w:left="0"/>
              <w:jc w:val="center"/>
            </w:pPr>
            <w:r>
              <w:t>法定代表人</w:t>
            </w:r>
          </w:p>
        </w:tc>
        <w:tc>
          <w:tcPr>
            <w:tcW w:w="1130" w:type="dxa"/>
            <w:vAlign w:val="center"/>
          </w:tcPr>
          <w:p>
            <w:pPr>
              <w:pStyle w:val="2"/>
              <w:ind w:left="0"/>
              <w:jc w:val="center"/>
            </w:pPr>
            <w:r>
              <w:t>姓名</w:t>
            </w:r>
          </w:p>
        </w:tc>
        <w:tc>
          <w:tcPr>
            <w:tcW w:w="2850" w:type="dxa"/>
            <w:vAlign w:val="center"/>
          </w:tcPr>
          <w:p>
            <w:pPr>
              <w:pStyle w:val="2"/>
              <w:ind w:left="0"/>
            </w:pPr>
          </w:p>
        </w:tc>
        <w:tc>
          <w:tcPr>
            <w:tcW w:w="1395" w:type="dxa"/>
            <w:vAlign w:val="center"/>
          </w:tcPr>
          <w:p>
            <w:pPr>
              <w:pStyle w:val="2"/>
              <w:ind w:left="0"/>
              <w:jc w:val="center"/>
            </w:pPr>
            <w:r>
              <w:t>电话</w:t>
            </w:r>
          </w:p>
        </w:tc>
        <w:tc>
          <w:tcPr>
            <w:tcW w:w="2349"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4" w:hRule="atLeast"/>
          <w:jc w:val="center"/>
        </w:trPr>
        <w:tc>
          <w:tcPr>
            <w:tcW w:w="1892" w:type="dxa"/>
            <w:vAlign w:val="center"/>
          </w:tcPr>
          <w:p>
            <w:pPr>
              <w:pStyle w:val="2"/>
              <w:ind w:left="0"/>
              <w:jc w:val="center"/>
            </w:pPr>
            <w:r>
              <w:t>成立时间</w:t>
            </w:r>
          </w:p>
        </w:tc>
        <w:tc>
          <w:tcPr>
            <w:tcW w:w="7724" w:type="dxa"/>
            <w:gridSpan w:val="4"/>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7" w:hRule="atLeast"/>
          <w:jc w:val="center"/>
        </w:trPr>
        <w:tc>
          <w:tcPr>
            <w:tcW w:w="1892" w:type="dxa"/>
            <w:vAlign w:val="center"/>
          </w:tcPr>
          <w:p>
            <w:pPr>
              <w:pStyle w:val="2"/>
              <w:ind w:left="0"/>
              <w:jc w:val="center"/>
            </w:pPr>
            <w:r>
              <w:t>营业执照号</w:t>
            </w:r>
          </w:p>
          <w:p>
            <w:pPr>
              <w:pStyle w:val="2"/>
              <w:ind w:left="0"/>
              <w:jc w:val="center"/>
            </w:pPr>
            <w:r>
              <w:rPr>
                <w:rFonts w:hint="eastAsia"/>
              </w:rPr>
              <w:t>【或统一社会信用代码）】</w:t>
            </w:r>
          </w:p>
        </w:tc>
        <w:tc>
          <w:tcPr>
            <w:tcW w:w="7724" w:type="dxa"/>
            <w:gridSpan w:val="4"/>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4" w:hRule="atLeast"/>
          <w:jc w:val="center"/>
        </w:trPr>
        <w:tc>
          <w:tcPr>
            <w:tcW w:w="1892" w:type="dxa"/>
            <w:vAlign w:val="center"/>
          </w:tcPr>
          <w:p>
            <w:pPr>
              <w:pStyle w:val="2"/>
              <w:ind w:left="0"/>
              <w:jc w:val="center"/>
            </w:pPr>
            <w:r>
              <w:t>注册资金</w:t>
            </w:r>
          </w:p>
        </w:tc>
        <w:tc>
          <w:tcPr>
            <w:tcW w:w="7724" w:type="dxa"/>
            <w:gridSpan w:val="4"/>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4" w:hRule="atLeast"/>
          <w:jc w:val="center"/>
        </w:trPr>
        <w:tc>
          <w:tcPr>
            <w:tcW w:w="1892" w:type="dxa"/>
            <w:vAlign w:val="center"/>
          </w:tcPr>
          <w:p>
            <w:pPr>
              <w:pStyle w:val="2"/>
              <w:ind w:left="0"/>
              <w:jc w:val="center"/>
            </w:pPr>
            <w:r>
              <w:t>开户银行及账号</w:t>
            </w:r>
          </w:p>
        </w:tc>
        <w:tc>
          <w:tcPr>
            <w:tcW w:w="7724" w:type="dxa"/>
            <w:gridSpan w:val="4"/>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7" w:hRule="atLeast"/>
          <w:jc w:val="center"/>
        </w:trPr>
        <w:tc>
          <w:tcPr>
            <w:tcW w:w="1892" w:type="dxa"/>
            <w:vAlign w:val="center"/>
          </w:tcPr>
          <w:p>
            <w:pPr>
              <w:pStyle w:val="2"/>
              <w:ind w:left="0"/>
              <w:jc w:val="center"/>
            </w:pPr>
            <w:r>
              <w:t>经营范围</w:t>
            </w:r>
          </w:p>
        </w:tc>
        <w:tc>
          <w:tcPr>
            <w:tcW w:w="7724" w:type="dxa"/>
            <w:gridSpan w:val="4"/>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2" w:hRule="atLeast"/>
          <w:jc w:val="center"/>
        </w:trPr>
        <w:tc>
          <w:tcPr>
            <w:tcW w:w="1892" w:type="dxa"/>
            <w:vAlign w:val="center"/>
          </w:tcPr>
          <w:p>
            <w:pPr>
              <w:pStyle w:val="2"/>
              <w:ind w:left="0"/>
              <w:jc w:val="center"/>
            </w:pPr>
            <w:r>
              <w:t>备注</w:t>
            </w:r>
          </w:p>
        </w:tc>
        <w:tc>
          <w:tcPr>
            <w:tcW w:w="7724" w:type="dxa"/>
            <w:gridSpan w:val="4"/>
            <w:vAlign w:val="center"/>
          </w:tcPr>
          <w:p>
            <w:pPr>
              <w:pStyle w:val="2"/>
              <w:ind w:left="0"/>
            </w:pPr>
          </w:p>
        </w:tc>
      </w:tr>
    </w:tbl>
    <w:p>
      <w:pPr>
        <w:pStyle w:val="2"/>
      </w:pPr>
    </w:p>
    <w:p>
      <w:pPr>
        <w:pStyle w:val="2"/>
      </w:pPr>
      <w:r>
        <w:t>注：</w:t>
      </w:r>
    </w:p>
    <w:p>
      <w:pPr>
        <w:pStyle w:val="2"/>
      </w:pPr>
      <w:r>
        <w:t>(1)投标人（或联合体各成员）应填写此表；</w:t>
      </w:r>
    </w:p>
    <w:p>
      <w:pPr>
        <w:pStyle w:val="2"/>
      </w:pPr>
      <w:r>
        <w:t>(2)本表后应附投标人（或联合体各成员）企业营业执照副本、□其他：____（如资质证书、产</w:t>
      </w:r>
    </w:p>
    <w:p>
      <w:pPr>
        <w:pStyle w:val="2"/>
      </w:pPr>
      <w:r>
        <w:t>品检验报告、质量管理体系认证证书等），以上所需资料均提供复印件或扫描件并装入投标文件。</w:t>
      </w:r>
    </w:p>
    <w:p>
      <w:pPr>
        <w:pStyle w:val="2"/>
      </w:pPr>
      <w:r>
        <w:t>(3) 《国务院关于批转发展改革委等部门法人和其他组织统一社会信用代码制度建设总体方案的通知》（国发〔2015〕33 号）、《工商总局等五部门关于贯彻落实&lt;国务院办公厅关于加快推进“五证合一”登记制度改革的意见&gt;的通知》（工商企注字〔2016〕 150 号）等规定，统一代码设计为 18 位。在规定的过渡期内，未转换的旧登记证（照）没有统一社会信用代码的，填写原营业执照号码。</w:t>
      </w:r>
      <w:r>
        <w:br w:type="page"/>
      </w:r>
    </w:p>
    <w:p>
      <w:pPr>
        <w:pStyle w:val="6"/>
        <w:numPr>
          <w:ilvl w:val="0"/>
          <w:numId w:val="13"/>
        </w:numPr>
        <w:jc w:val="center"/>
        <w:rPr>
          <w:b/>
          <w:bCs/>
        </w:rPr>
      </w:pPr>
      <w:r>
        <w:rPr>
          <w:b/>
          <w:bCs/>
        </w:rPr>
        <w:t>类似业绩汇总表</w:t>
      </w:r>
    </w:p>
    <w:tbl>
      <w:tblPr>
        <w:tblStyle w:val="16"/>
        <w:tblW w:w="9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134"/>
        <w:gridCol w:w="1276"/>
        <w:gridCol w:w="1134"/>
        <w:gridCol w:w="1134"/>
        <w:gridCol w:w="1134"/>
        <w:gridCol w:w="1134"/>
        <w:gridCol w:w="851"/>
        <w:gridCol w:w="1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序号</w:t>
            </w: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项目业主</w:t>
            </w:r>
          </w:p>
        </w:tc>
        <w:tc>
          <w:tcPr>
            <w:tcW w:w="1276"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项目名称</w:t>
            </w: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开工日期</w:t>
            </w: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交工日期</w:t>
            </w: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竣工日期</w:t>
            </w: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业绩规模</w:t>
            </w:r>
          </w:p>
        </w:tc>
        <w:tc>
          <w:tcPr>
            <w:tcW w:w="851"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合同</w:t>
            </w:r>
          </w:p>
          <w:p>
            <w:pPr>
              <w:pStyle w:val="2"/>
              <w:ind w:left="0"/>
              <w:jc w:val="center"/>
            </w:pPr>
            <w:r>
              <w:rPr>
                <w:rFonts w:hint="eastAsia"/>
              </w:rPr>
              <w:t>价格</w:t>
            </w:r>
          </w:p>
        </w:tc>
        <w:tc>
          <w:tcPr>
            <w:tcW w:w="1364"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项目负责人(或技术负责人）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276"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851"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364"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276"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851"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364"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276"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851"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364"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276"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851"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364"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276"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851"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364"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276"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851"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364"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276"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851"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364"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276"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134"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851" w:type="dxa"/>
            <w:tcBorders>
              <w:top w:val="single" w:color="auto" w:sz="4" w:space="0"/>
              <w:left w:val="single" w:color="auto" w:sz="4" w:space="0"/>
              <w:bottom w:val="single" w:color="auto" w:sz="4" w:space="0"/>
              <w:right w:val="single" w:color="auto" w:sz="4" w:space="0"/>
            </w:tcBorders>
            <w:vAlign w:val="center"/>
          </w:tcPr>
          <w:p>
            <w:pPr>
              <w:pStyle w:val="2"/>
              <w:ind w:left="0"/>
            </w:pPr>
          </w:p>
        </w:tc>
        <w:tc>
          <w:tcPr>
            <w:tcW w:w="1364" w:type="dxa"/>
            <w:tcBorders>
              <w:top w:val="single" w:color="auto" w:sz="4" w:space="0"/>
              <w:left w:val="single" w:color="auto" w:sz="4" w:space="0"/>
              <w:bottom w:val="single" w:color="auto" w:sz="4" w:space="0"/>
              <w:right w:val="single" w:color="auto" w:sz="4" w:space="0"/>
            </w:tcBorders>
            <w:vAlign w:val="center"/>
          </w:tcPr>
          <w:p>
            <w:pPr>
              <w:pStyle w:val="2"/>
              <w:ind w:left="0"/>
            </w:pPr>
          </w:p>
        </w:tc>
      </w:tr>
    </w:tbl>
    <w:p>
      <w:pPr>
        <w:pStyle w:val="2"/>
        <w:ind w:left="0"/>
      </w:pPr>
    </w:p>
    <w:p>
      <w:pPr>
        <w:pStyle w:val="2"/>
      </w:pPr>
      <w:r>
        <w:rPr>
          <w:rFonts w:hint="eastAsia"/>
        </w:rPr>
        <w:t>注：</w:t>
      </w:r>
    </w:p>
    <w:p>
      <w:pPr>
        <w:pStyle w:val="2"/>
      </w:pPr>
      <w:r>
        <w:rPr>
          <w:rFonts w:hint="eastAsia"/>
        </w:rPr>
        <w:t>1、如为在建业绩，竣工日期及交工日期一栏请填写“无”，以上汇总表所填信息若无法在业绩证明资料中体现的，以项目业主出具的证明为准。</w:t>
      </w:r>
    </w:p>
    <w:p>
      <w:pPr>
        <w:pStyle w:val="2"/>
      </w:pPr>
      <w:r>
        <w:rPr>
          <w:rFonts w:hint="eastAsia"/>
        </w:rPr>
        <w:t>2、表中所有空格内容均须填写，如确实不须填写或无法填写，应在空格中填写“无”。</w:t>
      </w:r>
      <w:r>
        <w:br w:type="page"/>
      </w:r>
    </w:p>
    <w:p>
      <w:pPr>
        <w:pStyle w:val="6"/>
        <w:numPr>
          <w:ilvl w:val="0"/>
          <w:numId w:val="13"/>
        </w:numPr>
        <w:jc w:val="center"/>
        <w:rPr>
          <w:b/>
          <w:bCs/>
        </w:rPr>
      </w:pPr>
      <w:r>
        <w:rPr>
          <w:b/>
          <w:bCs/>
        </w:rPr>
        <w:t>近3年</w:t>
      </w:r>
      <w:r>
        <w:rPr>
          <w:b/>
          <w:bCs/>
          <w:u w:val="single"/>
        </w:rPr>
        <w:t>□已完成□正在实施/生产新承接</w:t>
      </w:r>
      <w:r>
        <w:rPr>
          <w:b/>
          <w:bCs/>
        </w:rPr>
        <w:t>的类似业绩表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9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jc w:val="center"/>
        </w:trPr>
        <w:tc>
          <w:tcPr>
            <w:tcW w:w="690" w:type="dxa"/>
            <w:vMerge w:val="restart"/>
            <w:vAlign w:val="center"/>
          </w:tcPr>
          <w:p>
            <w:pPr>
              <w:pStyle w:val="2"/>
              <w:ind w:left="0"/>
              <w:jc w:val="center"/>
            </w:pPr>
            <w:r>
              <w:t>1</w:t>
            </w:r>
          </w:p>
        </w:tc>
        <w:tc>
          <w:tcPr>
            <w:tcW w:w="9026" w:type="dxa"/>
            <w:vAlign w:val="center"/>
          </w:tcPr>
          <w:p>
            <w:pPr>
              <w:pStyle w:val="2"/>
              <w:ind w:left="0"/>
            </w:pPr>
            <w:r>
              <w:t>合同名称：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jc w:val="center"/>
        </w:trPr>
        <w:tc>
          <w:tcPr>
            <w:tcW w:w="690" w:type="dxa"/>
            <w:vMerge w:val="continue"/>
            <w:vAlign w:val="center"/>
          </w:tcPr>
          <w:p>
            <w:pPr>
              <w:pStyle w:val="2"/>
              <w:ind w:left="0"/>
              <w:jc w:val="center"/>
            </w:pPr>
          </w:p>
        </w:tc>
        <w:tc>
          <w:tcPr>
            <w:tcW w:w="9026" w:type="dxa"/>
            <w:vAlign w:val="center"/>
          </w:tcPr>
          <w:p>
            <w:pPr>
              <w:pStyle w:val="2"/>
              <w:ind w:left="0"/>
            </w:pPr>
            <w:r>
              <w:rPr>
                <w:rFonts w:hint="eastAsia"/>
              </w:rPr>
              <w:t>发包人</w:t>
            </w:r>
            <w: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jc w:val="center"/>
        </w:trPr>
        <w:tc>
          <w:tcPr>
            <w:tcW w:w="690" w:type="dxa"/>
            <w:vMerge w:val="continue"/>
            <w:vAlign w:val="center"/>
          </w:tcPr>
          <w:p>
            <w:pPr>
              <w:pStyle w:val="2"/>
              <w:ind w:left="0"/>
              <w:jc w:val="center"/>
            </w:pPr>
          </w:p>
        </w:tc>
        <w:tc>
          <w:tcPr>
            <w:tcW w:w="9026" w:type="dxa"/>
            <w:vAlign w:val="center"/>
          </w:tcPr>
          <w:p>
            <w:pPr>
              <w:pStyle w:val="2"/>
              <w:ind w:left="0"/>
            </w:pPr>
            <w:r>
              <w:rPr>
                <w:rFonts w:hint="eastAsia"/>
              </w:rPr>
              <w:t>发包人电话</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jc w:val="center"/>
        </w:trPr>
        <w:tc>
          <w:tcPr>
            <w:tcW w:w="690" w:type="dxa"/>
            <w:vMerge w:val="continue"/>
            <w:vAlign w:val="center"/>
          </w:tcPr>
          <w:p>
            <w:pPr>
              <w:pStyle w:val="2"/>
              <w:ind w:left="0"/>
              <w:jc w:val="center"/>
            </w:pPr>
          </w:p>
        </w:tc>
        <w:tc>
          <w:tcPr>
            <w:tcW w:w="9026" w:type="dxa"/>
            <w:vAlign w:val="center"/>
          </w:tcPr>
          <w:p>
            <w:pPr>
              <w:pStyle w:val="2"/>
              <w:ind w:left="0"/>
            </w:pPr>
            <w:r>
              <w:t>合同总价：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jc w:val="center"/>
        </w:trPr>
        <w:tc>
          <w:tcPr>
            <w:tcW w:w="690" w:type="dxa"/>
            <w:vMerge w:val="continue"/>
            <w:vAlign w:val="center"/>
          </w:tcPr>
          <w:p>
            <w:pPr>
              <w:pStyle w:val="2"/>
              <w:ind w:left="0"/>
              <w:jc w:val="center"/>
            </w:pPr>
          </w:p>
        </w:tc>
        <w:tc>
          <w:tcPr>
            <w:tcW w:w="9026" w:type="dxa"/>
            <w:vAlign w:val="center"/>
          </w:tcPr>
          <w:p>
            <w:pPr>
              <w:pStyle w:val="2"/>
              <w:ind w:left="0"/>
            </w:pPr>
            <w:r>
              <w:t>项目所在地：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90" w:type="dxa"/>
            <w:vAlign w:val="center"/>
          </w:tcPr>
          <w:p>
            <w:pPr>
              <w:pStyle w:val="2"/>
              <w:ind w:left="0"/>
              <w:jc w:val="center"/>
            </w:pPr>
            <w:r>
              <w:t>2</w:t>
            </w:r>
          </w:p>
        </w:tc>
        <w:tc>
          <w:tcPr>
            <w:tcW w:w="9026" w:type="dxa"/>
            <w:vAlign w:val="center"/>
          </w:tcPr>
          <w:p>
            <w:pPr>
              <w:pStyle w:val="2"/>
              <w:ind w:left="0"/>
            </w:pPr>
            <w:r>
              <w:t>所承担合同</w:t>
            </w:r>
            <w:r>
              <w:rPr>
                <w:rFonts w:hint="eastAsia"/>
              </w:rPr>
              <w:t>的主要</w:t>
            </w:r>
            <w:r>
              <w:t>内容</w:t>
            </w:r>
            <w:r>
              <w:rPr>
                <w:rFonts w:hint="eastAsia"/>
              </w:rPr>
              <w:t>：（注：</w:t>
            </w:r>
            <w:r>
              <w:t>供货范围</w:t>
            </w:r>
            <w:r>
              <w:rPr>
                <w:rFonts w:hint="eastAsia"/>
              </w:rPr>
              <w:t>、</w:t>
            </w:r>
            <w:r>
              <w:t>规格和型号、数量等内容</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90" w:type="dxa"/>
            <w:vAlign w:val="center"/>
          </w:tcPr>
          <w:p>
            <w:pPr>
              <w:pStyle w:val="2"/>
              <w:ind w:left="0"/>
              <w:jc w:val="center"/>
            </w:pPr>
            <w:r>
              <w:rPr>
                <w:rFonts w:hint="eastAsia"/>
              </w:rPr>
              <w:t>3</w:t>
            </w:r>
          </w:p>
        </w:tc>
        <w:tc>
          <w:tcPr>
            <w:tcW w:w="9026" w:type="dxa"/>
            <w:vAlign w:val="center"/>
          </w:tcPr>
          <w:p>
            <w:pPr>
              <w:pStyle w:val="2"/>
              <w:ind w:left="0"/>
            </w:pPr>
            <w:r>
              <w:t>供货期</w:t>
            </w:r>
            <w:r>
              <w:rPr>
                <w:rFonts w:hint="eastAsia"/>
              </w:rPr>
              <w:t>:</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90" w:type="dxa"/>
            <w:vAlign w:val="center"/>
          </w:tcPr>
          <w:p>
            <w:pPr>
              <w:pStyle w:val="2"/>
              <w:ind w:left="0"/>
              <w:jc w:val="center"/>
            </w:pPr>
            <w:r>
              <w:rPr>
                <w:rFonts w:hint="eastAsia"/>
              </w:rPr>
              <w:t>4</w:t>
            </w:r>
          </w:p>
        </w:tc>
        <w:tc>
          <w:tcPr>
            <w:tcW w:w="9026" w:type="dxa"/>
            <w:vAlign w:val="center"/>
          </w:tcPr>
          <w:p>
            <w:pPr>
              <w:pStyle w:val="2"/>
              <w:ind w:left="0"/>
            </w:pPr>
            <w:r>
              <w:t>其</w:t>
            </w:r>
            <w:r>
              <w:rPr>
                <w:rFonts w:hint="eastAsia"/>
              </w:rPr>
              <w:t xml:space="preserve">  </w:t>
            </w:r>
            <w:r>
              <w:t>他：</w:t>
            </w:r>
          </w:p>
        </w:tc>
      </w:tr>
    </w:tbl>
    <w:p/>
    <w:p>
      <w:pPr>
        <w:pStyle w:val="2"/>
      </w:pPr>
      <w:r>
        <w:t>注：</w:t>
      </w:r>
    </w:p>
    <w:p>
      <w:pPr>
        <w:pStyle w:val="2"/>
      </w:pPr>
      <w:r>
        <w:t>1、每个类似业绩项目须单独填表，宜标明序号。</w:t>
      </w:r>
    </w:p>
    <w:p>
      <w:pPr>
        <w:pStyle w:val="2"/>
      </w:pPr>
      <w:r>
        <w:t>2、类似业绩是指: ____，证明材料为____。注:类似业绩要求提供多种证明材料的，以____时间为准确定投标人提供的类似业绩是否有效。</w:t>
      </w:r>
    </w:p>
    <w:p>
      <w:pPr>
        <w:pStyle w:val="2"/>
      </w:pPr>
      <w:r>
        <w:t>3、类似业绩的合同或中标（中选）通知书均无法体现出所要求的供货范围（货物规格和型号）、供货期、合同金额等主要内容，则投标人还需提供建设单位盖章确认的其供货范围（货物规格和型号）、供货期、合同金额等主要内容的证明材料，投标人须将此证明材料复印件或扫描件放入投标文件中。</w:t>
      </w:r>
    </w:p>
    <w:p>
      <w:pPr>
        <w:pStyle w:val="2"/>
      </w:pPr>
      <w:r>
        <w:t>4、所提供类似业绩须符合企业的经营范围，超越经营范围取得的类似业绩以及在取得相应经营范围时间以前承担（含不具备相应经营范围非法承担）的业绩均为无效业绩</w:t>
      </w:r>
      <w:r>
        <w:rPr>
          <w:rFonts w:hint="eastAsia"/>
        </w:rPr>
        <w:t>。</w:t>
      </w:r>
      <w:r>
        <w:br w:type="page"/>
      </w:r>
    </w:p>
    <w:p>
      <w:pPr>
        <w:pStyle w:val="5"/>
        <w:numPr>
          <w:ilvl w:val="0"/>
          <w:numId w:val="12"/>
        </w:numPr>
        <w:jc w:val="center"/>
      </w:pPr>
      <w:r>
        <w:t>投标人质量保证体系和质量承诺</w:t>
      </w:r>
    </w:p>
    <w:p>
      <w:pPr>
        <w:pStyle w:val="2"/>
      </w:pPr>
      <w:r>
        <w:rPr>
          <w:rFonts w:hint="eastAsia"/>
        </w:rPr>
        <w:t>□ 投标人</w:t>
      </w:r>
      <w:r>
        <w:t>对</w:t>
      </w:r>
      <w:r>
        <w:rPr>
          <w:rFonts w:hint="eastAsia"/>
        </w:rPr>
        <w:t>其</w:t>
      </w:r>
      <w:r>
        <w:t>质量保证体系描述。</w:t>
      </w:r>
    </w:p>
    <w:p>
      <w:pPr>
        <w:pStyle w:val="2"/>
      </w:pPr>
      <w:r>
        <w:rPr>
          <w:rFonts w:hint="eastAsia"/>
        </w:rPr>
        <w:t xml:space="preserve">□ </w:t>
      </w:r>
      <w:r>
        <w:t>投标人对货物出厂质量证明文件或产品合格证书等技术资料签发、移交及其与货物实物相对</w:t>
      </w:r>
    </w:p>
    <w:p>
      <w:pPr>
        <w:pStyle w:val="2"/>
        <w:ind w:left="0"/>
      </w:pPr>
      <w:r>
        <w:t>应的承诺。</w:t>
      </w:r>
    </w:p>
    <w:p>
      <w:pPr>
        <w:pStyle w:val="2"/>
      </w:pPr>
      <w:r>
        <w:rPr>
          <w:rFonts w:hint="eastAsia"/>
        </w:rPr>
        <w:t xml:space="preserve">□ </w:t>
      </w:r>
      <w:r>
        <w:t>投标人对货物质量问题和质量争议处理的承诺。</w:t>
      </w:r>
    </w:p>
    <w:p>
      <w:pPr>
        <w:pStyle w:val="2"/>
      </w:pPr>
      <w:r>
        <w:rPr>
          <w:rFonts w:hint="eastAsia"/>
        </w:rPr>
        <w:t>□ 售后服务承诺</w:t>
      </w:r>
    </w:p>
    <w:p>
      <w:pPr>
        <w:pStyle w:val="2"/>
      </w:pPr>
      <w:r>
        <w:rPr>
          <w:rFonts w:hint="eastAsia"/>
        </w:rPr>
        <w:t>□ 其他</w:t>
      </w:r>
    </w:p>
    <w:p>
      <w:pPr>
        <w:pStyle w:val="2"/>
      </w:pPr>
    </w:p>
    <w:p>
      <w:pPr>
        <w:pStyle w:val="2"/>
        <w:ind w:left="0"/>
      </w:pPr>
      <w:r>
        <w:rPr>
          <w:rFonts w:hint="eastAsia"/>
        </w:rPr>
        <w:br w:type="page"/>
      </w:r>
    </w:p>
    <w:p>
      <w:pPr>
        <w:pStyle w:val="5"/>
        <w:numPr>
          <w:ilvl w:val="0"/>
          <w:numId w:val="12"/>
        </w:numPr>
        <w:jc w:val="center"/>
      </w:pPr>
      <w:r>
        <w:rPr>
          <w:rFonts w:hint="eastAsia"/>
        </w:rPr>
        <w:t>供货实施方案及保障措施</w:t>
      </w:r>
    </w:p>
    <w:p>
      <w:pPr>
        <w:pStyle w:val="2"/>
      </w:pPr>
      <w:r>
        <w:t>□投标人应根据自身情况，介绍保证按合同要求及时供应本次招标采购标的相应措施。</w:t>
      </w:r>
    </w:p>
    <w:p>
      <w:pPr>
        <w:pStyle w:val="2"/>
      </w:pPr>
      <w:r>
        <w:t>□分析本次招标采购标的难点因素及解决办法。</w:t>
      </w:r>
    </w:p>
    <w:p>
      <w:pPr>
        <w:pStyle w:val="2"/>
      </w:pPr>
      <w:r>
        <w:t>□其他：______。</w:t>
      </w:r>
    </w:p>
    <w:p>
      <w:r>
        <w:br w:type="page"/>
      </w:r>
    </w:p>
    <w:p>
      <w:pPr>
        <w:pStyle w:val="5"/>
        <w:numPr>
          <w:ilvl w:val="0"/>
          <w:numId w:val="12"/>
        </w:numPr>
        <w:jc w:val="center"/>
      </w:pPr>
      <w:r>
        <w:rPr>
          <w:rFonts w:hint="eastAsia"/>
        </w:rPr>
        <w:t>投标报价</w:t>
      </w:r>
    </w:p>
    <w:p>
      <w:pPr>
        <w:pStyle w:val="2"/>
      </w:pPr>
      <w:r>
        <w:t>注：投标人的投标报价须满足招标文件相应要求。</w:t>
      </w:r>
    </w:p>
    <w:p>
      <w:r>
        <w:br w:type="page"/>
      </w:r>
    </w:p>
    <w:p>
      <w:pPr>
        <w:pStyle w:val="5"/>
        <w:numPr>
          <w:ilvl w:val="0"/>
          <w:numId w:val="12"/>
        </w:numPr>
        <w:jc w:val="center"/>
      </w:pPr>
      <w:r>
        <w:t>其他资料</w:t>
      </w:r>
    </w:p>
    <w:p/>
    <w:p>
      <w:pPr>
        <w:pStyle w:val="2"/>
      </w:pPr>
      <w:r>
        <w:t>1、投标人认为有必要提供的其他资料。</w:t>
      </w:r>
    </w:p>
    <w:p>
      <w:pPr>
        <w:pStyle w:val="2"/>
      </w:pPr>
      <w:r>
        <w:t>□2、</w:t>
      </w:r>
      <w:r>
        <w:rPr>
          <w:u w:val="single"/>
        </w:rPr>
        <w:t xml:space="preserve">                                 </w:t>
      </w:r>
      <w:r>
        <w:t xml:space="preserve"> 。</w:t>
      </w:r>
    </w:p>
    <w:p>
      <w:r>
        <w:br w:type="page"/>
      </w:r>
    </w:p>
    <w:p>
      <w:pPr>
        <w:pStyle w:val="5"/>
      </w:pPr>
      <w:r>
        <w:t>□招标文件附件（现场开标适用）</w:t>
      </w:r>
    </w:p>
    <w:p>
      <w:pPr>
        <w:pStyle w:val="2"/>
        <w:ind w:left="0"/>
      </w:pPr>
      <w:r>
        <w:t>附件一：</w:t>
      </w:r>
    </w:p>
    <w:p>
      <w:pPr>
        <w:pStyle w:val="6"/>
        <w:jc w:val="center"/>
        <w:rPr>
          <w:b/>
          <w:bCs/>
        </w:rPr>
      </w:pPr>
      <w:r>
        <w:rPr>
          <w:b/>
          <w:bCs/>
        </w:rPr>
        <w:t>授权委托书（非联合体）</w:t>
      </w:r>
    </w:p>
    <w:p/>
    <w:p>
      <w:pPr>
        <w:ind w:left="376" w:leftChars="171" w:firstLine="440" w:firstLineChars="200"/>
        <w:jc w:val="both"/>
        <w:rPr>
          <w:rFonts w:ascii="宋体" w:hAnsi="宋体"/>
          <w:szCs w:val="22"/>
        </w:rPr>
      </w:pPr>
      <w:r>
        <w:rPr>
          <w:rFonts w:hint="eastAsia" w:ascii="宋体" w:hAnsi="宋体"/>
          <w:szCs w:val="22"/>
        </w:rPr>
        <w:t>本人系</w:t>
      </w:r>
      <w:r>
        <w:rPr>
          <w:rFonts w:hint="eastAsia" w:ascii="宋体" w:hAnsi="宋体"/>
          <w:szCs w:val="22"/>
          <w:u w:val="single"/>
        </w:rPr>
        <w:t xml:space="preserve">        </w:t>
      </w:r>
      <w:r>
        <w:rPr>
          <w:rFonts w:hint="eastAsia" w:ascii="宋体" w:hAnsi="宋体"/>
          <w:szCs w:val="22"/>
        </w:rPr>
        <w:t>（投标人名称）的法定代表人，现委托本单位人员</w:t>
      </w:r>
      <w:r>
        <w:rPr>
          <w:rFonts w:hint="eastAsia" w:ascii="宋体" w:hAnsi="宋体"/>
          <w:szCs w:val="22"/>
          <w:u w:val="single"/>
        </w:rPr>
        <w:t xml:space="preserve">         </w:t>
      </w:r>
      <w:r>
        <w:rPr>
          <w:rFonts w:hint="eastAsia" w:ascii="宋体" w:hAnsi="宋体"/>
          <w:szCs w:val="22"/>
        </w:rPr>
        <w:t>为我方代理人。代理人根据授权，在本项目招标、投标、评标、合同签署等活动过程中所签署的一切文件和处理与之有关的一切事务（向有关行政监督部门投诉另行授权），其法律后果由我方承担。</w:t>
      </w:r>
    </w:p>
    <w:p>
      <w:pPr>
        <w:ind w:left="376" w:leftChars="171" w:firstLine="440" w:firstLineChars="200"/>
        <w:jc w:val="both"/>
        <w:rPr>
          <w:rFonts w:ascii="宋体" w:hAnsi="宋体"/>
          <w:szCs w:val="22"/>
        </w:rPr>
      </w:pPr>
      <w:r>
        <w:rPr>
          <w:rFonts w:hint="eastAsia" w:ascii="宋体" w:hAnsi="宋体"/>
          <w:szCs w:val="22"/>
        </w:rPr>
        <w:t>委托期限：</w:t>
      </w:r>
      <w:r>
        <w:rPr>
          <w:rFonts w:hint="eastAsia" w:ascii="宋体" w:hAnsi="宋体"/>
          <w:szCs w:val="22"/>
          <w:u w:val="single"/>
        </w:rPr>
        <w:t>自本授权委托书签署之日起至第二章“投标人须知”前附表</w:t>
      </w:r>
      <w:r>
        <w:rPr>
          <w:rFonts w:ascii="宋体" w:hAnsi="宋体"/>
          <w:szCs w:val="22"/>
          <w:u w:val="single"/>
        </w:rPr>
        <w:t>3.3.1</w:t>
      </w:r>
      <w:r>
        <w:rPr>
          <w:rFonts w:hint="eastAsia" w:ascii="宋体" w:hAnsi="宋体"/>
          <w:szCs w:val="22"/>
          <w:u w:val="single"/>
        </w:rPr>
        <w:t xml:space="preserve">规定的“投标有效期”结束为止。  </w:t>
      </w:r>
    </w:p>
    <w:p>
      <w:pPr>
        <w:ind w:left="376" w:leftChars="171" w:firstLine="440" w:firstLineChars="200"/>
        <w:jc w:val="both"/>
        <w:rPr>
          <w:rFonts w:ascii="宋体" w:hAnsi="宋体"/>
          <w:szCs w:val="22"/>
        </w:rPr>
      </w:pPr>
      <w:r>
        <w:rPr>
          <w:rFonts w:hint="eastAsia" w:ascii="宋体" w:hAnsi="宋体"/>
          <w:szCs w:val="22"/>
        </w:rPr>
        <w:t>代理人无转委托权。</w:t>
      </w: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r>
        <w:rPr>
          <w:rFonts w:hint="eastAsia" w:ascii="宋体" w:hAnsi="宋体"/>
          <w:szCs w:val="22"/>
        </w:rPr>
        <w:t>附：委托代理人身份证（正反面）复印件或扫描件。</w:t>
      </w: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p>
    <w:p>
      <w:pPr>
        <w:ind w:firstLine="4400" w:firstLineChars="2000"/>
        <w:jc w:val="both"/>
        <w:rPr>
          <w:rFonts w:ascii="宋体" w:hAnsi="宋体"/>
          <w:szCs w:val="22"/>
        </w:rPr>
      </w:pPr>
      <w:r>
        <w:rPr>
          <w:rFonts w:hint="eastAsia" w:ascii="宋体" w:hAnsi="宋体"/>
          <w:szCs w:val="22"/>
        </w:rPr>
        <w:t>投标人：</w:t>
      </w:r>
      <w:r>
        <w:rPr>
          <w:rFonts w:hint="eastAsia" w:ascii="宋体" w:hAnsi="宋体"/>
          <w:szCs w:val="22"/>
          <w:u w:val="single"/>
        </w:rPr>
        <w:t xml:space="preserve">             </w:t>
      </w:r>
      <w:r>
        <w:rPr>
          <w:rFonts w:hint="eastAsia" w:ascii="宋体" w:hAnsi="宋体"/>
          <w:szCs w:val="22"/>
        </w:rPr>
        <w:t>（盖单位章）</w:t>
      </w:r>
    </w:p>
    <w:p>
      <w:pPr>
        <w:ind w:firstLine="4400" w:firstLineChars="2000"/>
        <w:jc w:val="both"/>
        <w:rPr>
          <w:rFonts w:ascii="宋体" w:hAnsi="宋体"/>
          <w:szCs w:val="22"/>
        </w:rPr>
      </w:pPr>
      <w:r>
        <w:rPr>
          <w:rFonts w:hint="eastAsia" w:ascii="宋体" w:hAnsi="宋体"/>
          <w:szCs w:val="22"/>
        </w:rPr>
        <w:t>法定代表人：</w:t>
      </w:r>
      <w:r>
        <w:rPr>
          <w:rFonts w:hint="eastAsia" w:ascii="宋体" w:hAnsi="宋体"/>
          <w:szCs w:val="22"/>
          <w:u w:val="single"/>
        </w:rPr>
        <w:t xml:space="preserve">          </w:t>
      </w:r>
      <w:r>
        <w:rPr>
          <w:rFonts w:hint="eastAsia" w:ascii="宋体" w:hAnsi="宋体"/>
          <w:szCs w:val="22"/>
        </w:rPr>
        <w:t>（签字或盖章）</w:t>
      </w:r>
    </w:p>
    <w:p>
      <w:pPr>
        <w:ind w:firstLine="4400" w:firstLineChars="2000"/>
        <w:jc w:val="both"/>
        <w:rPr>
          <w:rFonts w:ascii="宋体" w:hAnsi="宋体"/>
          <w:szCs w:val="22"/>
        </w:rPr>
      </w:pPr>
      <w:r>
        <w:rPr>
          <w:rFonts w:hint="eastAsia" w:ascii="宋体" w:hAnsi="宋体"/>
          <w:szCs w:val="22"/>
        </w:rPr>
        <w:t>委托代理人：</w:t>
      </w:r>
      <w:r>
        <w:rPr>
          <w:rFonts w:hint="eastAsia" w:ascii="宋体" w:hAnsi="宋体"/>
          <w:szCs w:val="22"/>
          <w:u w:val="single"/>
        </w:rPr>
        <w:t xml:space="preserve">          </w:t>
      </w:r>
      <w:r>
        <w:rPr>
          <w:rFonts w:hint="eastAsia" w:ascii="宋体" w:hAnsi="宋体"/>
          <w:szCs w:val="22"/>
        </w:rPr>
        <w:t>（签字）</w:t>
      </w:r>
    </w:p>
    <w:p>
      <w:pPr>
        <w:ind w:left="376" w:leftChars="171" w:firstLine="5610" w:firstLineChars="2550"/>
        <w:jc w:val="both"/>
        <w:rPr>
          <w:rFonts w:ascii="宋体" w:hAnsi="宋体"/>
          <w:szCs w:val="22"/>
        </w:rPr>
      </w:pPr>
    </w:p>
    <w:p>
      <w:pPr>
        <w:ind w:left="376" w:leftChars="171" w:right="560" w:firstLine="4400" w:firstLineChars="2000"/>
        <w:rPr>
          <w:rFonts w:ascii="宋体" w:hAnsi="宋体"/>
          <w:szCs w:val="22"/>
        </w:rPr>
      </w:pPr>
      <w:r>
        <w:rPr>
          <w:rFonts w:hint="eastAsia" w:ascii="宋体" w:hAnsi="宋体"/>
          <w:szCs w:val="22"/>
          <w:u w:val="single"/>
        </w:rPr>
        <w:t xml:space="preserve">      </w:t>
      </w:r>
      <w:r>
        <w:rPr>
          <w:rFonts w:hint="eastAsia" w:ascii="宋体" w:hAnsi="宋体"/>
          <w:szCs w:val="22"/>
        </w:rPr>
        <w:t>年</w:t>
      </w:r>
      <w:r>
        <w:rPr>
          <w:rFonts w:hint="eastAsia" w:ascii="宋体" w:hAnsi="宋体"/>
          <w:szCs w:val="22"/>
          <w:u w:val="single"/>
        </w:rPr>
        <w:t xml:space="preserve">        </w:t>
      </w:r>
      <w:r>
        <w:rPr>
          <w:rFonts w:hint="eastAsia" w:ascii="宋体" w:hAnsi="宋体"/>
          <w:szCs w:val="22"/>
        </w:rPr>
        <w:t>月</w:t>
      </w:r>
      <w:r>
        <w:rPr>
          <w:rFonts w:hint="eastAsia" w:ascii="宋体" w:hAnsi="宋体"/>
          <w:szCs w:val="22"/>
          <w:u w:val="single"/>
        </w:rPr>
        <w:t xml:space="preserve">      </w:t>
      </w:r>
      <w:r>
        <w:rPr>
          <w:rFonts w:hint="eastAsia" w:ascii="宋体" w:hAnsi="宋体"/>
          <w:szCs w:val="22"/>
        </w:rPr>
        <w:t>日</w:t>
      </w:r>
    </w:p>
    <w:p>
      <w:pPr>
        <w:ind w:left="376" w:leftChars="171" w:firstLine="5280" w:firstLineChars="2400"/>
        <w:jc w:val="both"/>
        <w:rPr>
          <w:rFonts w:ascii="宋体" w:hAnsi="宋体"/>
          <w:szCs w:val="22"/>
        </w:rPr>
      </w:pPr>
    </w:p>
    <w:p>
      <w:pPr>
        <w:ind w:left="376" w:leftChars="171"/>
        <w:jc w:val="both"/>
        <w:rPr>
          <w:rFonts w:ascii="宋体" w:hAnsi="宋体"/>
          <w:szCs w:val="22"/>
        </w:rPr>
      </w:pPr>
      <w:r>
        <w:rPr>
          <w:rFonts w:hint="eastAsia" w:ascii="宋体" w:hAnsi="宋体"/>
          <w:szCs w:val="22"/>
        </w:rPr>
        <w:t>注：</w:t>
      </w:r>
      <w:r>
        <w:rPr>
          <w:rFonts w:ascii="宋体" w:hAnsi="宋体"/>
          <w:szCs w:val="22"/>
        </w:rPr>
        <w:t xml:space="preserve"> </w:t>
      </w:r>
    </w:p>
    <w:p>
      <w:pPr>
        <w:ind w:firstLine="770" w:firstLineChars="350"/>
        <w:jc w:val="both"/>
        <w:rPr>
          <w:rFonts w:ascii="宋体" w:hAnsi="宋体"/>
          <w:szCs w:val="22"/>
        </w:rPr>
      </w:pPr>
      <w:r>
        <w:rPr>
          <w:rFonts w:hint="eastAsia" w:ascii="宋体" w:hAnsi="宋体"/>
          <w:szCs w:val="22"/>
        </w:rPr>
        <w:t>委托代理人应在开标时向招标人单独递交授权委托书原件。</w:t>
      </w:r>
    </w:p>
    <w:p>
      <w:pPr>
        <w:rPr>
          <w:rFonts w:ascii="宋体" w:hAnsi="宋体"/>
          <w:szCs w:val="22"/>
        </w:rPr>
      </w:pPr>
      <w:r>
        <w:rPr>
          <w:rFonts w:hint="eastAsia" w:ascii="宋体" w:hAnsi="宋体"/>
          <w:szCs w:val="22"/>
        </w:rPr>
        <w:br w:type="page"/>
      </w:r>
    </w:p>
    <w:p>
      <w:pPr>
        <w:pStyle w:val="2"/>
        <w:ind w:left="0"/>
      </w:pPr>
      <w:r>
        <w:rPr>
          <w:rFonts w:hint="eastAsia"/>
        </w:rPr>
        <w:t>附件二：</w:t>
      </w:r>
    </w:p>
    <w:p>
      <w:pPr>
        <w:pStyle w:val="6"/>
        <w:jc w:val="center"/>
        <w:rPr>
          <w:b/>
          <w:bCs/>
        </w:rPr>
      </w:pPr>
      <w:r>
        <w:rPr>
          <w:rFonts w:hint="eastAsia"/>
          <w:b/>
          <w:bCs/>
        </w:rPr>
        <w:t>授权委托书（联合体）</w:t>
      </w:r>
    </w:p>
    <w:p/>
    <w:p>
      <w:pPr>
        <w:tabs>
          <w:tab w:val="left" w:pos="0"/>
          <w:tab w:val="left" w:pos="1134"/>
          <w:tab w:val="left" w:pos="1843"/>
        </w:tabs>
        <w:autoSpaceDE w:val="0"/>
        <w:autoSpaceDN w:val="0"/>
        <w:ind w:right="2" w:rightChars="1" w:firstLine="440" w:firstLineChars="200"/>
        <w:jc w:val="both"/>
        <w:textAlignment w:val="bottom"/>
        <w:rPr>
          <w:rFonts w:ascii="宋体" w:hAnsi="宋体"/>
          <w:szCs w:val="22"/>
        </w:rPr>
      </w:pPr>
      <w:r>
        <w:rPr>
          <w:rFonts w:hint="eastAsia" w:ascii="宋体" w:hAnsi="宋体"/>
          <w:szCs w:val="22"/>
        </w:rPr>
        <w:t>本授权委托书声明：我</w:t>
      </w:r>
      <w:r>
        <w:rPr>
          <w:rFonts w:ascii="宋体" w:hAnsi="宋体"/>
          <w:szCs w:val="22"/>
          <w:u w:val="single"/>
        </w:rPr>
        <w:t xml:space="preserve">  </w:t>
      </w:r>
      <w:r>
        <w:rPr>
          <w:rFonts w:hint="eastAsia" w:ascii="宋体" w:hAnsi="宋体"/>
          <w:b/>
          <w:szCs w:val="22"/>
          <w:u w:val="single"/>
        </w:rPr>
        <w:t xml:space="preserve">   </w:t>
      </w:r>
      <w:r>
        <w:rPr>
          <w:rFonts w:ascii="宋体" w:hAnsi="宋体"/>
          <w:szCs w:val="22"/>
          <w:u w:val="single"/>
        </w:rPr>
        <w:t xml:space="preserve"> </w:t>
      </w:r>
      <w:r>
        <w:rPr>
          <w:rFonts w:hint="eastAsia" w:ascii="宋体" w:hAnsi="宋体"/>
          <w:szCs w:val="22"/>
        </w:rPr>
        <w:t>（姓名）系</w:t>
      </w:r>
      <w:r>
        <w:rPr>
          <w:rFonts w:ascii="宋体" w:hAnsi="宋体"/>
          <w:szCs w:val="22"/>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(联合体牵头人)的法定代表人，我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hint="eastAsia" w:ascii="宋体" w:hAnsi="宋体"/>
          <w:szCs w:val="22"/>
        </w:rPr>
        <w:t>联合体其他成员一名称)的法定代表人，我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(联合体其他成员二名称)的法定代表人，我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hint="eastAsia" w:ascii="宋体" w:hAnsi="宋体"/>
          <w:szCs w:val="22"/>
        </w:rPr>
        <w:t>联合体其他成员三名称)的法定代表人，现共同授权委托</w:t>
      </w:r>
      <w:r>
        <w:rPr>
          <w:rFonts w:ascii="宋体" w:hAnsi="宋体"/>
          <w:szCs w:val="22"/>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(联合体牵头人)的</w:t>
      </w:r>
      <w:r>
        <w:rPr>
          <w:rFonts w:ascii="宋体" w:hAnsi="宋体"/>
          <w:szCs w:val="22"/>
          <w:u w:val="single"/>
        </w:rPr>
        <w:t xml:space="preserve"> </w:t>
      </w:r>
      <w:r>
        <w:rPr>
          <w:rFonts w:hint="eastAsia" w:ascii="宋体" w:hAnsi="宋体"/>
          <w:szCs w:val="22"/>
          <w:u w:val="single"/>
        </w:rPr>
        <w:t xml:space="preserve">     </w:t>
      </w:r>
      <w:r>
        <w:rPr>
          <w:rFonts w:hint="eastAsia" w:ascii="宋体" w:hAnsi="宋体"/>
          <w:b/>
          <w:szCs w:val="22"/>
          <w:u w:val="single"/>
        </w:rPr>
        <w:t xml:space="preserve"> </w:t>
      </w:r>
      <w:r>
        <w:rPr>
          <w:rFonts w:hint="eastAsia" w:ascii="宋体" w:hAnsi="宋体"/>
          <w:szCs w:val="22"/>
        </w:rPr>
        <w:t>(委托代理人)为我们所组成投标联合体参加</w:t>
      </w:r>
      <w:r>
        <w:rPr>
          <w:rFonts w:hint="eastAsia" w:ascii="宋体" w:hAnsi="宋体"/>
          <w:szCs w:val="22"/>
          <w:u w:val="single"/>
        </w:rPr>
        <w:t xml:space="preserve">     (项目名称)  </w:t>
      </w:r>
      <w:r>
        <w:rPr>
          <w:rFonts w:hint="eastAsia" w:ascii="宋体" w:hAnsi="宋体"/>
          <w:szCs w:val="22"/>
        </w:rPr>
        <w:t>投标的委托代理人。委托代理人在本项目招标、投标、评标、合同签署等活动过程中所签署的一切文件和处理与之有关的一切事务（向有关行政监督部门投诉另行授权），均为代表本联合体的行为，本联合体将承担委托代理人行为的一切法律责任和后果。</w:t>
      </w:r>
    </w:p>
    <w:p>
      <w:pPr>
        <w:ind w:firstLine="440" w:firstLineChars="200"/>
        <w:jc w:val="both"/>
        <w:rPr>
          <w:rFonts w:ascii="宋体" w:hAnsi="宋体"/>
          <w:szCs w:val="22"/>
        </w:rPr>
      </w:pPr>
      <w:r>
        <w:rPr>
          <w:rFonts w:hint="eastAsia" w:ascii="宋体" w:hAnsi="宋体"/>
          <w:szCs w:val="22"/>
        </w:rPr>
        <w:t>委托期限：</w:t>
      </w:r>
      <w:r>
        <w:rPr>
          <w:rFonts w:hint="eastAsia" w:ascii="宋体" w:hAnsi="宋体"/>
          <w:szCs w:val="22"/>
          <w:u w:val="single"/>
        </w:rPr>
        <w:t>自本授权委托书签署之日起至招标文件约定的“投标有效期”结束为止</w:t>
      </w:r>
      <w:r>
        <w:rPr>
          <w:rFonts w:hint="eastAsia" w:ascii="宋体" w:hAnsi="宋体"/>
          <w:b/>
          <w:szCs w:val="22"/>
          <w:u w:val="single"/>
        </w:rPr>
        <w:t>。</w:t>
      </w:r>
    </w:p>
    <w:p>
      <w:pPr>
        <w:tabs>
          <w:tab w:val="left" w:pos="0"/>
          <w:tab w:val="left" w:pos="1134"/>
          <w:tab w:val="left" w:pos="1843"/>
        </w:tabs>
        <w:autoSpaceDE w:val="0"/>
        <w:autoSpaceDN w:val="0"/>
        <w:ind w:right="2" w:rightChars="1" w:firstLine="440" w:firstLineChars="200"/>
        <w:jc w:val="both"/>
        <w:textAlignment w:val="bottom"/>
        <w:rPr>
          <w:rFonts w:ascii="宋体" w:hAnsi="宋体"/>
          <w:szCs w:val="22"/>
        </w:rPr>
      </w:pPr>
      <w:r>
        <w:rPr>
          <w:rFonts w:hint="eastAsia" w:ascii="宋体" w:hAnsi="宋体"/>
          <w:szCs w:val="22"/>
        </w:rPr>
        <w:t>委托代理人无转委托权。</w:t>
      </w:r>
    </w:p>
    <w:p>
      <w:pPr>
        <w:tabs>
          <w:tab w:val="left" w:pos="0"/>
          <w:tab w:val="left" w:pos="1134"/>
          <w:tab w:val="left" w:pos="1843"/>
        </w:tabs>
        <w:autoSpaceDE w:val="0"/>
        <w:autoSpaceDN w:val="0"/>
        <w:adjustRightInd w:val="0"/>
        <w:spacing w:before="60" w:after="60"/>
        <w:ind w:right="2" w:rightChars="1"/>
        <w:jc w:val="both"/>
        <w:textAlignment w:val="bottom"/>
        <w:rPr>
          <w:rFonts w:ascii="宋体" w:hAnsi="宋体"/>
          <w:szCs w:val="22"/>
        </w:rPr>
      </w:pPr>
      <w:r>
        <w:rPr>
          <w:rFonts w:hint="eastAsia" w:ascii="宋体" w:hAnsi="宋体"/>
          <w:szCs w:val="22"/>
        </w:rPr>
        <w:t>附：法定代表人身份证（正反面）复印件或扫描件、委托代理人身份证（正反面）复印件或扫描件。</w:t>
      </w:r>
    </w:p>
    <w:p>
      <w:pPr>
        <w:tabs>
          <w:tab w:val="left" w:pos="0"/>
          <w:tab w:val="left" w:pos="1134"/>
          <w:tab w:val="left" w:pos="1843"/>
        </w:tabs>
        <w:autoSpaceDE w:val="0"/>
        <w:autoSpaceDN w:val="0"/>
        <w:adjustRightInd w:val="0"/>
        <w:spacing w:before="60" w:after="60"/>
        <w:ind w:left="440" w:leftChars="200" w:right="2" w:rightChars="1" w:firstLine="5610" w:firstLineChars="2550"/>
        <w:jc w:val="both"/>
        <w:textAlignment w:val="bottom"/>
        <w:rPr>
          <w:rFonts w:ascii="宋体" w:hAnsi="宋体"/>
          <w:szCs w:val="22"/>
        </w:rPr>
      </w:pPr>
      <w:r>
        <w:rPr>
          <w:rFonts w:hint="eastAsia" w:ascii="宋体" w:hAnsi="宋体"/>
          <w:szCs w:val="22"/>
        </w:rPr>
        <w:t>委托代理人姓名：</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p>
    <w:p>
      <w:pPr>
        <w:tabs>
          <w:tab w:val="left" w:pos="0"/>
          <w:tab w:val="left" w:pos="1134"/>
          <w:tab w:val="left" w:pos="1843"/>
        </w:tabs>
        <w:autoSpaceDE w:val="0"/>
        <w:autoSpaceDN w:val="0"/>
        <w:ind w:right="2" w:rightChars="1" w:firstLine="5280" w:firstLineChars="2400"/>
        <w:jc w:val="both"/>
        <w:textAlignment w:val="bottom"/>
        <w:rPr>
          <w:rFonts w:ascii="宋体" w:hAnsi="宋体"/>
          <w:szCs w:val="22"/>
        </w:rPr>
      </w:pPr>
      <w:r>
        <w:rPr>
          <w:rFonts w:hint="eastAsia" w:ascii="宋体" w:hAnsi="宋体"/>
          <w:szCs w:val="22"/>
        </w:rPr>
        <w:t>委托代理人：</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(签字)</w:t>
      </w:r>
      <w:r>
        <w:rPr>
          <w:rFonts w:ascii="宋体" w:hAnsi="宋体"/>
          <w:szCs w:val="22"/>
        </w:rPr>
        <w:t xml:space="preserve"> </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u w:val="single"/>
        </w:rPr>
      </w:pPr>
      <w:r>
        <w:rPr>
          <w:rFonts w:hint="eastAsia" w:ascii="宋体" w:hAnsi="宋体"/>
          <w:szCs w:val="22"/>
        </w:rPr>
        <w:t>联合体牵头人：</w:t>
      </w:r>
      <w:r>
        <w:rPr>
          <w:rFonts w:ascii="宋体" w:hAnsi="宋体"/>
          <w:szCs w:val="22"/>
          <w:u w:val="single"/>
        </w:rPr>
        <w:t xml:space="preserve">   </w:t>
      </w:r>
      <w:r>
        <w:rPr>
          <w:rFonts w:hint="eastAsia" w:ascii="宋体" w:hAnsi="宋体"/>
          <w:b/>
          <w:szCs w:val="22"/>
          <w:u w:val="single"/>
        </w:rPr>
        <w:t xml:space="preserve">             </w:t>
      </w:r>
      <w:r>
        <w:rPr>
          <w:rFonts w:hint="eastAsia" w:ascii="宋体" w:hAnsi="宋体"/>
          <w:szCs w:val="22"/>
          <w:u w:val="single"/>
        </w:rPr>
        <w:t>(盖单位章)</w:t>
      </w:r>
    </w:p>
    <w:p>
      <w:pPr>
        <w:tabs>
          <w:tab w:val="left" w:pos="0"/>
          <w:tab w:val="left" w:pos="1134"/>
          <w:tab w:val="left" w:pos="1843"/>
        </w:tabs>
        <w:autoSpaceDE w:val="0"/>
        <w:autoSpaceDN w:val="0"/>
        <w:ind w:left="444" w:leftChars="202" w:right="2" w:rightChars="1"/>
        <w:jc w:val="right"/>
        <w:textAlignment w:val="bottom"/>
        <w:rPr>
          <w:rFonts w:ascii="宋体" w:hAnsi="宋体"/>
          <w:szCs w:val="22"/>
        </w:rPr>
      </w:pPr>
      <w:r>
        <w:rPr>
          <w:rFonts w:hint="eastAsia" w:ascii="宋体" w:hAnsi="宋体"/>
          <w:szCs w:val="22"/>
        </w:rPr>
        <w:t>法定代表人：</w:t>
      </w:r>
      <w:r>
        <w:rPr>
          <w:rFonts w:ascii="宋体" w:hAnsi="宋体"/>
          <w:szCs w:val="22"/>
          <w:u w:val="single"/>
        </w:rPr>
        <w:t xml:space="preserve">                </w:t>
      </w:r>
      <w:r>
        <w:rPr>
          <w:rFonts w:hint="eastAsia" w:ascii="宋体" w:hAnsi="宋体"/>
          <w:szCs w:val="22"/>
          <w:u w:val="single"/>
        </w:rPr>
        <w:t>(签字或盖章)</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rPr>
      </w:pPr>
      <w:r>
        <w:rPr>
          <w:rFonts w:hint="eastAsia" w:ascii="宋体" w:hAnsi="宋体"/>
          <w:szCs w:val="22"/>
        </w:rPr>
        <w:t>联合体其他成员单位一名称</w:t>
      </w:r>
      <w:r>
        <w:rPr>
          <w:rFonts w:hint="eastAsia" w:ascii="宋体" w:hAnsi="宋体"/>
          <w:b/>
          <w:szCs w:val="22"/>
          <w:u w:val="single"/>
        </w:rPr>
        <w:t xml:space="preserve">：                </w:t>
      </w:r>
      <w:r>
        <w:rPr>
          <w:rFonts w:hint="eastAsia" w:ascii="宋体" w:hAnsi="宋体"/>
          <w:szCs w:val="22"/>
          <w:u w:val="single"/>
        </w:rPr>
        <w:t>(盖单位章)</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rPr>
      </w:pPr>
      <w:r>
        <w:rPr>
          <w:rFonts w:hint="eastAsia" w:ascii="宋体" w:hAnsi="宋体"/>
          <w:szCs w:val="22"/>
        </w:rPr>
        <w:t>法定代表人：</w:t>
      </w:r>
      <w:r>
        <w:rPr>
          <w:rFonts w:ascii="宋体" w:hAnsi="宋体"/>
          <w:szCs w:val="22"/>
        </w:rPr>
        <w:t xml:space="preserve"> </w:t>
      </w:r>
      <w:r>
        <w:rPr>
          <w:rFonts w:ascii="宋体" w:hAnsi="宋体"/>
          <w:szCs w:val="22"/>
          <w:u w:val="single"/>
        </w:rPr>
        <w:tab/>
      </w:r>
      <w:r>
        <w:rPr>
          <w:rFonts w:ascii="宋体" w:hAnsi="宋体"/>
          <w:szCs w:val="22"/>
          <w:u w:val="single"/>
        </w:rPr>
        <w:t xml:space="preserve">             </w:t>
      </w:r>
      <w:r>
        <w:rPr>
          <w:rFonts w:hint="eastAsia" w:ascii="宋体" w:hAnsi="宋体"/>
          <w:szCs w:val="22"/>
          <w:u w:val="single"/>
        </w:rPr>
        <w:t>(签字或盖章)</w:t>
      </w:r>
      <w:r>
        <w:rPr>
          <w:rFonts w:ascii="宋体" w:hAnsi="宋体"/>
          <w:szCs w:val="22"/>
          <w:u w:val="single"/>
        </w:rPr>
        <w:t xml:space="preserve">  </w:t>
      </w:r>
    </w:p>
    <w:p>
      <w:pPr>
        <w:tabs>
          <w:tab w:val="left" w:pos="0"/>
          <w:tab w:val="left" w:pos="1134"/>
          <w:tab w:val="left" w:pos="1843"/>
        </w:tabs>
        <w:autoSpaceDE w:val="0"/>
        <w:autoSpaceDN w:val="0"/>
        <w:ind w:left="2" w:leftChars="1" w:right="2" w:rightChars="1" w:firstLine="440" w:firstLineChars="200"/>
        <w:jc w:val="right"/>
        <w:textAlignment w:val="bottom"/>
        <w:rPr>
          <w:rFonts w:ascii="宋体" w:hAnsi="宋体"/>
          <w:szCs w:val="22"/>
        </w:rPr>
      </w:pPr>
      <w:r>
        <w:rPr>
          <w:rFonts w:hint="eastAsia" w:ascii="宋体" w:hAnsi="宋体"/>
          <w:szCs w:val="22"/>
        </w:rPr>
        <w:t>联合体其他成员单位二名称</w:t>
      </w:r>
      <w:r>
        <w:rPr>
          <w:rFonts w:hint="eastAsia" w:ascii="宋体" w:hAnsi="宋体"/>
          <w:b/>
          <w:szCs w:val="22"/>
          <w:u w:val="single"/>
        </w:rPr>
        <w:t xml:space="preserve">：             </w:t>
      </w:r>
      <w:r>
        <w:rPr>
          <w:rFonts w:hint="eastAsia" w:ascii="宋体" w:hAnsi="宋体"/>
          <w:szCs w:val="22"/>
          <w:u w:val="single"/>
        </w:rPr>
        <w:t xml:space="preserve">   (盖单位章)</w:t>
      </w:r>
    </w:p>
    <w:p>
      <w:pPr>
        <w:tabs>
          <w:tab w:val="left" w:pos="0"/>
          <w:tab w:val="left" w:pos="1134"/>
          <w:tab w:val="left" w:pos="1843"/>
        </w:tabs>
        <w:autoSpaceDE w:val="0"/>
        <w:autoSpaceDN w:val="0"/>
        <w:ind w:left="2" w:leftChars="1" w:right="2" w:rightChars="1" w:firstLine="440" w:firstLineChars="200"/>
        <w:jc w:val="right"/>
        <w:textAlignment w:val="bottom"/>
        <w:rPr>
          <w:rFonts w:ascii="宋体" w:hAnsi="宋体"/>
          <w:szCs w:val="22"/>
          <w:u w:val="single"/>
        </w:rPr>
      </w:pPr>
      <w:r>
        <w:rPr>
          <w:rFonts w:hint="eastAsia" w:ascii="宋体" w:hAnsi="宋体"/>
          <w:szCs w:val="22"/>
        </w:rPr>
        <w:t>法定代表人：</w:t>
      </w:r>
      <w:r>
        <w:rPr>
          <w:rFonts w:ascii="宋体" w:hAnsi="宋体"/>
          <w:szCs w:val="22"/>
        </w:rPr>
        <w:t xml:space="preserve"> </w:t>
      </w:r>
      <w:r>
        <w:rPr>
          <w:rFonts w:ascii="宋体" w:hAnsi="宋体"/>
          <w:szCs w:val="22"/>
          <w:u w:val="single"/>
        </w:rPr>
        <w:tab/>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(签字或盖章)</w:t>
      </w:r>
    </w:p>
    <w:p>
      <w:pPr>
        <w:tabs>
          <w:tab w:val="left" w:pos="0"/>
          <w:tab w:val="left" w:pos="1134"/>
          <w:tab w:val="left" w:pos="1843"/>
        </w:tabs>
        <w:autoSpaceDE w:val="0"/>
        <w:autoSpaceDN w:val="0"/>
        <w:ind w:left="2" w:leftChars="1" w:right="2" w:rightChars="1" w:firstLine="440" w:firstLineChars="200"/>
        <w:jc w:val="center"/>
        <w:textAlignment w:val="bottom"/>
        <w:rPr>
          <w:rFonts w:ascii="宋体" w:hAnsi="宋体"/>
          <w:szCs w:val="22"/>
        </w:rPr>
      </w:pPr>
      <w:r>
        <w:rPr>
          <w:rFonts w:ascii="宋体" w:hAnsi="宋体"/>
          <w:szCs w:val="22"/>
        </w:rPr>
        <w:t>...</w:t>
      </w:r>
    </w:p>
    <w:p>
      <w:pPr>
        <w:pStyle w:val="2"/>
        <w:jc w:val="right"/>
        <w:rPr>
          <w:szCs w:val="22"/>
        </w:rPr>
      </w:pPr>
      <w:r>
        <w:rPr>
          <w:szCs w:val="22"/>
        </w:rPr>
        <w:t xml:space="preserve"> </w:t>
      </w:r>
      <w:r>
        <w:rPr>
          <w:rFonts w:hint="eastAsia"/>
          <w:szCs w:val="22"/>
        </w:rPr>
        <w:t xml:space="preserve">   </w:t>
      </w:r>
      <w:r>
        <w:rPr>
          <w:szCs w:val="22"/>
        </w:rPr>
        <w:t xml:space="preserve"> </w:t>
      </w:r>
      <w:r>
        <w:rPr>
          <w:rFonts w:hint="eastAsia"/>
          <w:szCs w:val="22"/>
        </w:rPr>
        <w:t xml:space="preserve">                                                   </w:t>
      </w:r>
      <w:r>
        <w:rPr>
          <w:rFonts w:hint="eastAsia"/>
          <w:szCs w:val="22"/>
          <w:u w:val="single"/>
        </w:rPr>
        <w:t xml:space="preserve">     </w:t>
      </w:r>
      <w:r>
        <w:rPr>
          <w:rFonts w:hint="eastAsia"/>
          <w:szCs w:val="22"/>
        </w:rPr>
        <w:t>年</w:t>
      </w:r>
      <w:r>
        <w:rPr>
          <w:rFonts w:hint="eastAsia"/>
          <w:szCs w:val="22"/>
          <w:u w:val="single"/>
        </w:rPr>
        <w:t xml:space="preserve">      </w:t>
      </w:r>
      <w:r>
        <w:rPr>
          <w:rFonts w:hint="eastAsia"/>
          <w:szCs w:val="22"/>
        </w:rPr>
        <w:t>月</w:t>
      </w:r>
      <w:r>
        <w:rPr>
          <w:rFonts w:hint="eastAsia"/>
          <w:szCs w:val="22"/>
          <w:u w:val="single"/>
        </w:rPr>
        <w:t xml:space="preserve">      </w:t>
      </w:r>
      <w:r>
        <w:rPr>
          <w:rFonts w:hint="eastAsia"/>
          <w:szCs w:val="22"/>
        </w:rPr>
        <w:t>日</w:t>
      </w:r>
    </w:p>
    <w:p>
      <w:pPr>
        <w:pStyle w:val="2"/>
      </w:pPr>
      <w:r>
        <w:rPr>
          <w:rFonts w:hint="eastAsia"/>
        </w:rPr>
        <w:t>注： 委托代理人应在开标时向招标人单独递交授权委托书原件（投标文件中不需附授权委托书）。</w:t>
      </w:r>
    </w:p>
    <w:p>
      <w:pPr>
        <w:pStyle w:val="2"/>
      </w:pPr>
    </w:p>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82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CCCABB"/>
    <w:multiLevelType w:val="multilevel"/>
    <w:tmpl w:val="9ACCCABB"/>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BA6A5ED5"/>
    <w:multiLevelType w:val="singleLevel"/>
    <w:tmpl w:val="BA6A5ED5"/>
    <w:lvl w:ilvl="0" w:tentative="0">
      <w:start w:val="1"/>
      <w:numFmt w:val="chineseCounting"/>
      <w:suff w:val="nothing"/>
      <w:lvlText w:val="（%1）"/>
      <w:lvlJc w:val="left"/>
      <w:rPr>
        <w:rFonts w:hint="eastAsia"/>
      </w:rPr>
    </w:lvl>
  </w:abstractNum>
  <w:abstractNum w:abstractNumId="2">
    <w:nsid w:val="E56E7EB8"/>
    <w:multiLevelType w:val="singleLevel"/>
    <w:tmpl w:val="E56E7EB8"/>
    <w:lvl w:ilvl="0" w:tentative="0">
      <w:start w:val="1"/>
      <w:numFmt w:val="decimal"/>
      <w:suff w:val="nothing"/>
      <w:lvlText w:val="（%1）"/>
      <w:lvlJc w:val="left"/>
      <w:pPr>
        <w:ind w:left="630" w:firstLine="0"/>
      </w:pPr>
    </w:lvl>
  </w:abstractNum>
  <w:abstractNum w:abstractNumId="3">
    <w:nsid w:val="0A5DAB46"/>
    <w:multiLevelType w:val="singleLevel"/>
    <w:tmpl w:val="0A5DAB46"/>
    <w:lvl w:ilvl="0" w:tentative="0">
      <w:start w:val="4"/>
      <w:numFmt w:val="chineseCounting"/>
      <w:suff w:val="space"/>
      <w:lvlText w:val="第%1章"/>
      <w:lvlJc w:val="left"/>
      <w:rPr>
        <w:rFonts w:hint="eastAsia"/>
      </w:rPr>
    </w:lvl>
  </w:abstractNum>
  <w:abstractNum w:abstractNumId="4">
    <w:nsid w:val="0EC8EAB6"/>
    <w:multiLevelType w:val="singleLevel"/>
    <w:tmpl w:val="0EC8EAB6"/>
    <w:lvl w:ilvl="0" w:tentative="0">
      <w:start w:val="1"/>
      <w:numFmt w:val="decimal"/>
      <w:lvlText w:val="%1."/>
      <w:lvlJc w:val="left"/>
      <w:pPr>
        <w:tabs>
          <w:tab w:val="left" w:pos="312"/>
        </w:tabs>
      </w:pPr>
    </w:lvl>
  </w:abstractNum>
  <w:abstractNum w:abstractNumId="5">
    <w:nsid w:val="239E42BC"/>
    <w:multiLevelType w:val="singleLevel"/>
    <w:tmpl w:val="239E42BC"/>
    <w:lvl w:ilvl="0" w:tentative="0">
      <w:start w:val="1"/>
      <w:numFmt w:val="chineseCounting"/>
      <w:suff w:val="nothing"/>
      <w:lvlText w:val="（%1）"/>
      <w:lvlJc w:val="left"/>
      <w:rPr>
        <w:rFonts w:hint="eastAsia"/>
      </w:rPr>
    </w:lvl>
  </w:abstractNum>
  <w:abstractNum w:abstractNumId="6">
    <w:nsid w:val="2F0C1A47"/>
    <w:multiLevelType w:val="singleLevel"/>
    <w:tmpl w:val="2F0C1A47"/>
    <w:lvl w:ilvl="0" w:tentative="0">
      <w:start w:val="1"/>
      <w:numFmt w:val="decimal"/>
      <w:suff w:val="nothing"/>
      <w:lvlText w:val="%1．"/>
      <w:lvlJc w:val="left"/>
    </w:lvl>
  </w:abstractNum>
  <w:abstractNum w:abstractNumId="7">
    <w:nsid w:val="433130BD"/>
    <w:multiLevelType w:val="singleLevel"/>
    <w:tmpl w:val="433130BD"/>
    <w:lvl w:ilvl="0" w:tentative="0">
      <w:start w:val="1"/>
      <w:numFmt w:val="decimal"/>
      <w:lvlText w:val="%1."/>
      <w:lvlJc w:val="left"/>
      <w:pPr>
        <w:tabs>
          <w:tab w:val="left" w:pos="312"/>
        </w:tabs>
      </w:pPr>
    </w:lvl>
  </w:abstractNum>
  <w:abstractNum w:abstractNumId="8">
    <w:nsid w:val="450E2C3B"/>
    <w:multiLevelType w:val="singleLevel"/>
    <w:tmpl w:val="450E2C3B"/>
    <w:lvl w:ilvl="0" w:tentative="0">
      <w:start w:val="2"/>
      <w:numFmt w:val="chineseCounting"/>
      <w:suff w:val="nothing"/>
      <w:lvlText w:val="%1、"/>
      <w:lvlJc w:val="left"/>
      <w:rPr>
        <w:rFonts w:hint="eastAsia"/>
      </w:rPr>
    </w:lvl>
  </w:abstractNum>
  <w:abstractNum w:abstractNumId="9">
    <w:nsid w:val="4AFFFBE8"/>
    <w:multiLevelType w:val="singleLevel"/>
    <w:tmpl w:val="4AFFFBE8"/>
    <w:lvl w:ilvl="0" w:tentative="0">
      <w:start w:val="1"/>
      <w:numFmt w:val="decimal"/>
      <w:suff w:val="space"/>
      <w:lvlText w:val="%1."/>
      <w:lvlJc w:val="left"/>
    </w:lvl>
  </w:abstractNum>
  <w:abstractNum w:abstractNumId="10">
    <w:nsid w:val="4C2FC40C"/>
    <w:multiLevelType w:val="multilevel"/>
    <w:tmpl w:val="4C2FC40C"/>
    <w:lvl w:ilvl="0" w:tentative="0">
      <w:start w:val="1"/>
      <w:numFmt w:val="decimal"/>
      <w:lvlText w:val="%1."/>
      <w:lvlJc w:val="left"/>
      <w:pPr>
        <w:tabs>
          <w:tab w:val="left" w:pos="312"/>
        </w:tabs>
      </w:p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1">
    <w:nsid w:val="67227177"/>
    <w:multiLevelType w:val="singleLevel"/>
    <w:tmpl w:val="67227177"/>
    <w:lvl w:ilvl="0" w:tentative="0">
      <w:start w:val="2"/>
      <w:numFmt w:val="decimal"/>
      <w:suff w:val="nothing"/>
      <w:lvlText w:val="%1、"/>
      <w:lvlJc w:val="left"/>
    </w:lvl>
  </w:abstractNum>
  <w:abstractNum w:abstractNumId="12">
    <w:nsid w:val="68D0BB82"/>
    <w:multiLevelType w:val="singleLevel"/>
    <w:tmpl w:val="68D0BB82"/>
    <w:lvl w:ilvl="0" w:tentative="0">
      <w:start w:val="1"/>
      <w:numFmt w:val="decimal"/>
      <w:suff w:val="nothing"/>
      <w:lvlText w:val="(%1）"/>
      <w:lvlJc w:val="left"/>
    </w:lvl>
  </w:abstractNum>
  <w:num w:numId="1">
    <w:abstractNumId w:val="9"/>
  </w:num>
  <w:num w:numId="2">
    <w:abstractNumId w:val="0"/>
  </w:num>
  <w:num w:numId="3">
    <w:abstractNumId w:val="4"/>
  </w:num>
  <w:num w:numId="4">
    <w:abstractNumId w:val="7"/>
  </w:num>
  <w:num w:numId="5">
    <w:abstractNumId w:val="2"/>
  </w:num>
  <w:num w:numId="6">
    <w:abstractNumId w:val="10"/>
  </w:num>
  <w:num w:numId="7">
    <w:abstractNumId w:val="12"/>
  </w:num>
  <w:num w:numId="8">
    <w:abstractNumId w:val="3"/>
  </w:num>
  <w:num w:numId="9">
    <w:abstractNumId w:val="11"/>
  </w:num>
  <w:num w:numId="10">
    <w:abstractNumId w:val="5"/>
  </w:num>
  <w:num w:numId="11">
    <w:abstractNumId w:val="6"/>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4Y2I0ZTZhZmY1NzdkNWJiNGEyMjdkYmU5N2RhNGMifQ=="/>
  </w:docVars>
  <w:rsids>
    <w:rsidRoot w:val="00172A27"/>
    <w:rsid w:val="00172A27"/>
    <w:rsid w:val="001C522D"/>
    <w:rsid w:val="00203B51"/>
    <w:rsid w:val="0039381A"/>
    <w:rsid w:val="004D57BE"/>
    <w:rsid w:val="005F3CBF"/>
    <w:rsid w:val="006D35FE"/>
    <w:rsid w:val="006D4329"/>
    <w:rsid w:val="00784770"/>
    <w:rsid w:val="008F1FE6"/>
    <w:rsid w:val="009C04BA"/>
    <w:rsid w:val="009E619E"/>
    <w:rsid w:val="00A02863"/>
    <w:rsid w:val="00A91832"/>
    <w:rsid w:val="00DE63E2"/>
    <w:rsid w:val="00DF68E0"/>
    <w:rsid w:val="011F5F5E"/>
    <w:rsid w:val="014666C5"/>
    <w:rsid w:val="01A4627A"/>
    <w:rsid w:val="01C17F70"/>
    <w:rsid w:val="01F6365D"/>
    <w:rsid w:val="02810978"/>
    <w:rsid w:val="02E50AA8"/>
    <w:rsid w:val="03084734"/>
    <w:rsid w:val="03234164"/>
    <w:rsid w:val="03827B74"/>
    <w:rsid w:val="03CB7744"/>
    <w:rsid w:val="03DE304E"/>
    <w:rsid w:val="046528F1"/>
    <w:rsid w:val="048803B9"/>
    <w:rsid w:val="050D0BEF"/>
    <w:rsid w:val="05194017"/>
    <w:rsid w:val="060B6023"/>
    <w:rsid w:val="0623530D"/>
    <w:rsid w:val="06363EE3"/>
    <w:rsid w:val="06612C9D"/>
    <w:rsid w:val="069C29A2"/>
    <w:rsid w:val="06C54BC8"/>
    <w:rsid w:val="071C4619"/>
    <w:rsid w:val="07283837"/>
    <w:rsid w:val="072F2C30"/>
    <w:rsid w:val="07BE419C"/>
    <w:rsid w:val="084154DE"/>
    <w:rsid w:val="085563DD"/>
    <w:rsid w:val="08597FF8"/>
    <w:rsid w:val="0885444C"/>
    <w:rsid w:val="08B43490"/>
    <w:rsid w:val="08FD33DC"/>
    <w:rsid w:val="0996504B"/>
    <w:rsid w:val="09EB0316"/>
    <w:rsid w:val="09FF598E"/>
    <w:rsid w:val="0A275B8E"/>
    <w:rsid w:val="0A691417"/>
    <w:rsid w:val="0ADE466E"/>
    <w:rsid w:val="0B1A0FCF"/>
    <w:rsid w:val="0B377B1A"/>
    <w:rsid w:val="0B7817B9"/>
    <w:rsid w:val="0B7A6066"/>
    <w:rsid w:val="0B837303"/>
    <w:rsid w:val="0C47147C"/>
    <w:rsid w:val="0C834577"/>
    <w:rsid w:val="0CA5652F"/>
    <w:rsid w:val="0CAC1F63"/>
    <w:rsid w:val="0D5B2FB6"/>
    <w:rsid w:val="0D7129E8"/>
    <w:rsid w:val="0E125691"/>
    <w:rsid w:val="0E7A7852"/>
    <w:rsid w:val="0E943D89"/>
    <w:rsid w:val="0EE03FE7"/>
    <w:rsid w:val="0EEC6744"/>
    <w:rsid w:val="0EF11B52"/>
    <w:rsid w:val="0F975119"/>
    <w:rsid w:val="0FE6540B"/>
    <w:rsid w:val="0FEE04DB"/>
    <w:rsid w:val="0FF34CF0"/>
    <w:rsid w:val="107C0D19"/>
    <w:rsid w:val="109C56C1"/>
    <w:rsid w:val="10C60104"/>
    <w:rsid w:val="11730E05"/>
    <w:rsid w:val="11A560C5"/>
    <w:rsid w:val="11B62870"/>
    <w:rsid w:val="11EA3FF1"/>
    <w:rsid w:val="11F7275D"/>
    <w:rsid w:val="12890B90"/>
    <w:rsid w:val="13E02B99"/>
    <w:rsid w:val="140457E7"/>
    <w:rsid w:val="14484F0A"/>
    <w:rsid w:val="15784F11"/>
    <w:rsid w:val="15F632D3"/>
    <w:rsid w:val="161C31AE"/>
    <w:rsid w:val="16497820"/>
    <w:rsid w:val="166A25D0"/>
    <w:rsid w:val="16C5204E"/>
    <w:rsid w:val="16D021C1"/>
    <w:rsid w:val="17313823"/>
    <w:rsid w:val="173F5862"/>
    <w:rsid w:val="17660122"/>
    <w:rsid w:val="18463DDE"/>
    <w:rsid w:val="18681247"/>
    <w:rsid w:val="18753975"/>
    <w:rsid w:val="18B70946"/>
    <w:rsid w:val="19017282"/>
    <w:rsid w:val="19AF3443"/>
    <w:rsid w:val="19F808D8"/>
    <w:rsid w:val="1A290400"/>
    <w:rsid w:val="1A7036FF"/>
    <w:rsid w:val="1AC608CC"/>
    <w:rsid w:val="1ADA4F65"/>
    <w:rsid w:val="1B844742"/>
    <w:rsid w:val="1B895B26"/>
    <w:rsid w:val="1BDA5D93"/>
    <w:rsid w:val="1BF319C6"/>
    <w:rsid w:val="1C0C4620"/>
    <w:rsid w:val="1C730D0F"/>
    <w:rsid w:val="1D0429B4"/>
    <w:rsid w:val="1D183CB3"/>
    <w:rsid w:val="1D5D5A73"/>
    <w:rsid w:val="1DEC5649"/>
    <w:rsid w:val="1E7B3D6B"/>
    <w:rsid w:val="1E8D5EB0"/>
    <w:rsid w:val="1F5B6CCF"/>
    <w:rsid w:val="1FC32644"/>
    <w:rsid w:val="200E64F7"/>
    <w:rsid w:val="201A4DBC"/>
    <w:rsid w:val="204D75E2"/>
    <w:rsid w:val="20EC3F80"/>
    <w:rsid w:val="21232245"/>
    <w:rsid w:val="214D178A"/>
    <w:rsid w:val="216E3D0B"/>
    <w:rsid w:val="21CE265A"/>
    <w:rsid w:val="22490E2E"/>
    <w:rsid w:val="23630F47"/>
    <w:rsid w:val="236E757B"/>
    <w:rsid w:val="237C1B82"/>
    <w:rsid w:val="240B6D90"/>
    <w:rsid w:val="247F6D2F"/>
    <w:rsid w:val="24826DCB"/>
    <w:rsid w:val="24C301AF"/>
    <w:rsid w:val="25382489"/>
    <w:rsid w:val="256A5C1A"/>
    <w:rsid w:val="25906066"/>
    <w:rsid w:val="262607A6"/>
    <w:rsid w:val="2682699A"/>
    <w:rsid w:val="26C26FDC"/>
    <w:rsid w:val="26EB54E7"/>
    <w:rsid w:val="272A5824"/>
    <w:rsid w:val="27466A6E"/>
    <w:rsid w:val="274679DD"/>
    <w:rsid w:val="27A3096B"/>
    <w:rsid w:val="27C91D00"/>
    <w:rsid w:val="27EC35F7"/>
    <w:rsid w:val="286D59EB"/>
    <w:rsid w:val="287B709F"/>
    <w:rsid w:val="288A65CA"/>
    <w:rsid w:val="28A76938"/>
    <w:rsid w:val="29BD7A29"/>
    <w:rsid w:val="29EC748A"/>
    <w:rsid w:val="2A8C7596"/>
    <w:rsid w:val="2B1C49D2"/>
    <w:rsid w:val="2B1F410E"/>
    <w:rsid w:val="2BAC3A10"/>
    <w:rsid w:val="2C3E0D38"/>
    <w:rsid w:val="2CB61AF3"/>
    <w:rsid w:val="2CB7248F"/>
    <w:rsid w:val="2DA06BF7"/>
    <w:rsid w:val="2DC61516"/>
    <w:rsid w:val="2DC75BC6"/>
    <w:rsid w:val="2DF806F8"/>
    <w:rsid w:val="2E8B7B04"/>
    <w:rsid w:val="2EBF01A7"/>
    <w:rsid w:val="2F254CDC"/>
    <w:rsid w:val="2F935EF0"/>
    <w:rsid w:val="2FA7754E"/>
    <w:rsid w:val="2FAE74F1"/>
    <w:rsid w:val="2FBD1345"/>
    <w:rsid w:val="2FBF3B5B"/>
    <w:rsid w:val="30097581"/>
    <w:rsid w:val="304E37B0"/>
    <w:rsid w:val="31045CB1"/>
    <w:rsid w:val="3159476E"/>
    <w:rsid w:val="318A2F30"/>
    <w:rsid w:val="31CA4C5E"/>
    <w:rsid w:val="32847A67"/>
    <w:rsid w:val="32C97A3C"/>
    <w:rsid w:val="32D828B7"/>
    <w:rsid w:val="337A4750"/>
    <w:rsid w:val="339B5279"/>
    <w:rsid w:val="33BD0685"/>
    <w:rsid w:val="33D518BD"/>
    <w:rsid w:val="345D5D81"/>
    <w:rsid w:val="34AD7485"/>
    <w:rsid w:val="35586331"/>
    <w:rsid w:val="35713ADD"/>
    <w:rsid w:val="36295DB7"/>
    <w:rsid w:val="36B246F6"/>
    <w:rsid w:val="36F243E3"/>
    <w:rsid w:val="385779DC"/>
    <w:rsid w:val="38C3256F"/>
    <w:rsid w:val="38C63D37"/>
    <w:rsid w:val="38FF69C5"/>
    <w:rsid w:val="3917335D"/>
    <w:rsid w:val="39E43F51"/>
    <w:rsid w:val="3A6634E4"/>
    <w:rsid w:val="3A7F3464"/>
    <w:rsid w:val="3AE457FB"/>
    <w:rsid w:val="3B0A7CD4"/>
    <w:rsid w:val="3BA64FD0"/>
    <w:rsid w:val="3C3907B6"/>
    <w:rsid w:val="3C8850E1"/>
    <w:rsid w:val="3C9628C6"/>
    <w:rsid w:val="3CE81A31"/>
    <w:rsid w:val="3CF7540C"/>
    <w:rsid w:val="3CFB2793"/>
    <w:rsid w:val="3D0B0F78"/>
    <w:rsid w:val="3D577A9F"/>
    <w:rsid w:val="3D721089"/>
    <w:rsid w:val="3DCA6B17"/>
    <w:rsid w:val="3DF2576E"/>
    <w:rsid w:val="3E1B4511"/>
    <w:rsid w:val="3E3A034D"/>
    <w:rsid w:val="3E44329A"/>
    <w:rsid w:val="3E760BC9"/>
    <w:rsid w:val="3E8259CE"/>
    <w:rsid w:val="3F173576"/>
    <w:rsid w:val="3F331F7D"/>
    <w:rsid w:val="400332ED"/>
    <w:rsid w:val="400F4D36"/>
    <w:rsid w:val="40503157"/>
    <w:rsid w:val="40F34953"/>
    <w:rsid w:val="42FC04F1"/>
    <w:rsid w:val="434164D5"/>
    <w:rsid w:val="435E5815"/>
    <w:rsid w:val="43EA5618"/>
    <w:rsid w:val="442B6727"/>
    <w:rsid w:val="44987935"/>
    <w:rsid w:val="44C84788"/>
    <w:rsid w:val="44E50933"/>
    <w:rsid w:val="44F20B11"/>
    <w:rsid w:val="45A102AA"/>
    <w:rsid w:val="45BB0941"/>
    <w:rsid w:val="45BF3A89"/>
    <w:rsid w:val="45E144FD"/>
    <w:rsid w:val="45F8625B"/>
    <w:rsid w:val="46640296"/>
    <w:rsid w:val="47513A81"/>
    <w:rsid w:val="47AF6570"/>
    <w:rsid w:val="48544668"/>
    <w:rsid w:val="485A3018"/>
    <w:rsid w:val="48664DDB"/>
    <w:rsid w:val="48A27AAA"/>
    <w:rsid w:val="49122723"/>
    <w:rsid w:val="496C2A3E"/>
    <w:rsid w:val="49AE3AC5"/>
    <w:rsid w:val="4A2E014D"/>
    <w:rsid w:val="4A567DEB"/>
    <w:rsid w:val="4B913672"/>
    <w:rsid w:val="4C7764CB"/>
    <w:rsid w:val="4CC326F5"/>
    <w:rsid w:val="4CE97C09"/>
    <w:rsid w:val="4D5E7FFF"/>
    <w:rsid w:val="4E087EAE"/>
    <w:rsid w:val="4E5361CC"/>
    <w:rsid w:val="4EBD443E"/>
    <w:rsid w:val="4F654F96"/>
    <w:rsid w:val="4F973140"/>
    <w:rsid w:val="4FB55578"/>
    <w:rsid w:val="4FC61199"/>
    <w:rsid w:val="4FF35ABE"/>
    <w:rsid w:val="50340705"/>
    <w:rsid w:val="503B1901"/>
    <w:rsid w:val="504161F6"/>
    <w:rsid w:val="50564D09"/>
    <w:rsid w:val="506A19D7"/>
    <w:rsid w:val="5099694A"/>
    <w:rsid w:val="50B15E60"/>
    <w:rsid w:val="50DB3A16"/>
    <w:rsid w:val="516013AC"/>
    <w:rsid w:val="51601B90"/>
    <w:rsid w:val="516E01F5"/>
    <w:rsid w:val="51A662EC"/>
    <w:rsid w:val="51F811E7"/>
    <w:rsid w:val="527E763A"/>
    <w:rsid w:val="528B58E1"/>
    <w:rsid w:val="529D0015"/>
    <w:rsid w:val="52BB0E68"/>
    <w:rsid w:val="530E4959"/>
    <w:rsid w:val="53B10425"/>
    <w:rsid w:val="53B52794"/>
    <w:rsid w:val="53C1254E"/>
    <w:rsid w:val="53D83FF7"/>
    <w:rsid w:val="54193167"/>
    <w:rsid w:val="54303245"/>
    <w:rsid w:val="549B7F84"/>
    <w:rsid w:val="54E65E5C"/>
    <w:rsid w:val="558444ED"/>
    <w:rsid w:val="55A33795"/>
    <w:rsid w:val="55C86A96"/>
    <w:rsid w:val="5624773C"/>
    <w:rsid w:val="563B0D0C"/>
    <w:rsid w:val="5685766F"/>
    <w:rsid w:val="569D078B"/>
    <w:rsid w:val="56F043E3"/>
    <w:rsid w:val="571B196A"/>
    <w:rsid w:val="5738668D"/>
    <w:rsid w:val="59292B67"/>
    <w:rsid w:val="5986297B"/>
    <w:rsid w:val="59E51F25"/>
    <w:rsid w:val="59F36430"/>
    <w:rsid w:val="5A1923F3"/>
    <w:rsid w:val="5A424B20"/>
    <w:rsid w:val="5ADF3332"/>
    <w:rsid w:val="5B620360"/>
    <w:rsid w:val="5B9147E8"/>
    <w:rsid w:val="5BE50005"/>
    <w:rsid w:val="5BEC3B15"/>
    <w:rsid w:val="5BFC3D4F"/>
    <w:rsid w:val="5C930683"/>
    <w:rsid w:val="5C955480"/>
    <w:rsid w:val="5D2072CC"/>
    <w:rsid w:val="5D3D5F29"/>
    <w:rsid w:val="5D9A5F6B"/>
    <w:rsid w:val="5DD34B1A"/>
    <w:rsid w:val="5DDE03F7"/>
    <w:rsid w:val="5E1E4502"/>
    <w:rsid w:val="5F041B57"/>
    <w:rsid w:val="5F3E27D6"/>
    <w:rsid w:val="5F7D2DCB"/>
    <w:rsid w:val="5F822705"/>
    <w:rsid w:val="5F8F2AD9"/>
    <w:rsid w:val="5FA11EEC"/>
    <w:rsid w:val="5FD736CE"/>
    <w:rsid w:val="600133C5"/>
    <w:rsid w:val="60625F9C"/>
    <w:rsid w:val="60656DF2"/>
    <w:rsid w:val="60F92028"/>
    <w:rsid w:val="61230542"/>
    <w:rsid w:val="613F4D92"/>
    <w:rsid w:val="61477C1D"/>
    <w:rsid w:val="61A52179"/>
    <w:rsid w:val="61D76816"/>
    <w:rsid w:val="629052B6"/>
    <w:rsid w:val="62BA36C5"/>
    <w:rsid w:val="62E55F8D"/>
    <w:rsid w:val="62F85523"/>
    <w:rsid w:val="636B2EFA"/>
    <w:rsid w:val="63992513"/>
    <w:rsid w:val="63A36C3E"/>
    <w:rsid w:val="63B048A0"/>
    <w:rsid w:val="63CD579A"/>
    <w:rsid w:val="647B20B6"/>
    <w:rsid w:val="64DA7297"/>
    <w:rsid w:val="64F37B3E"/>
    <w:rsid w:val="650B3E62"/>
    <w:rsid w:val="650F1FB8"/>
    <w:rsid w:val="656C2D1E"/>
    <w:rsid w:val="65A958B7"/>
    <w:rsid w:val="65CC2DDD"/>
    <w:rsid w:val="66330E15"/>
    <w:rsid w:val="66795427"/>
    <w:rsid w:val="6692603B"/>
    <w:rsid w:val="66E06CA6"/>
    <w:rsid w:val="672A369D"/>
    <w:rsid w:val="675B4B7A"/>
    <w:rsid w:val="67960E00"/>
    <w:rsid w:val="67DB3C66"/>
    <w:rsid w:val="67DE387B"/>
    <w:rsid w:val="67EA757E"/>
    <w:rsid w:val="68135635"/>
    <w:rsid w:val="68AD267F"/>
    <w:rsid w:val="68C90A5B"/>
    <w:rsid w:val="69740697"/>
    <w:rsid w:val="69784E9D"/>
    <w:rsid w:val="6992105F"/>
    <w:rsid w:val="69B17E97"/>
    <w:rsid w:val="69C0673B"/>
    <w:rsid w:val="6A09775F"/>
    <w:rsid w:val="6A272A09"/>
    <w:rsid w:val="6A31098C"/>
    <w:rsid w:val="6A31371D"/>
    <w:rsid w:val="6B9871BA"/>
    <w:rsid w:val="6BF41F64"/>
    <w:rsid w:val="6C1E0B80"/>
    <w:rsid w:val="6C292B8B"/>
    <w:rsid w:val="6C69121A"/>
    <w:rsid w:val="6D007A87"/>
    <w:rsid w:val="6D2E5476"/>
    <w:rsid w:val="6D375CA1"/>
    <w:rsid w:val="6D472272"/>
    <w:rsid w:val="6D4F2B28"/>
    <w:rsid w:val="6D514B1E"/>
    <w:rsid w:val="6DA3293A"/>
    <w:rsid w:val="6E6856F7"/>
    <w:rsid w:val="6E6C7BE7"/>
    <w:rsid w:val="6ED039E8"/>
    <w:rsid w:val="6ED138C3"/>
    <w:rsid w:val="6F267512"/>
    <w:rsid w:val="6FA55D9E"/>
    <w:rsid w:val="6FFE5F86"/>
    <w:rsid w:val="7030738F"/>
    <w:rsid w:val="70680619"/>
    <w:rsid w:val="70E5475E"/>
    <w:rsid w:val="70E66C09"/>
    <w:rsid w:val="70F70446"/>
    <w:rsid w:val="710920AA"/>
    <w:rsid w:val="712948FF"/>
    <w:rsid w:val="718756A2"/>
    <w:rsid w:val="71F7448B"/>
    <w:rsid w:val="720B41FA"/>
    <w:rsid w:val="721C6BF3"/>
    <w:rsid w:val="7233239F"/>
    <w:rsid w:val="726B7B77"/>
    <w:rsid w:val="727A56A8"/>
    <w:rsid w:val="72A273E5"/>
    <w:rsid w:val="72F15D86"/>
    <w:rsid w:val="735F4A4A"/>
    <w:rsid w:val="73750F0E"/>
    <w:rsid w:val="74357ECE"/>
    <w:rsid w:val="74A27FEB"/>
    <w:rsid w:val="74EF496C"/>
    <w:rsid w:val="74F0086A"/>
    <w:rsid w:val="75572AF7"/>
    <w:rsid w:val="75692B46"/>
    <w:rsid w:val="75794C91"/>
    <w:rsid w:val="76297373"/>
    <w:rsid w:val="76524CFD"/>
    <w:rsid w:val="76884109"/>
    <w:rsid w:val="76C956E8"/>
    <w:rsid w:val="76CA41AC"/>
    <w:rsid w:val="7793066E"/>
    <w:rsid w:val="77DA2CAF"/>
    <w:rsid w:val="77FC2329"/>
    <w:rsid w:val="781179C9"/>
    <w:rsid w:val="7893556F"/>
    <w:rsid w:val="789C158E"/>
    <w:rsid w:val="78F07834"/>
    <w:rsid w:val="79793753"/>
    <w:rsid w:val="7A3D26DD"/>
    <w:rsid w:val="7A81184F"/>
    <w:rsid w:val="7A8D37DD"/>
    <w:rsid w:val="7AE856B5"/>
    <w:rsid w:val="7B4D42B5"/>
    <w:rsid w:val="7BCB3CA4"/>
    <w:rsid w:val="7BFC00DE"/>
    <w:rsid w:val="7D56196F"/>
    <w:rsid w:val="7DA47326"/>
    <w:rsid w:val="7ECE6BA5"/>
    <w:rsid w:val="7F182BA8"/>
    <w:rsid w:val="7F5036C5"/>
    <w:rsid w:val="7F914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line="360" w:lineRule="auto"/>
    </w:pPr>
    <w:rPr>
      <w:rFonts w:eastAsia="宋体" w:asciiTheme="minorHAnsi" w:hAnsiTheme="minorHAnsi" w:cstheme="minorBidi"/>
      <w:kern w:val="2"/>
      <w:sz w:val="22"/>
      <w:szCs w:val="24"/>
      <w:lang w:val="en-US" w:eastAsia="zh-CN" w:bidi="ar-SA"/>
    </w:rPr>
  </w:style>
  <w:style w:type="paragraph" w:styleId="3">
    <w:name w:val="heading 1"/>
    <w:basedOn w:val="1"/>
    <w:next w:val="1"/>
    <w:qFormat/>
    <w:uiPriority w:val="0"/>
    <w:pPr>
      <w:keepNext/>
      <w:keepLines/>
      <w:spacing w:before="340" w:after="330" w:line="576" w:lineRule="auto"/>
      <w:jc w:val="center"/>
      <w:outlineLvl w:val="0"/>
    </w:pPr>
    <w:rPr>
      <w:b/>
      <w:kern w:val="44"/>
      <w:sz w:val="44"/>
    </w:rPr>
  </w:style>
  <w:style w:type="paragraph" w:styleId="4">
    <w:name w:val="heading 2"/>
    <w:basedOn w:val="1"/>
    <w:next w:val="1"/>
    <w:unhideWhenUsed/>
    <w:qFormat/>
    <w:uiPriority w:val="0"/>
    <w:pPr>
      <w:keepNext/>
      <w:keepLines/>
      <w:spacing w:before="260" w:after="260"/>
      <w:jc w:val="center"/>
      <w:outlineLvl w:val="1"/>
    </w:pPr>
    <w:rPr>
      <w:rFonts w:ascii="Arial" w:hAnsi="Arial"/>
      <w:b/>
      <w:sz w:val="44"/>
    </w:rPr>
  </w:style>
  <w:style w:type="paragraph" w:styleId="5">
    <w:name w:val="heading 3"/>
    <w:basedOn w:val="1"/>
    <w:next w:val="1"/>
    <w:unhideWhenUsed/>
    <w:qFormat/>
    <w:uiPriority w:val="0"/>
    <w:pPr>
      <w:keepNext/>
      <w:keepLines/>
      <w:spacing w:before="260" w:after="260"/>
      <w:outlineLvl w:val="2"/>
    </w:pPr>
    <w:rPr>
      <w:b/>
      <w:sz w:val="32"/>
    </w:rPr>
  </w:style>
  <w:style w:type="paragraph" w:styleId="6">
    <w:name w:val="heading 4"/>
    <w:basedOn w:val="1"/>
    <w:next w:val="1"/>
    <w:qFormat/>
    <w:uiPriority w:val="1"/>
    <w:pPr>
      <w:outlineLvl w:val="3"/>
    </w:pPr>
    <w:rPr>
      <w:rFonts w:ascii="宋体" w:hAnsi="宋体"/>
      <w:sz w:val="30"/>
      <w:szCs w:val="32"/>
    </w:rPr>
  </w:style>
  <w:style w:type="paragraph" w:styleId="7">
    <w:name w:val="heading 5"/>
    <w:basedOn w:val="1"/>
    <w:next w:val="1"/>
    <w:qFormat/>
    <w:uiPriority w:val="1"/>
    <w:pPr>
      <w:ind w:left="237"/>
      <w:jc w:val="center"/>
      <w:outlineLvl w:val="4"/>
    </w:pPr>
    <w:rPr>
      <w:rFonts w:ascii="宋体" w:hAnsi="宋体"/>
      <w:b/>
      <w:sz w:val="30"/>
      <w:szCs w:val="28"/>
    </w:rPr>
  </w:style>
  <w:style w:type="paragraph" w:styleId="8">
    <w:name w:val="heading 6"/>
    <w:basedOn w:val="1"/>
    <w:next w:val="1"/>
    <w:unhideWhenUsed/>
    <w:qFormat/>
    <w:uiPriority w:val="0"/>
    <w:pPr>
      <w:keepNext/>
      <w:keepLines/>
      <w:spacing w:before="240" w:after="64" w:line="317" w:lineRule="auto"/>
      <w:outlineLvl w:val="5"/>
    </w:pPr>
    <w:rPr>
      <w:rFonts w:ascii="Arial" w:hAnsi="Arial" w:eastAsia="黑体"/>
      <w:b/>
      <w:sz w:val="24"/>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ind w:left="520"/>
    </w:pPr>
    <w:rPr>
      <w:rFonts w:ascii="宋体" w:hAnsi="宋体"/>
      <w:szCs w:val="21"/>
    </w:rPr>
  </w:style>
  <w:style w:type="paragraph" w:styleId="9">
    <w:name w:val="annotation text"/>
    <w:basedOn w:val="1"/>
    <w:link w:val="26"/>
    <w:qFormat/>
    <w:uiPriority w:val="0"/>
  </w:style>
  <w:style w:type="paragraph" w:styleId="10">
    <w:name w:val="Balloon Text"/>
    <w:basedOn w:val="1"/>
    <w:link w:val="21"/>
    <w:qFormat/>
    <w:uiPriority w:val="0"/>
    <w:pPr>
      <w:spacing w:line="240" w:lineRule="auto"/>
    </w:pPr>
    <w:rPr>
      <w:sz w:val="18"/>
      <w:szCs w:val="18"/>
    </w:rPr>
  </w:style>
  <w:style w:type="paragraph" w:styleId="11">
    <w:name w:val="footer"/>
    <w:basedOn w:val="1"/>
    <w:qFormat/>
    <w:uiPriority w:val="0"/>
    <w:pPr>
      <w:tabs>
        <w:tab w:val="center" w:pos="4153"/>
        <w:tab w:val="right" w:pos="8306"/>
      </w:tabs>
      <w:snapToGrid w:val="0"/>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13">
    <w:name w:val="toc 1"/>
    <w:basedOn w:val="1"/>
    <w:next w:val="1"/>
    <w:qFormat/>
    <w:uiPriority w:val="0"/>
    <w:rPr>
      <w:sz w:val="36"/>
    </w:rPr>
  </w:style>
  <w:style w:type="paragraph" w:styleId="14">
    <w:name w:val="toc 2"/>
    <w:basedOn w:val="1"/>
    <w:next w:val="1"/>
    <w:qFormat/>
    <w:uiPriority w:val="0"/>
    <w:pPr>
      <w:ind w:left="420" w:leftChars="200"/>
    </w:pPr>
    <w:rPr>
      <w:sz w:val="32"/>
    </w:rPr>
  </w:style>
  <w:style w:type="paragraph" w:styleId="15">
    <w:name w:val="annotation subject"/>
    <w:basedOn w:val="9"/>
    <w:next w:val="9"/>
    <w:link w:val="27"/>
    <w:qFormat/>
    <w:uiPriority w:val="0"/>
    <w:rPr>
      <w:b/>
      <w:bCs/>
    </w:rPr>
  </w:style>
  <w:style w:type="character" w:styleId="18">
    <w:name w:val="annotation reference"/>
    <w:basedOn w:val="17"/>
    <w:uiPriority w:val="0"/>
    <w:rPr>
      <w:sz w:val="21"/>
      <w:szCs w:val="21"/>
    </w:rPr>
  </w:style>
  <w:style w:type="paragraph" w:customStyle="1" w:styleId="19">
    <w:name w:val="封面"/>
    <w:basedOn w:val="1"/>
    <w:qFormat/>
    <w:uiPriority w:val="0"/>
    <w:pPr>
      <w:jc w:val="center"/>
    </w:pPr>
    <w:rPr>
      <w:sz w:val="28"/>
    </w:rPr>
  </w:style>
  <w:style w:type="table" w:customStyle="1" w:styleId="20">
    <w:name w:val="Table Normal"/>
    <w:semiHidden/>
    <w:unhideWhenUsed/>
    <w:qFormat/>
    <w:uiPriority w:val="2"/>
    <w:tblPr>
      <w:tblCellMar>
        <w:top w:w="0" w:type="dxa"/>
        <w:left w:w="0" w:type="dxa"/>
        <w:bottom w:w="0" w:type="dxa"/>
        <w:right w:w="0" w:type="dxa"/>
      </w:tblCellMar>
    </w:tblPr>
  </w:style>
  <w:style w:type="character" w:customStyle="1" w:styleId="21">
    <w:name w:val="批注框文本 Char"/>
    <w:basedOn w:val="17"/>
    <w:link w:val="10"/>
    <w:qFormat/>
    <w:uiPriority w:val="0"/>
    <w:rPr>
      <w:rFonts w:eastAsia="宋体"/>
      <w:kern w:val="2"/>
      <w:sz w:val="18"/>
      <w:szCs w:val="18"/>
    </w:rPr>
  </w:style>
  <w:style w:type="paragraph" w:customStyle="1" w:styleId="22">
    <w:name w:val="样式 标题 3 + (中文) 黑体 小四 非加粗 段前: 7.8 磅 段后: 0 磅 行距: 固定值 20 磅"/>
    <w:basedOn w:val="5"/>
    <w:qFormat/>
    <w:uiPriority w:val="0"/>
    <w:pPr>
      <w:spacing w:before="0" w:after="0" w:line="400" w:lineRule="exact"/>
    </w:pPr>
    <w:rPr>
      <w:rFonts w:eastAsia="黑体" w:cs="宋体"/>
      <w:b w:val="0"/>
      <w:sz w:val="24"/>
      <w:szCs w:val="20"/>
    </w:rPr>
  </w:style>
  <w:style w:type="paragraph" w:customStyle="1" w:styleId="23">
    <w:name w:val="Table Paragraph"/>
    <w:basedOn w:val="1"/>
    <w:qFormat/>
    <w:uiPriority w:val="1"/>
    <w:rPr>
      <w:rFonts w:ascii="Calibri" w:hAnsi="Calibri"/>
      <w:kern w:val="0"/>
      <w:szCs w:val="22"/>
      <w:lang w:eastAsia="en-US"/>
    </w:rPr>
  </w:style>
  <w:style w:type="paragraph" w:customStyle="1" w:styleId="24">
    <w:name w:val="样式 标题 2 + 小四 段前: 5 磅 段后: 5 磅 行距: 固定值 24 磅"/>
    <w:basedOn w:val="4"/>
    <w:qFormat/>
    <w:uiPriority w:val="0"/>
    <w:pPr>
      <w:spacing w:before="0" w:after="0" w:line="400" w:lineRule="exact"/>
      <w:ind w:left="567" w:hanging="567"/>
    </w:pPr>
    <w:rPr>
      <w:rFonts w:ascii="Times New Roman" w:hAnsi="Times New Roman" w:cs="宋体"/>
      <w:b w:val="0"/>
      <w:sz w:val="32"/>
    </w:rPr>
  </w:style>
  <w:style w:type="paragraph" w:styleId="25">
    <w:name w:val="List Paragraph"/>
    <w:basedOn w:val="1"/>
    <w:unhideWhenUsed/>
    <w:qFormat/>
    <w:uiPriority w:val="99"/>
    <w:pPr>
      <w:ind w:firstLine="420" w:firstLineChars="200"/>
    </w:pPr>
  </w:style>
  <w:style w:type="character" w:customStyle="1" w:styleId="26">
    <w:name w:val="批注文字 Char"/>
    <w:basedOn w:val="17"/>
    <w:link w:val="9"/>
    <w:qFormat/>
    <w:uiPriority w:val="0"/>
    <w:rPr>
      <w:rFonts w:eastAsia="宋体"/>
      <w:kern w:val="2"/>
      <w:sz w:val="22"/>
      <w:szCs w:val="24"/>
    </w:rPr>
  </w:style>
  <w:style w:type="character" w:customStyle="1" w:styleId="27">
    <w:name w:val="批注主题 Char"/>
    <w:basedOn w:val="26"/>
    <w:link w:val="15"/>
    <w:qFormat/>
    <w:uiPriority w:val="0"/>
    <w:rPr>
      <w:rFonts w:eastAsia="宋体"/>
      <w:b/>
      <w:bCs/>
      <w:kern w:val="2"/>
      <w:sz w:val="2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82</Pages>
  <Words>38560</Words>
  <Characters>40560</Characters>
  <Lines>345</Lines>
  <Paragraphs>97</Paragraphs>
  <TotalTime>14</TotalTime>
  <ScaleCrop>false</ScaleCrop>
  <LinksUpToDate>false</LinksUpToDate>
  <CharactersWithSpaces>45868</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2021-06-07T08:16:00Z</dcterms:created>
  <dc:creator>     Mask</dc:creator>
  <cp:lastModifiedBy>Chicago</cp:lastModifiedBy>
  <dcterms:modified xsi:type="dcterms:W3CDTF">2022-06-26T21:46:31Z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BA344E1AA2EA4F14873A164516FAF936</vt:lpwstr>
  </property>
</Properties>
</file>