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72"/>
          <w:szCs w:val="72"/>
          <w:lang w:val="en-US" w:eastAsia="zh-CN"/>
        </w:rPr>
      </w:pP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成都市经济和信息化局</w:t>
      </w: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法律顾问服务采购项目</w:t>
      </w:r>
    </w:p>
    <w:p>
      <w:pPr>
        <w:jc w:val="center"/>
        <w:rPr>
          <w:rFonts w:hint="eastAsia" w:ascii="黑体" w:hAnsi="黑体" w:eastAsia="黑体" w:cs="黑体"/>
          <w:sz w:val="96"/>
          <w:szCs w:val="96"/>
          <w:lang w:val="en-US" w:eastAsia="zh-CN"/>
        </w:rPr>
      </w:pPr>
      <w:r>
        <w:rPr>
          <w:rFonts w:hint="eastAsia" w:ascii="黑体" w:hAnsi="黑体" w:eastAsia="黑体" w:cs="黑体"/>
          <w:sz w:val="96"/>
          <w:szCs w:val="96"/>
          <w:lang w:val="en-US" w:eastAsia="zh-CN"/>
        </w:rPr>
        <w:t>磋</w:t>
      </w:r>
    </w:p>
    <w:p>
      <w:pPr>
        <w:jc w:val="center"/>
        <w:rPr>
          <w:rFonts w:hint="eastAsia" w:ascii="黑体" w:hAnsi="黑体" w:eastAsia="黑体" w:cs="黑体"/>
          <w:sz w:val="96"/>
          <w:szCs w:val="96"/>
          <w:lang w:val="en-US" w:eastAsia="zh-CN"/>
        </w:rPr>
      </w:pPr>
      <w:r>
        <w:rPr>
          <w:rFonts w:hint="eastAsia" w:ascii="黑体" w:hAnsi="黑体" w:eastAsia="黑体" w:cs="黑体"/>
          <w:sz w:val="96"/>
          <w:szCs w:val="96"/>
          <w:lang w:val="en-US" w:eastAsia="zh-CN"/>
        </w:rPr>
        <w:t>商</w:t>
      </w:r>
    </w:p>
    <w:p>
      <w:pPr>
        <w:jc w:val="center"/>
        <w:rPr>
          <w:rFonts w:hint="eastAsia" w:ascii="黑体" w:hAnsi="黑体" w:eastAsia="黑体" w:cs="黑体"/>
          <w:sz w:val="96"/>
          <w:szCs w:val="96"/>
          <w:lang w:val="en-US" w:eastAsia="zh-CN"/>
        </w:rPr>
      </w:pPr>
      <w:r>
        <w:rPr>
          <w:rFonts w:hint="eastAsia" w:ascii="黑体" w:hAnsi="黑体" w:eastAsia="黑体" w:cs="黑体"/>
          <w:sz w:val="96"/>
          <w:szCs w:val="96"/>
          <w:lang w:val="en-US" w:eastAsia="zh-CN"/>
        </w:rPr>
        <w:t>报</w:t>
      </w:r>
    </w:p>
    <w:p>
      <w:pPr>
        <w:jc w:val="center"/>
        <w:rPr>
          <w:rFonts w:hint="eastAsia" w:ascii="黑体" w:hAnsi="黑体" w:eastAsia="黑体" w:cs="黑体"/>
          <w:sz w:val="96"/>
          <w:szCs w:val="96"/>
          <w:lang w:val="en-US" w:eastAsia="zh-CN"/>
        </w:rPr>
      </w:pPr>
      <w:r>
        <w:rPr>
          <w:rFonts w:hint="eastAsia" w:ascii="黑体" w:hAnsi="黑体" w:eastAsia="黑体" w:cs="黑体"/>
          <w:sz w:val="96"/>
          <w:szCs w:val="96"/>
          <w:lang w:val="en-US" w:eastAsia="zh-CN"/>
        </w:rPr>
        <w:t>告</w:t>
      </w:r>
    </w:p>
    <w:p>
      <w:pPr>
        <w:jc w:val="center"/>
        <w:rPr>
          <w:rFonts w:hint="eastAsia" w:ascii="黑体" w:hAnsi="黑体" w:eastAsia="黑体" w:cs="黑体"/>
          <w:sz w:val="72"/>
          <w:szCs w:val="72"/>
          <w:lang w:val="en-US" w:eastAsia="zh-CN"/>
        </w:rPr>
      </w:pPr>
    </w:p>
    <w:p>
      <w:pPr>
        <w:jc w:val="center"/>
        <w:rPr>
          <w:rFonts w:hint="eastAsia" w:ascii="黑体" w:hAnsi="黑体" w:eastAsia="黑体" w:cs="黑体"/>
          <w:sz w:val="72"/>
          <w:szCs w:val="72"/>
          <w:lang w:val="en-US" w:eastAsia="zh-CN"/>
        </w:rPr>
      </w:pPr>
    </w:p>
    <w:p>
      <w:pPr>
        <w:jc w:val="center"/>
        <w:rPr>
          <w:rFonts w:hint="default" w:ascii="黑体" w:hAnsi="黑体" w:eastAsia="黑体" w:cs="黑体"/>
          <w:sz w:val="52"/>
          <w:szCs w:val="52"/>
          <w:lang w:val="en-US" w:eastAsia="zh-CN"/>
        </w:rPr>
      </w:pPr>
      <w:r>
        <w:rPr>
          <w:rFonts w:hint="eastAsia" w:ascii="黑体" w:hAnsi="黑体" w:eastAsia="黑体" w:cs="黑体"/>
          <w:sz w:val="52"/>
          <w:szCs w:val="52"/>
          <w:lang w:val="en-US" w:eastAsia="zh-CN"/>
        </w:rPr>
        <w:t>四川.成都</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2019年12月16日</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numPr>
          <w:ilvl w:val="0"/>
          <w:numId w:val="0"/>
        </w:numPr>
        <w:jc w:val="left"/>
        <w:rPr>
          <w:rFonts w:hint="eastAsia" w:ascii="黑体" w:hAnsi="黑体" w:eastAsia="黑体" w:cs="黑体"/>
          <w:sz w:val="32"/>
          <w:szCs w:val="32"/>
          <w:lang w:val="en-US" w:eastAsia="zh-CN"/>
        </w:rPr>
      </w:pP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一、项目基本情况</w:t>
      </w:r>
    </w:p>
    <w:p>
      <w:pPr>
        <w:jc w:val="left"/>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成都市经济和信息化局就法律顾问服务采购项目项目进行竞争性磋商。</w:t>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二、采购过程基本情况</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1、磋商公告于2019年12月9日在成都市经信局网站上发布</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2、本项目无更正公告</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3、提供竞争性磋商文件时间为：2019年12月9日至2019年12月11日9:30-17:00</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4、现场踏勘（无)</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5、磋商前打疑会（无)</w:t>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三、评审方法和标准</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1、磋商小组应当根据综合评分情况，按照评审得分由高到低推荐成交候选供应商</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2、评分因素</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本项目评分因素有：报价、服务及商务要求、履约能力、项目分析、项目方案、响应文件的规范性。</w:t>
      </w:r>
    </w:p>
    <w:p>
      <w:pPr>
        <w:numPr>
          <w:ilvl w:val="0"/>
          <w:numId w:val="1"/>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评分标准及权值</w:t>
      </w:r>
    </w:p>
    <w:tbl>
      <w:tblPr>
        <w:tblStyle w:val="5"/>
        <w:tblpPr w:leftFromText="180" w:rightFromText="180" w:vertAnchor="text" w:horzAnchor="margin" w:tblpY="2"/>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15"/>
        <w:gridCol w:w="1208"/>
        <w:gridCol w:w="4392"/>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5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评分因素及权重</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c>
          <w:tcPr>
            <w:tcW w:w="4392"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5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0分</w:t>
            </w:r>
          </w:p>
        </w:tc>
        <w:tc>
          <w:tcPr>
            <w:tcW w:w="4392"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以本次有效的最低磋商报价为基准价，</w:t>
            </w:r>
          </w:p>
          <w:p>
            <w:pPr>
              <w:pStyle w:val="7"/>
              <w:spacing w:line="360" w:lineRule="auto"/>
              <w:jc w:val="both"/>
            </w:pPr>
            <w:r>
              <w:rPr>
                <w:rFonts w:hint="eastAsia" w:ascii="宋体" w:hAnsi="宋体" w:eastAsia="宋体" w:cs="宋体"/>
                <w:color w:val="auto"/>
                <w:sz w:val="21"/>
                <w:szCs w:val="21"/>
                <w:highlight w:val="none"/>
              </w:rPr>
              <w:t>报价得分=(基准价／磋商报价)* 10（保留小数点后两位）</w:t>
            </w:r>
          </w:p>
          <w:p>
            <w:pPr>
              <w:pStyle w:val="7"/>
              <w:spacing w:line="360" w:lineRule="auto"/>
              <w:jc w:val="both"/>
              <w:rPr>
                <w:rFonts w:hint="eastAsia"/>
                <w:sz w:val="21"/>
                <w:szCs w:val="21"/>
                <w:lang w:val="en-US" w:eastAsia="zh-CN"/>
              </w:rPr>
            </w:pPr>
            <w:r>
              <w:rPr>
                <w:rFonts w:hint="eastAsia"/>
                <w:sz w:val="21"/>
                <w:szCs w:val="21"/>
                <w:lang w:val="en-US" w:eastAsia="zh-CN"/>
              </w:rPr>
              <w:t>备注：</w:t>
            </w:r>
          </w:p>
          <w:p>
            <w:pPr>
              <w:pStyle w:val="7"/>
              <w:numPr>
                <w:ilvl w:val="0"/>
                <w:numId w:val="2"/>
              </w:numPr>
              <w:spacing w:line="360" w:lineRule="auto"/>
              <w:jc w:val="both"/>
              <w:rPr>
                <w:rFonts w:hint="eastAsia"/>
                <w:sz w:val="21"/>
                <w:szCs w:val="21"/>
                <w:lang w:val="en-US" w:eastAsia="zh-CN"/>
              </w:rPr>
            </w:pPr>
            <w:r>
              <w:rPr>
                <w:rFonts w:hint="eastAsia"/>
                <w:sz w:val="21"/>
                <w:szCs w:val="21"/>
                <w:lang w:val="en-US" w:eastAsia="zh-CN"/>
              </w:rPr>
              <w:t>报价不得低于最高限价的70%，低于70%的作为无效响应处理。</w:t>
            </w:r>
          </w:p>
          <w:p>
            <w:pPr>
              <w:pStyle w:val="7"/>
              <w:numPr>
                <w:ilvl w:val="0"/>
                <w:numId w:val="2"/>
              </w:numPr>
              <w:spacing w:line="360" w:lineRule="auto"/>
              <w:jc w:val="both"/>
              <w:rPr>
                <w:rFonts w:hint="eastAsia"/>
                <w:sz w:val="21"/>
                <w:szCs w:val="21"/>
                <w:lang w:val="en-US" w:eastAsia="zh-CN"/>
              </w:rPr>
            </w:pPr>
            <w:r>
              <w:rPr>
                <w:rFonts w:hint="eastAsia"/>
                <w:sz w:val="21"/>
                <w:szCs w:val="21"/>
                <w:lang w:val="en-US" w:eastAsia="zh-CN"/>
              </w:rPr>
              <w:t>报价</w:t>
            </w:r>
            <w:r>
              <w:rPr>
                <w:rFonts w:hint="eastAsia" w:ascii="宋体" w:hAnsi="宋体" w:eastAsia="宋体" w:cs="宋体"/>
                <w:color w:val="auto"/>
                <w:sz w:val="21"/>
                <w:szCs w:val="21"/>
                <w:highlight w:val="none"/>
                <w:lang w:val="en-US" w:eastAsia="zh-CN"/>
              </w:rPr>
              <w:t>不能超出其对应最高限价，即每年不超过9.8万元（含9.8万元），否则作为无效响应。</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所报价格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658" w:type="dxa"/>
            <w:tcBorders>
              <w:top w:val="single" w:color="auto" w:sz="4" w:space="0"/>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15" w:type="dxa"/>
            <w:tcBorders>
              <w:top w:val="single" w:color="auto" w:sz="4" w:space="0"/>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服务及商务要求6%</w:t>
            </w:r>
          </w:p>
        </w:tc>
        <w:tc>
          <w:tcPr>
            <w:tcW w:w="1208" w:type="dxa"/>
            <w:tcBorders>
              <w:top w:val="single" w:color="auto" w:sz="4" w:space="0"/>
              <w:left w:val="single" w:color="auto" w:sz="4" w:space="0"/>
              <w:right w:val="single" w:color="auto" w:sz="4" w:space="0"/>
            </w:tcBorders>
            <w:noWrap w:val="0"/>
            <w:vAlign w:val="center"/>
          </w:tcPr>
          <w:p>
            <w:pPr>
              <w:widowControl/>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6分</w:t>
            </w:r>
          </w:p>
        </w:tc>
        <w:tc>
          <w:tcPr>
            <w:tcW w:w="4392" w:type="dxa"/>
            <w:tcBorders>
              <w:top w:val="single" w:color="auto" w:sz="4" w:space="0"/>
              <w:left w:val="single" w:color="auto" w:sz="4" w:space="0"/>
              <w:right w:val="single" w:color="auto" w:sz="4" w:space="0"/>
            </w:tcBorders>
            <w:noWrap w:val="0"/>
            <w:vAlign w:val="center"/>
          </w:tcPr>
          <w:p>
            <w:pPr>
              <w:spacing w:line="360" w:lineRule="auto"/>
              <w:ind w:firstLine="420" w:firstLineChars="200"/>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完全满足采购文件第三部分商务要求、服务要求的得6分。有负偏离的每有一项扣0.5分。扣完为止。</w:t>
            </w:r>
          </w:p>
        </w:tc>
        <w:tc>
          <w:tcPr>
            <w:tcW w:w="1888" w:type="dxa"/>
            <w:tcBorders>
              <w:top w:val="single" w:color="auto" w:sz="4" w:space="0"/>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注：“★”标注的服务及商务要求为实质性要求，不作为评分。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658" w:type="dxa"/>
            <w:tcBorders>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515" w:type="dxa"/>
            <w:tcBorders>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顾问律师配备20%</w:t>
            </w:r>
          </w:p>
        </w:tc>
        <w:tc>
          <w:tcPr>
            <w:tcW w:w="1208" w:type="dxa"/>
            <w:tcBorders>
              <w:top w:val="single" w:color="auto" w:sz="4" w:space="0"/>
              <w:left w:val="single" w:color="auto" w:sz="4" w:space="0"/>
              <w:right w:val="single" w:color="auto" w:sz="4" w:space="0"/>
            </w:tcBorders>
            <w:noWrap w:val="0"/>
            <w:vAlign w:val="center"/>
          </w:tcPr>
          <w:p>
            <w:pPr>
              <w:widowControl/>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20分</w:t>
            </w:r>
          </w:p>
        </w:tc>
        <w:tc>
          <w:tcPr>
            <w:tcW w:w="4392" w:type="dxa"/>
            <w:tcBorders>
              <w:top w:val="single" w:color="auto" w:sz="4" w:space="0"/>
              <w:left w:val="single" w:color="auto" w:sz="4" w:space="0"/>
              <w:right w:val="single" w:color="auto" w:sz="4" w:space="0"/>
            </w:tcBorders>
            <w:noWrap w:val="0"/>
            <w:vAlign w:val="center"/>
          </w:tcPr>
          <w:p>
            <w:pPr>
              <w:spacing w:line="360" w:lineRule="auto"/>
              <w:jc w:val="both"/>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1、为本项目安排专职律师超过10人（含10人）的，得10分，7-9人得7分，4-6人得4分，其他不得分，最高得10分。</w:t>
            </w:r>
          </w:p>
          <w:p>
            <w:pPr>
              <w:spacing w:line="360" w:lineRule="auto"/>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2、安排的专职律师中，执业时间超过10年（不含10年）的专职律师每人得4分，执业时间5-10年（ 不含10年）的专职律师每人得3分，执业时间3-5年（不含5年）的专职律师每人得2分，最高得10分。</w:t>
            </w:r>
          </w:p>
          <w:p>
            <w:pPr>
              <w:spacing w:line="360" w:lineRule="auto"/>
              <w:jc w:val="both"/>
              <w:rPr>
                <w:rFonts w:hint="eastAsia" w:ascii="宋体" w:hAnsi="宋体" w:eastAsia="宋体" w:cs="宋体"/>
                <w:color w:val="auto"/>
                <w:kern w:val="0"/>
                <w:sz w:val="21"/>
                <w:szCs w:val="21"/>
                <w:highlight w:val="none"/>
                <w:lang w:val="en-US" w:eastAsia="zh-CN"/>
              </w:rPr>
            </w:pPr>
          </w:p>
        </w:tc>
        <w:tc>
          <w:tcPr>
            <w:tcW w:w="1888" w:type="dxa"/>
            <w:tcBorders>
              <w:left w:val="single" w:color="auto" w:sz="4" w:space="0"/>
              <w:right w:val="single" w:color="auto" w:sz="4" w:space="0"/>
            </w:tcBorders>
            <w:noWrap w:val="0"/>
            <w:vAlign w:val="center"/>
          </w:tcPr>
          <w:p>
            <w:pPr>
              <w:spacing w:line="360" w:lineRule="auto"/>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58" w:type="dxa"/>
            <w:vMerge w:val="restart"/>
            <w:tcBorders>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515" w:type="dxa"/>
            <w:vMerge w:val="restart"/>
            <w:tcBorders>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企业荣誉32%</w:t>
            </w:r>
          </w:p>
        </w:tc>
        <w:tc>
          <w:tcPr>
            <w:tcW w:w="1208" w:type="dxa"/>
            <w:tcBorders>
              <w:left w:val="single" w:color="auto" w:sz="4" w:space="0"/>
              <w:right w:val="single" w:color="auto" w:sz="4" w:space="0"/>
            </w:tcBorders>
            <w:noWrap w:val="0"/>
            <w:vAlign w:val="center"/>
          </w:tcPr>
          <w:p>
            <w:pPr>
              <w:widowControl/>
              <w:spacing w:line="360" w:lineRule="auto"/>
              <w:jc w:val="both"/>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SA"/>
              </w:rPr>
              <w:t>20分</w:t>
            </w:r>
          </w:p>
        </w:tc>
        <w:tc>
          <w:tcPr>
            <w:tcW w:w="4392" w:type="dxa"/>
            <w:tcBorders>
              <w:top w:val="single" w:color="auto" w:sz="4" w:space="0"/>
              <w:left w:val="single" w:color="auto" w:sz="4" w:space="0"/>
              <w:right w:val="single" w:color="auto" w:sz="4" w:space="0"/>
            </w:tcBorders>
            <w:noWrap w:val="0"/>
            <w:vAlign w:val="center"/>
          </w:tcPr>
          <w:p>
            <w:pPr>
              <w:spacing w:line="360" w:lineRule="auto"/>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自2015.1.1至今，供应商担任行政事业单位、国有企业法律顾问的，每一家顾问单位得2分，最多不超过20分。提供合同及收款凭证复印件，加盖供应商公章，不提供不得分。</w:t>
            </w:r>
          </w:p>
        </w:tc>
        <w:tc>
          <w:tcPr>
            <w:tcW w:w="1888" w:type="dxa"/>
            <w:tcBorders>
              <w:left w:val="single" w:color="auto" w:sz="4" w:space="0"/>
              <w:right w:val="single" w:color="auto" w:sz="4" w:space="0"/>
            </w:tcBorders>
            <w:noWrap w:val="0"/>
            <w:vAlign w:val="center"/>
          </w:tcPr>
          <w:p>
            <w:pPr>
              <w:spacing w:line="360" w:lineRule="auto"/>
              <w:ind w:firstLine="210" w:firstLineChars="100"/>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58" w:type="dxa"/>
            <w:vMerge w:val="continue"/>
            <w:tcBorders>
              <w:left w:val="single" w:color="auto" w:sz="4" w:space="0"/>
              <w:right w:val="single" w:color="auto" w:sz="4" w:space="0"/>
            </w:tcBorders>
            <w:noWrap w:val="0"/>
            <w:vAlign w:val="center"/>
          </w:tcPr>
          <w:p>
            <w:pPr>
              <w:pStyle w:val="7"/>
              <w:spacing w:line="360" w:lineRule="auto"/>
              <w:ind w:firstLine="420" w:firstLineChars="200"/>
              <w:jc w:val="both"/>
              <w:rPr>
                <w:rFonts w:hint="eastAsia" w:ascii="宋体" w:hAnsi="宋体" w:eastAsia="宋体" w:cs="宋体"/>
                <w:color w:val="auto"/>
                <w:sz w:val="21"/>
                <w:szCs w:val="21"/>
                <w:highlight w:val="none"/>
                <w:lang w:val="en-US" w:eastAsia="zh-CN"/>
              </w:rPr>
            </w:pPr>
          </w:p>
        </w:tc>
        <w:tc>
          <w:tcPr>
            <w:tcW w:w="1515" w:type="dxa"/>
            <w:vMerge w:val="continue"/>
            <w:tcBorders>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p>
        </w:tc>
        <w:tc>
          <w:tcPr>
            <w:tcW w:w="1208" w:type="dxa"/>
            <w:tcBorders>
              <w:left w:val="single" w:color="auto" w:sz="4" w:space="0"/>
              <w:right w:val="single" w:color="auto" w:sz="4" w:space="0"/>
            </w:tcBorders>
            <w:noWrap w:val="0"/>
            <w:vAlign w:val="center"/>
          </w:tcPr>
          <w:p>
            <w:pPr>
              <w:widowControl/>
              <w:spacing w:line="360" w:lineRule="auto"/>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12分</w:t>
            </w:r>
          </w:p>
        </w:tc>
        <w:tc>
          <w:tcPr>
            <w:tcW w:w="4392" w:type="dxa"/>
            <w:tcBorders>
              <w:top w:val="single" w:color="auto" w:sz="4" w:space="0"/>
              <w:left w:val="single" w:color="auto" w:sz="4" w:space="0"/>
              <w:right w:val="single" w:color="auto" w:sz="4" w:space="0"/>
            </w:tcBorders>
            <w:noWrap w:val="0"/>
            <w:vAlign w:val="center"/>
          </w:tcPr>
          <w:p>
            <w:pPr>
              <w:spacing w:line="360" w:lineRule="auto"/>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2013.1.1至今是否具有为经济和信息化主管部门提供常年法律顾问服务的经历、代理过经济和信息化部门案件或为经济和信息化主管部门提供专项的经历。每有一个得3分，最多不超过12分。提供证明材料复印件，加供应商公章，不提供不得分。</w:t>
            </w:r>
          </w:p>
        </w:tc>
        <w:tc>
          <w:tcPr>
            <w:tcW w:w="1888" w:type="dxa"/>
            <w:tcBorders>
              <w:left w:val="single" w:color="auto" w:sz="4" w:space="0"/>
              <w:right w:val="single" w:color="auto" w:sz="4" w:space="0"/>
            </w:tcBorders>
            <w:noWrap w:val="0"/>
            <w:vAlign w:val="center"/>
          </w:tcPr>
          <w:p>
            <w:pPr>
              <w:spacing w:line="360" w:lineRule="auto"/>
              <w:ind w:firstLine="210" w:firstLineChars="100"/>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58" w:type="dxa"/>
            <w:vMerge w:val="restart"/>
            <w:tcBorders>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515" w:type="dxa"/>
            <w:vMerge w:val="restart"/>
            <w:tcBorders>
              <w:left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服务承诺 30%</w:t>
            </w:r>
          </w:p>
        </w:tc>
        <w:tc>
          <w:tcPr>
            <w:tcW w:w="1208" w:type="dxa"/>
            <w:tcBorders>
              <w:left w:val="single" w:color="auto" w:sz="4" w:space="0"/>
              <w:bottom w:val="single" w:color="auto" w:sz="4" w:space="0"/>
              <w:right w:val="single" w:color="auto" w:sz="4" w:space="0"/>
            </w:tcBorders>
            <w:noWrap w:val="0"/>
            <w:vAlign w:val="center"/>
          </w:tcPr>
          <w:p>
            <w:pPr>
              <w:widowControl/>
              <w:spacing w:line="360" w:lineRule="auto"/>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方案具有可操作性和针对性（20分）</w:t>
            </w:r>
          </w:p>
        </w:tc>
        <w:tc>
          <w:tcPr>
            <w:tcW w:w="43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both"/>
              <w:rPr>
                <w:rFonts w:hint="default" w:ascii="宋体" w:hAnsi="宋体" w:eastAsia="宋体" w:cs="宋体"/>
                <w:color w:val="auto"/>
                <w:kern w:val="0"/>
                <w:sz w:val="21"/>
                <w:szCs w:val="21"/>
                <w:highlight w:val="none"/>
                <w:lang w:val="en-US" w:eastAsia="zh-CN"/>
              </w:rPr>
            </w:pPr>
            <w:r>
              <w:rPr>
                <w:rFonts w:hint="default" w:ascii="宋体" w:hAnsi="宋体" w:eastAsia="宋体" w:cs="宋体"/>
                <w:color w:val="auto"/>
                <w:kern w:val="0"/>
                <w:sz w:val="21"/>
                <w:szCs w:val="21"/>
                <w:highlight w:val="none"/>
                <w:lang w:val="en-US" w:eastAsia="zh-CN"/>
              </w:rPr>
              <w:t>为完成采购人需求全方位思考的服务方案优秀的得1</w:t>
            </w:r>
            <w:r>
              <w:rPr>
                <w:rFonts w:hint="eastAsia" w:ascii="宋体" w:hAnsi="宋体" w:eastAsia="宋体" w:cs="宋体"/>
                <w:color w:val="auto"/>
                <w:kern w:val="0"/>
                <w:sz w:val="21"/>
                <w:szCs w:val="21"/>
                <w:highlight w:val="none"/>
                <w:lang w:val="en-US" w:eastAsia="zh-CN"/>
              </w:rPr>
              <w:t>5</w:t>
            </w:r>
            <w:r>
              <w:rPr>
                <w:rFonts w:hint="default"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20</w:t>
            </w:r>
            <w:r>
              <w:rPr>
                <w:rFonts w:hint="default" w:ascii="宋体" w:hAnsi="宋体" w:eastAsia="宋体" w:cs="宋体"/>
                <w:color w:val="auto"/>
                <w:kern w:val="0"/>
                <w:sz w:val="21"/>
                <w:szCs w:val="21"/>
                <w:highlight w:val="none"/>
                <w:lang w:val="en-US" w:eastAsia="zh-CN"/>
              </w:rPr>
              <w:t>分；良好的得</w:t>
            </w:r>
            <w:r>
              <w:rPr>
                <w:rFonts w:hint="eastAsia" w:ascii="宋体" w:hAnsi="宋体" w:eastAsia="宋体" w:cs="宋体"/>
                <w:color w:val="auto"/>
                <w:kern w:val="0"/>
                <w:sz w:val="21"/>
                <w:szCs w:val="21"/>
                <w:highlight w:val="none"/>
                <w:lang w:val="en-US" w:eastAsia="zh-CN"/>
              </w:rPr>
              <w:t>9</w:t>
            </w:r>
            <w:r>
              <w:rPr>
                <w:rFonts w:hint="default" w:ascii="宋体" w:hAnsi="宋体" w:eastAsia="宋体" w:cs="宋体"/>
                <w:color w:val="auto"/>
                <w:kern w:val="0"/>
                <w:sz w:val="21"/>
                <w:szCs w:val="21"/>
                <w:highlight w:val="none"/>
                <w:lang w:val="en-US" w:eastAsia="zh-CN"/>
              </w:rPr>
              <w:t>-</w:t>
            </w:r>
            <w:r>
              <w:rPr>
                <w:rFonts w:hint="eastAsia" w:ascii="宋体" w:hAnsi="宋体" w:eastAsia="宋体" w:cs="宋体"/>
                <w:color w:val="auto"/>
                <w:kern w:val="0"/>
                <w:sz w:val="21"/>
                <w:szCs w:val="21"/>
                <w:highlight w:val="none"/>
                <w:lang w:val="en-US" w:eastAsia="zh-CN"/>
              </w:rPr>
              <w:t>14</w:t>
            </w:r>
            <w:r>
              <w:rPr>
                <w:rFonts w:hint="default" w:ascii="宋体" w:hAnsi="宋体" w:eastAsia="宋体" w:cs="宋体"/>
                <w:color w:val="auto"/>
                <w:kern w:val="0"/>
                <w:sz w:val="21"/>
                <w:szCs w:val="21"/>
                <w:highlight w:val="none"/>
                <w:lang w:val="en-US" w:eastAsia="zh-CN"/>
              </w:rPr>
              <w:t>分；一般的得1-</w:t>
            </w:r>
            <w:r>
              <w:rPr>
                <w:rFonts w:hint="eastAsia" w:ascii="宋体" w:hAnsi="宋体" w:eastAsia="宋体" w:cs="宋体"/>
                <w:color w:val="auto"/>
                <w:kern w:val="0"/>
                <w:sz w:val="21"/>
                <w:szCs w:val="21"/>
                <w:highlight w:val="none"/>
                <w:lang w:val="en-US" w:eastAsia="zh-CN"/>
              </w:rPr>
              <w:t>8</w:t>
            </w:r>
            <w:r>
              <w:rPr>
                <w:rFonts w:hint="default" w:ascii="宋体" w:hAnsi="宋体" w:eastAsia="宋体" w:cs="宋体"/>
                <w:color w:val="auto"/>
                <w:kern w:val="0"/>
                <w:sz w:val="21"/>
                <w:szCs w:val="21"/>
                <w:highlight w:val="none"/>
                <w:lang w:val="en-US" w:eastAsia="zh-CN"/>
              </w:rPr>
              <w:t>分。</w:t>
            </w:r>
          </w:p>
        </w:tc>
        <w:tc>
          <w:tcPr>
            <w:tcW w:w="1888" w:type="dxa"/>
            <w:tcBorders>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658" w:type="dxa"/>
            <w:vMerge w:val="continue"/>
            <w:tcBorders>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p>
        </w:tc>
        <w:tc>
          <w:tcPr>
            <w:tcW w:w="1515" w:type="dxa"/>
            <w:vMerge w:val="continue"/>
            <w:tcBorders>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val="en-US" w:eastAsia="zh-CN"/>
              </w:rPr>
            </w:pPr>
          </w:p>
        </w:tc>
        <w:tc>
          <w:tcPr>
            <w:tcW w:w="1208" w:type="dxa"/>
            <w:tcBorders>
              <w:left w:val="single" w:color="auto" w:sz="4" w:space="0"/>
              <w:bottom w:val="single" w:color="auto" w:sz="4" w:space="0"/>
              <w:right w:val="single" w:color="auto" w:sz="4" w:space="0"/>
            </w:tcBorders>
            <w:noWrap w:val="0"/>
            <w:vAlign w:val="center"/>
          </w:tcPr>
          <w:p>
            <w:pPr>
              <w:widowControl/>
              <w:spacing w:line="360" w:lineRule="auto"/>
              <w:jc w:val="both"/>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质量控制水平（10分）</w:t>
            </w:r>
          </w:p>
        </w:tc>
        <w:tc>
          <w:tcPr>
            <w:tcW w:w="43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default"/>
                <w:lang w:val="en-US" w:eastAsia="zh-CN"/>
              </w:rPr>
            </w:pPr>
            <w:r>
              <w:rPr>
                <w:rFonts w:hint="default"/>
                <w:lang w:val="en-US" w:eastAsia="zh-CN"/>
              </w:rPr>
              <w:t>质量控制措施明确，方法得当的得</w:t>
            </w:r>
            <w:r>
              <w:rPr>
                <w:rFonts w:hint="eastAsia"/>
                <w:lang w:val="en-US" w:eastAsia="zh-CN"/>
              </w:rPr>
              <w:t>6</w:t>
            </w:r>
            <w:r>
              <w:rPr>
                <w:rFonts w:hint="default"/>
                <w:lang w:val="en-US" w:eastAsia="zh-CN"/>
              </w:rPr>
              <w:t>-</w:t>
            </w:r>
            <w:r>
              <w:rPr>
                <w:rFonts w:hint="eastAsia"/>
                <w:lang w:val="en-US" w:eastAsia="zh-CN"/>
              </w:rPr>
              <w:t>10</w:t>
            </w:r>
            <w:r>
              <w:rPr>
                <w:rFonts w:hint="default"/>
                <w:lang w:val="en-US" w:eastAsia="zh-CN"/>
              </w:rPr>
              <w:t>分</w:t>
            </w:r>
          </w:p>
          <w:p>
            <w:pPr>
              <w:spacing w:line="360" w:lineRule="auto"/>
              <w:jc w:val="both"/>
              <w:rPr>
                <w:rFonts w:hint="default"/>
                <w:lang w:val="en-US" w:eastAsia="zh-CN"/>
              </w:rPr>
            </w:pPr>
            <w:r>
              <w:rPr>
                <w:rFonts w:hint="default"/>
                <w:lang w:val="en-US" w:eastAsia="zh-CN"/>
              </w:rPr>
              <w:t>质量控制措施一般，方法一般的得1-</w:t>
            </w:r>
            <w:r>
              <w:rPr>
                <w:rFonts w:hint="eastAsia"/>
                <w:lang w:val="en-US" w:eastAsia="zh-CN"/>
              </w:rPr>
              <w:t>5</w:t>
            </w:r>
            <w:r>
              <w:rPr>
                <w:rFonts w:hint="default"/>
                <w:lang w:val="en-US" w:eastAsia="zh-CN"/>
              </w:rPr>
              <w:t>分</w:t>
            </w:r>
          </w:p>
          <w:p>
            <w:pPr>
              <w:pStyle w:val="3"/>
              <w:rPr>
                <w:rFonts w:hint="default"/>
                <w:lang w:val="en-US" w:eastAsia="zh-CN"/>
              </w:rPr>
            </w:pPr>
            <w:r>
              <w:rPr>
                <w:rFonts w:hint="eastAsia" w:ascii="宋体" w:hAnsi="宋体" w:eastAsia="宋体" w:cs="宋体"/>
                <w:color w:val="auto"/>
                <w:kern w:val="0"/>
                <w:sz w:val="21"/>
                <w:szCs w:val="21"/>
                <w:highlight w:val="none"/>
                <w:lang w:val="en-US" w:eastAsia="zh-CN"/>
              </w:rPr>
              <w:t>其他不得分</w:t>
            </w:r>
          </w:p>
        </w:tc>
        <w:tc>
          <w:tcPr>
            <w:tcW w:w="1888" w:type="dxa"/>
            <w:tcBorders>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65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响应文件的规范性2%</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2分</w:t>
            </w:r>
          </w:p>
        </w:tc>
        <w:tc>
          <w:tcPr>
            <w:tcW w:w="4392"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文件制作规范，没有细微偏差情形的得2分，有一项细微偏差扣0.5分，直至该项分值扣完为止。</w:t>
            </w:r>
          </w:p>
        </w:tc>
        <w:tc>
          <w:tcPr>
            <w:tcW w:w="188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auto"/>
              <w:jc w:val="both"/>
              <w:rPr>
                <w:rFonts w:hint="eastAsia" w:ascii="宋体" w:hAnsi="宋体" w:eastAsia="宋体" w:cs="宋体"/>
                <w:color w:val="auto"/>
                <w:sz w:val="21"/>
                <w:szCs w:val="21"/>
                <w:highlight w:val="none"/>
              </w:rPr>
            </w:pPr>
          </w:p>
        </w:tc>
      </w:tr>
    </w:tbl>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四、报名参加磋商的供应商名单</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至本项目竞争性磋商文件提供结束，共有</w:t>
      </w:r>
      <w:r>
        <w:rPr>
          <w:rFonts w:hint="eastAsia" w:ascii="仿宋" w:hAnsi="仿宋" w:eastAsia="仿宋" w:cs="仿宋"/>
          <w:sz w:val="32"/>
          <w:szCs w:val="32"/>
          <w:u w:val="single"/>
          <w:lang w:val="en-US" w:eastAsia="zh-CN"/>
        </w:rPr>
        <w:t>3</w:t>
      </w:r>
      <w:r>
        <w:rPr>
          <w:rFonts w:hint="eastAsia" w:ascii="仿宋" w:hAnsi="仿宋" w:eastAsia="仿宋" w:cs="仿宋"/>
          <w:sz w:val="32"/>
          <w:szCs w:val="32"/>
          <w:lang w:val="en-US" w:eastAsia="zh-CN"/>
        </w:rPr>
        <w:t>家供应商报名获得了竞争性磋商文件。</w:t>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五、磋商地点和磋商小组成员名单</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1、磋商地点：成都市市级机关第四办公区C103会议室</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磋商小组成员名单：根据《中华人民共和国政府采购法》及其他规定，成立了由3人组成的磋商小组，于2019年12月13日在市公共资源交易中心财政局窗口管理的评审专家库中借用了法律专家1名，经济专家1名，负责本次采购项目的评审工作。</w:t>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六、磋商情况</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磋商小组组成：磋商小组由2名专家和1名采购人代表组成，磋商小组组长：</w:t>
      </w:r>
      <w:r>
        <w:rPr>
          <w:rFonts w:hint="eastAsia" w:ascii="仿宋" w:hAnsi="仿宋" w:eastAsia="仿宋" w:cs="仿宋"/>
          <w:sz w:val="32"/>
          <w:szCs w:val="32"/>
          <w:u w:val="single"/>
          <w:lang w:val="en-US" w:eastAsia="zh-CN"/>
        </w:rPr>
        <w:t xml:space="preserve">李俊章（法律专家） </w:t>
      </w:r>
      <w:r>
        <w:rPr>
          <w:rFonts w:hint="eastAsia" w:ascii="仿宋" w:hAnsi="仿宋" w:eastAsia="仿宋" w:cs="仿宋"/>
          <w:sz w:val="32"/>
          <w:szCs w:val="32"/>
          <w:lang w:val="en-US" w:eastAsia="zh-CN"/>
        </w:rPr>
        <w:t>；磋商小组成员</w:t>
      </w:r>
      <w:r>
        <w:rPr>
          <w:rFonts w:hint="eastAsia" w:ascii="仿宋" w:hAnsi="仿宋" w:eastAsia="仿宋" w:cs="仿宋"/>
          <w:sz w:val="32"/>
          <w:szCs w:val="32"/>
          <w:u w:val="single"/>
          <w:lang w:val="en-US" w:eastAsia="zh-CN"/>
        </w:rPr>
        <w:t xml:space="preserve">  范芹（经济专家） </w:t>
      </w:r>
      <w:r>
        <w:rPr>
          <w:rFonts w:hint="eastAsia" w:ascii="仿宋" w:hAnsi="仿宋" w:eastAsia="仿宋" w:cs="仿宋"/>
          <w:sz w:val="32"/>
          <w:szCs w:val="32"/>
          <w:lang w:val="en-US" w:eastAsia="zh-CN"/>
        </w:rPr>
        <w:t xml:space="preserve"> 、 </w:t>
      </w:r>
      <w:r>
        <w:rPr>
          <w:rFonts w:hint="eastAsia" w:ascii="仿宋" w:hAnsi="仿宋" w:eastAsia="仿宋" w:cs="仿宋"/>
          <w:sz w:val="32"/>
          <w:szCs w:val="32"/>
          <w:u w:val="single"/>
          <w:lang w:val="en-US" w:eastAsia="zh-CN"/>
        </w:rPr>
        <w:t xml:space="preserve">  王家林 </w:t>
      </w:r>
      <w:r>
        <w:rPr>
          <w:rFonts w:hint="eastAsia" w:ascii="仿宋" w:hAnsi="仿宋" w:eastAsia="仿宋" w:cs="仿宋"/>
          <w:sz w:val="32"/>
          <w:szCs w:val="32"/>
          <w:lang w:val="en-US" w:eastAsia="zh-CN"/>
        </w:rPr>
        <w:t>（采购人代表）。</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响应文件递交：响应文件递交截止时间：2019年12月16日上午10:00，  家供应商按时提交了响应文件。项目工作人员汇通响应人授权代表检查了响应文件密封情况，采购人代表确认签字。</w:t>
      </w:r>
    </w:p>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七、评审情况及说明</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有效供应商名单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left"/>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四川蓉桦律师事务所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left"/>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国浩律师（成都）事务所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numPr>
                <w:ilvl w:val="0"/>
                <w:numId w:val="0"/>
              </w:numPr>
              <w:jc w:val="left"/>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四川晰理律师事务所</w:t>
            </w:r>
          </w:p>
        </w:tc>
      </w:tr>
    </w:tbl>
    <w:p>
      <w:pPr>
        <w:numPr>
          <w:ilvl w:val="0"/>
          <w:numId w:val="0"/>
        </w:numPr>
        <w:ind w:left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八、磋商结果及磋商小组磋商建议</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根据竞争性磋商文件要求，磋商小组将委托人推荐的成交候选供应商具体推荐如下：</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3305"/>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8"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成交候选供应商排序</w:t>
            </w:r>
          </w:p>
        </w:tc>
        <w:tc>
          <w:tcPr>
            <w:tcW w:w="3305"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供应商名称</w:t>
            </w:r>
          </w:p>
        </w:tc>
        <w:tc>
          <w:tcPr>
            <w:tcW w:w="2117" w:type="dxa"/>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磋商最终报价（人民币：元）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8" w:type="dxa"/>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第一成交供应商候选人</w:t>
            </w:r>
          </w:p>
        </w:tc>
        <w:tc>
          <w:tcPr>
            <w:tcW w:w="3305" w:type="dxa"/>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四川蓉桦律师事务所</w:t>
            </w:r>
          </w:p>
        </w:tc>
        <w:tc>
          <w:tcPr>
            <w:tcW w:w="2117" w:type="dxa"/>
          </w:tcPr>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8" w:type="dxa"/>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第二成交供应商候选人</w:t>
            </w:r>
          </w:p>
        </w:tc>
        <w:tc>
          <w:tcPr>
            <w:tcW w:w="3305" w:type="dxa"/>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四川晰理律师事务所</w:t>
            </w:r>
          </w:p>
        </w:tc>
        <w:tc>
          <w:tcPr>
            <w:tcW w:w="2117" w:type="dxa"/>
          </w:tcPr>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98" w:type="dxa"/>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第三成交供应商候选人</w:t>
            </w:r>
          </w:p>
        </w:tc>
        <w:tc>
          <w:tcPr>
            <w:tcW w:w="3305" w:type="dxa"/>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国浩律师（成都）事务所</w:t>
            </w:r>
          </w:p>
        </w:tc>
        <w:tc>
          <w:tcPr>
            <w:tcW w:w="2117" w:type="dxa"/>
          </w:tcPr>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98900</w:t>
            </w:r>
            <w:bookmarkStart w:id="0" w:name="_GoBack"/>
            <w:bookmarkEnd w:id="0"/>
          </w:p>
        </w:tc>
      </w:tr>
    </w:tbl>
    <w:p>
      <w:pPr>
        <w:numPr>
          <w:ilvl w:val="0"/>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九、磋商小组有不同意见的说明</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本成员队磋商过程和磋商结果有不同意见，特说明如下：无。</w:t>
      </w:r>
    </w:p>
    <w:p>
      <w:pPr>
        <w:jc w:val="left"/>
        <w:rPr>
          <w:rFonts w:hint="eastAsia" w:ascii="黑体" w:hAnsi="黑体" w:eastAsia="黑体" w:cs="黑体"/>
          <w:sz w:val="32"/>
          <w:szCs w:val="32"/>
          <w:lang w:val="en-US" w:eastAsia="zh-CN"/>
        </w:rPr>
      </w:pPr>
    </w:p>
    <w:p>
      <w:pPr>
        <w:ind w:firstLine="5440" w:firstLineChars="1700"/>
        <w:jc w:val="left"/>
      </w:pPr>
      <w:r>
        <w:rPr>
          <w:rFonts w:hint="eastAsia" w:ascii="黑体" w:hAnsi="黑体" w:eastAsia="黑体" w:cs="黑体"/>
          <w:sz w:val="32"/>
          <w:szCs w:val="32"/>
          <w:lang w:val="en-US" w:eastAsia="zh-CN"/>
        </w:rPr>
        <w:t xml:space="preserve">2019年12月16日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899B"/>
    <w:multiLevelType w:val="singleLevel"/>
    <w:tmpl w:val="0102899B"/>
    <w:lvl w:ilvl="0" w:tentative="0">
      <w:start w:val="1"/>
      <w:numFmt w:val="decimal"/>
      <w:suff w:val="nothing"/>
      <w:lvlText w:val="%1、"/>
      <w:lvlJc w:val="left"/>
    </w:lvl>
  </w:abstractNum>
  <w:abstractNum w:abstractNumId="1">
    <w:nsid w:val="50458354"/>
    <w:multiLevelType w:val="singleLevel"/>
    <w:tmpl w:val="50458354"/>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47E39"/>
    <w:rsid w:val="42727246"/>
    <w:rsid w:val="49647E39"/>
    <w:rsid w:val="709D4F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szCs w:val="20"/>
    </w:rPr>
  </w:style>
  <w:style w:type="paragraph" w:styleId="3">
    <w:name w:val="Body Text"/>
    <w:basedOn w:val="1"/>
    <w:next w:val="2"/>
    <w:unhideWhenUsed/>
    <w:qFormat/>
    <w:uiPriority w:val="99"/>
    <w:pPr>
      <w:spacing w:after="12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Default"/>
    <w:qFormat/>
    <w:uiPriority w:val="0"/>
    <w:pPr>
      <w:widowControl w:val="0"/>
      <w:autoSpaceDE w:val="0"/>
      <w:autoSpaceDN w:val="0"/>
      <w:adjustRightInd w:val="0"/>
    </w:pPr>
    <w:rPr>
      <w:rFonts w:ascii="......." w:hAnsi="......."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2019-12-26T06:27:00Z</dcterms:created>
  <dc:creator>远徙</dc:creator>
  <cp:lastModifiedBy>远徙</cp:lastModifiedBy>
  <dcterms:modified xsi:type="dcterms:W3CDTF">2019-12-26T06:39:14Z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