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FE" w:rsidRDefault="003E37FE" w:rsidP="003E37FE">
      <w:pPr>
        <w:widowControl/>
        <w:shd w:val="clear" w:color="auto" w:fill="FFFFFF"/>
        <w:spacing w:line="620" w:lineRule="exact"/>
        <w:ind w:firstLine="480"/>
        <w:jc w:val="left"/>
        <w:rPr>
          <w:rFonts w:ascii="Times New Roman" w:eastAsia="方正仿宋简体" w:hAnsi="Times New Roman" w:hint="eastAsia"/>
          <w:color w:val="333333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333333"/>
          <w:kern w:val="0"/>
          <w:sz w:val="32"/>
          <w:szCs w:val="32"/>
        </w:rPr>
        <w:t>附件</w:t>
      </w:r>
      <w:r>
        <w:rPr>
          <w:rFonts w:ascii="Times New Roman" w:eastAsia="方正仿宋简体" w:hAnsi="Times New Roman" w:hint="eastAsia"/>
          <w:color w:val="333333"/>
          <w:kern w:val="0"/>
          <w:sz w:val="32"/>
          <w:szCs w:val="32"/>
        </w:rPr>
        <w:t>：</w:t>
      </w:r>
    </w:p>
    <w:p w:rsidR="003E37FE" w:rsidRPr="00726673" w:rsidRDefault="003E37FE" w:rsidP="003E37FE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Times New Roman" w:hint="eastAsia"/>
          <w:color w:val="333333"/>
          <w:kern w:val="0"/>
          <w:sz w:val="44"/>
          <w:szCs w:val="44"/>
        </w:rPr>
      </w:pPr>
      <w:r w:rsidRPr="005D6662">
        <w:rPr>
          <w:rFonts w:ascii="方正小标宋简体" w:eastAsia="方正小标宋简体" w:hAnsi="Times New Roman" w:hint="eastAsia"/>
          <w:color w:val="333333"/>
          <w:kern w:val="0"/>
          <w:sz w:val="44"/>
          <w:szCs w:val="44"/>
        </w:rPr>
        <w:t>成都市实体经济新经济领域人才奖励政策</w:t>
      </w:r>
      <w:proofErr w:type="gramStart"/>
      <w:r w:rsidRPr="005D6662">
        <w:rPr>
          <w:rFonts w:ascii="方正小标宋简体" w:eastAsia="方正小标宋简体" w:hAnsi="Times New Roman" w:hint="eastAsia"/>
          <w:color w:val="333333"/>
          <w:kern w:val="0"/>
          <w:sz w:val="44"/>
          <w:szCs w:val="44"/>
        </w:rPr>
        <w:t>拟支持</w:t>
      </w:r>
      <w:proofErr w:type="gramEnd"/>
      <w:r w:rsidRPr="005D6662">
        <w:rPr>
          <w:rFonts w:ascii="方正小标宋简体" w:eastAsia="方正小标宋简体" w:hAnsi="Times New Roman" w:hint="eastAsia"/>
          <w:color w:val="333333"/>
          <w:kern w:val="0"/>
          <w:sz w:val="44"/>
          <w:szCs w:val="44"/>
        </w:rPr>
        <w:t>名单</w:t>
      </w:r>
      <w:r w:rsidRPr="00726673">
        <w:rPr>
          <w:rFonts w:ascii="Times New Roman" w:eastAsia="方正小标宋简体" w:hAnsi="Times New Roman" w:hint="eastAsia"/>
          <w:color w:val="333333"/>
          <w:kern w:val="0"/>
          <w:sz w:val="44"/>
          <w:szCs w:val="44"/>
        </w:rPr>
        <w:t> </w:t>
      </w:r>
      <w:r w:rsidRPr="005D6662">
        <w:rPr>
          <w:rFonts w:ascii="方正小标宋简体" w:eastAsia="方正小标宋简体" w:hAnsi="Times New Roman" w:hint="eastAsia"/>
          <w:color w:val="333333"/>
          <w:kern w:val="0"/>
          <w:sz w:val="44"/>
          <w:szCs w:val="44"/>
        </w:rPr>
        <w:t>（2019年）</w:t>
      </w:r>
    </w:p>
    <w:p w:rsidR="003E37FE" w:rsidRPr="00726673" w:rsidRDefault="003E37FE" w:rsidP="003E37FE">
      <w:pPr>
        <w:spacing w:line="620" w:lineRule="exact"/>
        <w:rPr>
          <w:rFonts w:ascii="方正仿宋简体" w:eastAsia="方正仿宋简体" w:hint="eastAsia"/>
          <w:sz w:val="32"/>
          <w:szCs w:val="32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543"/>
        <w:gridCol w:w="1297"/>
        <w:gridCol w:w="1861"/>
        <w:gridCol w:w="2693"/>
        <w:gridCol w:w="1985"/>
      </w:tblGrid>
      <w:tr w:rsidR="003E37FE" w:rsidRPr="00726673" w:rsidTr="006E3128">
        <w:trPr>
          <w:trHeight w:val="624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现任职务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所属产业（领域）</w:t>
            </w:r>
          </w:p>
        </w:tc>
      </w:tr>
      <w:tr w:rsidR="003E37FE" w:rsidRPr="00726673" w:rsidTr="006E3128">
        <w:trPr>
          <w:trHeight w:val="76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FE" w:rsidRPr="00726673" w:rsidRDefault="003E37FE" w:rsidP="006E3128">
            <w:pPr>
              <w:widowControl/>
              <w:jc w:val="left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FE" w:rsidRPr="00726673" w:rsidRDefault="003E37FE" w:rsidP="006E3128">
            <w:pPr>
              <w:widowControl/>
              <w:jc w:val="left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FE" w:rsidRPr="00726673" w:rsidRDefault="003E37FE" w:rsidP="006E3128">
            <w:pPr>
              <w:widowControl/>
              <w:jc w:val="left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FE" w:rsidRPr="00726673" w:rsidRDefault="003E37FE" w:rsidP="006E3128">
            <w:pPr>
              <w:widowControl/>
              <w:jc w:val="left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FE" w:rsidRPr="00726673" w:rsidRDefault="003E37FE" w:rsidP="006E3128">
            <w:pPr>
              <w:widowControl/>
              <w:jc w:val="left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E37FE" w:rsidRPr="00726673" w:rsidTr="006E3128">
        <w:trPr>
          <w:trHeight w:val="7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王晓红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市场部总监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成都倍特药业有限公司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医药健康</w:t>
            </w:r>
          </w:p>
        </w:tc>
      </w:tr>
      <w:tr w:rsidR="003E37FE" w:rsidRPr="00726673" w:rsidTr="006E3128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林丽雅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市场部总监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成都倍特药业有限公司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医药健康</w:t>
            </w:r>
          </w:p>
        </w:tc>
      </w:tr>
      <w:tr w:rsidR="003E37FE" w:rsidRPr="00726673" w:rsidTr="006E3128">
        <w:trPr>
          <w:trHeight w:val="7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张越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医学总监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成都倍特药业有限公司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医药健康</w:t>
            </w:r>
          </w:p>
        </w:tc>
      </w:tr>
      <w:tr w:rsidR="003E37FE" w:rsidRPr="00726673" w:rsidTr="006E3128">
        <w:trPr>
          <w:trHeight w:val="8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李庆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非同（成都）生物科技有限公司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医药健康</w:t>
            </w:r>
          </w:p>
        </w:tc>
      </w:tr>
      <w:tr w:rsidR="003E37FE" w:rsidRPr="00726673" w:rsidTr="006E3128">
        <w:trPr>
          <w:trHeight w:val="6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郑小华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成都大汇云智科技有限公司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新经济</w:t>
            </w:r>
          </w:p>
        </w:tc>
      </w:tr>
      <w:tr w:rsidR="003E37FE" w:rsidRPr="00726673" w:rsidTr="006E3128">
        <w:trPr>
          <w:trHeight w:val="11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黄万忠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首席数据官、数据服务事业群总裁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成都数联铭品科技有限公司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新经济</w:t>
            </w:r>
          </w:p>
        </w:tc>
      </w:tr>
      <w:tr w:rsidR="003E37FE" w:rsidRPr="00726673" w:rsidTr="006E3128">
        <w:trPr>
          <w:trHeight w:val="7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刘平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副院长、临床中心主任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四川科伦药物研究院有限公司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医药健康</w:t>
            </w:r>
          </w:p>
        </w:tc>
      </w:tr>
      <w:tr w:rsidR="003E37FE" w:rsidRPr="00726673" w:rsidTr="006E3128">
        <w:trPr>
          <w:trHeight w:val="8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proofErr w:type="spellStart"/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Xiaoqiang</w:t>
            </w:r>
            <w:proofErr w:type="spellEnd"/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 xml:space="preserve"> Ma</w:t>
            </w: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br/>
            </w: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马晓强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药代总监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四川科伦药业股份有限公司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医药健康</w:t>
            </w:r>
          </w:p>
        </w:tc>
      </w:tr>
      <w:tr w:rsidR="003E37FE" w:rsidRPr="00726673" w:rsidTr="006E3128">
        <w:trPr>
          <w:trHeight w:val="7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ZHAOYU GUO</w:t>
            </w: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br/>
            </w: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郭兆愉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药代总监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四川科伦药物研究院有限公司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医药健康</w:t>
            </w:r>
          </w:p>
        </w:tc>
      </w:tr>
      <w:tr w:rsidR="003E37FE" w:rsidRPr="00726673" w:rsidTr="006E3128">
        <w:trPr>
          <w:trHeight w:val="11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扈玉婷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微生物菌株开发及发酵工艺总监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四川科伦药物研究院有限公司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医药健康</w:t>
            </w:r>
          </w:p>
        </w:tc>
      </w:tr>
      <w:tr w:rsidR="003E37FE" w:rsidRPr="00726673" w:rsidTr="006E3128">
        <w:trPr>
          <w:trHeight w:val="10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proofErr w:type="spellStart"/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Luchuan</w:t>
            </w:r>
            <w:proofErr w:type="spellEnd"/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 xml:space="preserve"> Shu</w:t>
            </w: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舒路川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创新中心副总裁（创新分析）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四川科伦药物研究院有限公司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医药健康</w:t>
            </w:r>
          </w:p>
        </w:tc>
      </w:tr>
      <w:tr w:rsidR="003E37FE" w:rsidRPr="00726673" w:rsidTr="006E3128">
        <w:trPr>
          <w:trHeight w:val="7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proofErr w:type="gramStart"/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戚建英</w:t>
            </w:r>
            <w:proofErr w:type="gramEnd"/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br/>
            </w:r>
            <w:proofErr w:type="spellStart"/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Jianying</w:t>
            </w:r>
            <w:proofErr w:type="spellEnd"/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 xml:space="preserve"> Qi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多肽纯化研究总监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四川科伦药物研究院有限公司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医药健康</w:t>
            </w:r>
          </w:p>
        </w:tc>
      </w:tr>
      <w:tr w:rsidR="003E37FE" w:rsidRPr="00726673" w:rsidTr="006E3128">
        <w:trPr>
          <w:trHeight w:val="7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proofErr w:type="spellStart"/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Saptarshi</w:t>
            </w:r>
            <w:proofErr w:type="spellEnd"/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Nath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制剂总监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四川科伦药物研究院有限公司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医药健康</w:t>
            </w:r>
          </w:p>
        </w:tc>
      </w:tr>
      <w:tr w:rsidR="003E37FE" w:rsidRPr="00726673" w:rsidTr="006E3128">
        <w:trPr>
          <w:trHeight w:val="11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陈祖棠</w:t>
            </w: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br/>
              <w:t xml:space="preserve">Taylor </w:t>
            </w:r>
            <w:proofErr w:type="spellStart"/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Zutang</w:t>
            </w:r>
            <w:proofErr w:type="spellEnd"/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 xml:space="preserve"> Cheney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细胞培养工艺总监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四川科伦药物研究院有限公司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医药健康</w:t>
            </w:r>
          </w:p>
        </w:tc>
      </w:tr>
      <w:tr w:rsidR="003E37FE" w:rsidRPr="00726673" w:rsidTr="006E3128">
        <w:trPr>
          <w:trHeight w:val="7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proofErr w:type="gramStart"/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曾瑞田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成都友利汽车部件有限公司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装备制造</w:t>
            </w:r>
          </w:p>
        </w:tc>
      </w:tr>
      <w:tr w:rsidR="003E37FE" w:rsidRPr="00726673" w:rsidTr="006E3128">
        <w:trPr>
          <w:trHeight w:val="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proofErr w:type="gramStart"/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胡强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成都森未科技有限公司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电子信息</w:t>
            </w:r>
          </w:p>
        </w:tc>
      </w:tr>
      <w:tr w:rsidR="003E37FE" w:rsidRPr="00726673" w:rsidTr="006E3128">
        <w:trPr>
          <w:trHeight w:val="9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沈红梅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法规总监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四川科伦药物研究院有限公司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医药健康</w:t>
            </w:r>
          </w:p>
        </w:tc>
      </w:tr>
      <w:tr w:rsidR="003E37FE" w:rsidRPr="00726673" w:rsidTr="006E3128">
        <w:trPr>
          <w:trHeight w:val="10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LIUXIAOYU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总裁兼董事长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成都凡诺西生物医药科技有限公司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医药健康</w:t>
            </w:r>
          </w:p>
        </w:tc>
      </w:tr>
      <w:tr w:rsidR="003E37FE" w:rsidRPr="00726673" w:rsidTr="006E3128">
        <w:trPr>
          <w:trHeight w:val="114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proofErr w:type="spellStart"/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Yinong</w:t>
            </w:r>
            <w:proofErr w:type="spellEnd"/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Xie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成都新标立康医药科技有限公司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医药健康</w:t>
            </w:r>
          </w:p>
        </w:tc>
      </w:tr>
      <w:tr w:rsidR="003E37FE" w:rsidRPr="00726673" w:rsidTr="006E3128">
        <w:trPr>
          <w:trHeight w:val="7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刘国红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四川汇丰物业服务有限公司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生活服务业</w:t>
            </w:r>
          </w:p>
        </w:tc>
      </w:tr>
      <w:tr w:rsidR="003E37FE" w:rsidRPr="00726673" w:rsidTr="006E3128">
        <w:trPr>
          <w:trHeight w:val="8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周尹强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技术创新中心负责人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proofErr w:type="gramStart"/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丰鸟航空</w:t>
            </w:r>
            <w:proofErr w:type="gramEnd"/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现代物流业</w:t>
            </w:r>
          </w:p>
        </w:tc>
      </w:tr>
      <w:tr w:rsidR="003E37FE" w:rsidRPr="00726673" w:rsidTr="006E3128">
        <w:trPr>
          <w:trHeight w:val="13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陆金华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首席技术官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成都泽</w:t>
            </w:r>
            <w:proofErr w:type="gramStart"/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生物技术有限公司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医药健康</w:t>
            </w:r>
          </w:p>
        </w:tc>
      </w:tr>
      <w:tr w:rsidR="003E37FE" w:rsidRPr="00726673" w:rsidTr="006E3128">
        <w:trPr>
          <w:trHeight w:val="92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吴景林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成都巴莫科技有限责任公司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装备制造</w:t>
            </w:r>
          </w:p>
        </w:tc>
      </w:tr>
      <w:tr w:rsidR="003E37FE" w:rsidRPr="00726673" w:rsidTr="006E3128">
        <w:trPr>
          <w:trHeight w:val="7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刘帆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成都爱车保信息技术有限公司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7FE" w:rsidRPr="00726673" w:rsidRDefault="003E37FE" w:rsidP="006E3128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726673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新经济</w:t>
            </w:r>
          </w:p>
        </w:tc>
      </w:tr>
    </w:tbl>
    <w:p w:rsidR="003E37FE" w:rsidRDefault="003E37FE" w:rsidP="003E37FE">
      <w:pPr>
        <w:spacing w:line="620" w:lineRule="exact"/>
        <w:rPr>
          <w:rFonts w:ascii="方正仿宋简体" w:eastAsia="方正仿宋简体" w:hint="eastAsia"/>
          <w:sz w:val="32"/>
          <w:szCs w:val="32"/>
        </w:rPr>
      </w:pPr>
    </w:p>
    <w:p w:rsidR="003E37FE" w:rsidRPr="00726673" w:rsidRDefault="003E37FE" w:rsidP="003E37FE">
      <w:pPr>
        <w:spacing w:line="620" w:lineRule="exact"/>
        <w:rPr>
          <w:rFonts w:ascii="方正仿宋简体" w:eastAsia="方正仿宋简体"/>
          <w:sz w:val="32"/>
          <w:szCs w:val="32"/>
        </w:rPr>
      </w:pPr>
    </w:p>
    <w:p w:rsidR="008D62FD" w:rsidRDefault="008D62FD">
      <w:bookmarkStart w:id="0" w:name="_GoBack"/>
      <w:bookmarkEnd w:id="0"/>
    </w:p>
    <w:sectPr w:rsidR="008D62FD" w:rsidSect="005D666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FE"/>
    <w:rsid w:val="003E37FE"/>
    <w:rsid w:val="008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2019-09-03T09:00:00Z</dcterms:created>
  <dcterms:modified xsi:type="dcterms:W3CDTF">2019-09-03T09:00:00Z</dcterms:modified>
</cp:coreProperties>
</file>